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775F5F47">
      <w:pPr>
        <w:pStyle w:val="style0"/>
        <w:keepNext/>
        <w:keepLines/>
        <w:jc w:val="center"/>
        <w:outlineLvl w:val="0"/>
        <w:rPr>
          <w:rFonts w:ascii="宋体" w:cs="汉仪大宋简" w:eastAsia="宋体" w:hAnsi="宋体" w:hint="eastAsia"/>
          <w:b/>
          <w:bCs/>
          <w:kern w:val="44"/>
          <w:szCs w:val="21"/>
        </w:rPr>
      </w:pPr>
      <w:bookmarkStart w:id="0" w:name="_Toc200016415"/>
      <w:r>
        <w:rPr>
          <w:rFonts w:ascii="宋体" w:cs="汉仪大宋简" w:eastAsia="宋体" w:hAnsi="宋体" w:hint="eastAsia"/>
          <w:b/>
          <w:bCs/>
          <w:kern w:val="44"/>
          <w:szCs w:val="21"/>
        </w:rPr>
        <w:t>专题二  行政诉讼中被告和原告的确定</w:t>
      </w:r>
      <w:bookmarkEnd w:id="0"/>
      <w:r>
        <w:rPr>
          <w:rFonts w:ascii="宋体" w:cs="汉仪大宋简" w:eastAsia="宋体" w:hAnsi="宋体" w:hint="eastAsia"/>
          <w:b/>
          <w:bCs/>
          <w:kern w:val="44"/>
          <w:szCs w:val="21"/>
        </w:rPr>
        <w:t>（19：30-21：00）</w:t>
      </w:r>
    </w:p>
    <w:p w14:paraId="2C13F852">
      <w:pPr>
        <w:pStyle w:val="style0"/>
        <w:jc w:val="left"/>
        <w:rPr>
          <w:rFonts w:ascii="宋体" w:cs="Times New Roman" w:eastAsia="宋体" w:hAnsi="宋体"/>
          <w:b/>
          <w:bCs/>
          <w:szCs w:val="21"/>
          <w14:ligatures xmlns:w14="http://schemas.microsoft.com/office/word/2010/wordml" w14:val="standardContextual"/>
        </w:rPr>
      </w:pPr>
      <w:r>
        <w:rPr>
          <w:rFonts w:ascii="宋体" w:cs="Times New Roman" w:eastAsia="宋体" w:hAnsi="宋体" w:hint="eastAsia"/>
          <w:b/>
          <w:bCs/>
          <w:szCs w:val="21"/>
          <w14:ligatures xmlns:w14="http://schemas.microsoft.com/office/word/2010/wordml" w14:val="standardContextual"/>
        </w:rPr>
        <w:t>三、其他案件被告资格的确认</w:t>
      </w:r>
    </w:p>
    <w:p w14:paraId="152A2B39">
      <w:pPr>
        <w:pStyle w:val="style0"/>
        <w:ind w:firstLine="422" w:firstLineChars="200"/>
        <w:jc w:val="left"/>
        <w:rPr>
          <w:rFonts w:ascii="宋体" w:cs="Times New Roman" w:eastAsia="宋体" w:hAnsi="宋体" w:hint="eastAsia"/>
          <w:b/>
          <w:color w:val="ff0000"/>
          <w:szCs w:val="21"/>
        </w:rPr>
      </w:pPr>
      <w:r>
        <w:rPr>
          <w:rFonts w:ascii="宋体" w:cs="Times New Roman" w:eastAsia="宋体" w:hAnsi="宋体" w:hint="eastAsia"/>
          <w:b/>
          <w:color w:val="000000"/>
          <w:szCs w:val="21"/>
        </w:rPr>
        <w:t>（一）经批准作出行政行为的被告确认</w:t>
      </w:r>
      <w:r>
        <w:rPr>
          <w:rFonts w:ascii="宋体" w:cs="Times New Roman" w:eastAsia="宋体" w:hAnsi="宋体" w:hint="eastAsia"/>
          <w:b/>
          <w:color w:val="ff0000"/>
          <w:szCs w:val="21"/>
        </w:rPr>
        <w:t>：</w:t>
      </w:r>
      <w:r>
        <w:rPr>
          <w:rFonts w:ascii="宋体" w:cs="Times New Roman" w:eastAsia="宋体" w:hAnsi="宋体" w:hint="eastAsia"/>
          <w:szCs w:val="21"/>
        </w:rPr>
        <w:t>按照名义标准，以在对外发生法律效力的文书上署名的机关为被告。谁署名、谁被告”</w:t>
      </w:r>
      <w:r>
        <w:rPr>
          <w:rFonts w:ascii="宋体" w:cs="Times New Roman" w:eastAsia="宋体" w:hAnsi="宋体" w:hint="eastAsia"/>
          <w:bCs/>
          <w:color w:val="4472c4"/>
          <w:szCs w:val="21"/>
        </w:rPr>
        <w:t>诉讼看名义，复议看职权</w:t>
      </w:r>
    </w:p>
    <w:p w14:paraId="13F93A31">
      <w:pPr>
        <w:pStyle w:val="style0"/>
        <w:ind w:firstLine="422" w:firstLineChars="200"/>
        <w:jc w:val="left"/>
        <w:rPr>
          <w:rFonts w:ascii="宋体" w:cs="Times New Roman" w:eastAsia="宋体" w:hAnsi="宋体" w:hint="eastAsia"/>
          <w:b/>
          <w:szCs w:val="21"/>
          <w14:ligatures xmlns:w14="http://schemas.microsoft.com/office/word/2010/wordml" w14:val="standardContextual"/>
        </w:rPr>
      </w:pPr>
      <w:r>
        <w:rPr>
          <w:rFonts w:ascii="宋体" w:cs="Times New Roman" w:eastAsia="宋体" w:hAnsi="宋体" w:hint="eastAsia"/>
          <w:b/>
          <w:szCs w:val="21"/>
          <w14:ligatures xmlns:w14="http://schemas.microsoft.com/office/word/2010/wordml" w14:val="standardContextual"/>
        </w:rPr>
        <w:t>（</w:t>
      </w:r>
      <w:r>
        <w:rPr>
          <w:rFonts w:ascii="宋体" w:cs="Times New Roman" w:eastAsia="宋体" w:hAnsi="宋体" w:hint="eastAsia"/>
          <w:b/>
          <w:szCs w:val="21"/>
          <w14:ligatures xmlns:w14="http://schemas.microsoft.com/office/word/2010/wordml" w14:val="standardContextual"/>
        </w:rPr>
        <w:t>二</w:t>
      </w:r>
      <w:r>
        <w:rPr>
          <w:rFonts w:ascii="宋体" w:cs="Times New Roman" w:eastAsia="宋体" w:hAnsi="宋体" w:hint="eastAsia"/>
          <w:b/>
          <w:szCs w:val="21"/>
          <w14:ligatures xmlns:w14="http://schemas.microsoft.com/office/word/2010/wordml" w14:val="standardContextual"/>
        </w:rPr>
        <w:t>）新组建机构的被告资格</w:t>
      </w:r>
    </w:p>
    <w:p w14:paraId="5B3A3733">
      <w:pPr>
        <w:pStyle w:val="style0"/>
        <w:ind w:firstLine="420" w:firstLineChars="200"/>
        <w:jc w:val="left"/>
        <w:rPr>
          <w:rFonts w:ascii="宋体" w:cs="Times New Roman" w:eastAsia="宋体" w:hAnsi="宋体"/>
          <w:szCs w:val="21"/>
          <w14:ligatures xmlns:w14="http://schemas.microsoft.com/office/word/2010/wordml" w14:val="standardContextual"/>
        </w:rPr>
      </w:pPr>
      <w:r>
        <w:rPr>
          <w:rFonts w:ascii="宋体" w:cs="Times New Roman" w:eastAsia="宋体" w:hAnsi="宋体" w:hint="eastAsia"/>
          <w:szCs w:val="21"/>
          <w14:ligatures xmlns:w14="http://schemas.microsoft.com/office/word/2010/wordml" w14:val="standardContextual"/>
        </w:rPr>
        <w:t>新组建机构未获得法律、法规、规章授权的，不具有行政主体资格，不能作为被告，以设立机关为被告。获得授权，新组建机构就具备了行政主体资格，可以作为被告。</w:t>
      </w:r>
    </w:p>
    <w:p w14:paraId="3EE3DC13">
      <w:pPr>
        <w:pStyle w:val="style0"/>
        <w:ind w:firstLine="422" w:firstLineChars="200"/>
        <w:jc w:val="left"/>
        <w:rPr>
          <w:rFonts w:ascii="宋体" w:cs="Times New Roman" w:eastAsia="宋体" w:hAnsi="宋体" w:hint="eastAsia"/>
          <w:b/>
          <w:szCs w:val="21"/>
          <w14:ligatures xmlns:w14="http://schemas.microsoft.com/office/word/2010/wordml" w14:val="standardContextual"/>
        </w:rPr>
      </w:pPr>
      <w:r>
        <w:rPr>
          <w:rFonts w:ascii="宋体" w:cs="Times New Roman" w:eastAsia="宋体" w:hAnsi="宋体" w:hint="eastAsia"/>
          <w:b/>
          <w:szCs w:val="21"/>
          <w14:ligatures xmlns:w14="http://schemas.microsoft.com/office/word/2010/wordml" w14:val="standardContextual"/>
        </w:rPr>
        <w:t>（</w:t>
      </w:r>
      <w:r>
        <w:rPr>
          <w:rFonts w:ascii="宋体" w:cs="Times New Roman" w:eastAsia="宋体" w:hAnsi="宋体" w:hint="eastAsia"/>
          <w:b/>
          <w:szCs w:val="21"/>
          <w14:ligatures xmlns:w14="http://schemas.microsoft.com/office/word/2010/wordml" w14:val="standardContextual"/>
        </w:rPr>
        <w:t>三</w:t>
      </w:r>
      <w:r>
        <w:rPr>
          <w:rFonts w:ascii="宋体" w:cs="Times New Roman" w:eastAsia="宋体" w:hAnsi="宋体" w:hint="eastAsia"/>
          <w:b/>
          <w:szCs w:val="21"/>
          <w14:ligatures xmlns:w14="http://schemas.microsoft.com/office/word/2010/wordml" w14:val="standardContextual"/>
        </w:rPr>
        <w:t>）委托行政案件被告的确认：</w:t>
      </w:r>
      <w:r>
        <w:rPr>
          <w:rFonts w:ascii="宋体" w:cs="Times New Roman" w:eastAsia="宋体" w:hAnsi="宋体" w:hint="eastAsia"/>
          <w:szCs w:val="21"/>
          <w14:ligatures xmlns:w14="http://schemas.microsoft.com/office/word/2010/wordml" w14:val="standardContextual"/>
        </w:rPr>
        <w:t>谁委托，谁被告，即委托机关是被告。</w:t>
      </w:r>
    </w:p>
    <w:p w14:paraId="52CFFC58">
      <w:pPr>
        <w:pStyle w:val="style0"/>
        <w:ind w:firstLine="422" w:firstLineChars="200"/>
        <w:jc w:val="left"/>
        <w:rPr>
          <w:rFonts w:ascii="宋体" w:cs="Times New Roman" w:eastAsia="宋体" w:hAnsi="宋体" w:hint="eastAsia"/>
          <w:b/>
          <w:szCs w:val="21"/>
          <w14:ligatures xmlns:w14="http://schemas.microsoft.com/office/word/2010/wordml" w14:val="standardContextual"/>
        </w:rPr>
      </w:pPr>
      <w:r>
        <w:rPr>
          <w:rFonts w:ascii="宋体" w:cs="Times New Roman" w:eastAsia="宋体" w:hAnsi="宋体" w:hint="eastAsia"/>
          <w:b/>
          <w:szCs w:val="21"/>
          <w14:ligatures xmlns:w14="http://schemas.microsoft.com/office/word/2010/wordml" w14:val="standardContextual"/>
        </w:rPr>
        <w:t>（</w:t>
      </w:r>
      <w:r>
        <w:rPr>
          <w:rFonts w:ascii="宋体" w:cs="Times New Roman" w:eastAsia="宋体" w:hAnsi="宋体" w:hint="eastAsia"/>
          <w:b/>
          <w:szCs w:val="21"/>
          <w14:ligatures xmlns:w14="http://schemas.microsoft.com/office/word/2010/wordml" w14:val="standardContextual"/>
        </w:rPr>
        <w:t>四</w:t>
      </w:r>
      <w:r>
        <w:rPr>
          <w:rFonts w:ascii="宋体" w:cs="Times New Roman" w:eastAsia="宋体" w:hAnsi="宋体" w:hint="eastAsia"/>
          <w:b/>
          <w:szCs w:val="21"/>
          <w14:ligatures xmlns:w14="http://schemas.microsoft.com/office/word/2010/wordml" w14:val="standardContextual"/>
        </w:rPr>
        <w:t>）派出机构作出行政行为被告的确认：</w:t>
      </w:r>
    </w:p>
    <w:p w14:paraId="1010AD57">
      <w:pPr>
        <w:pStyle w:val="style0"/>
        <w:ind w:firstLine="420" w:firstLineChars="200"/>
        <w:jc w:val="left"/>
        <w:rPr>
          <w:rFonts w:ascii="宋体" w:cs="Times New Roman" w:eastAsia="宋体" w:hAnsi="宋体" w:hint="eastAsia"/>
          <w:szCs w:val="21"/>
          <w14:ligatures xmlns:w14="http://schemas.microsoft.com/office/word/2010/wordml" w14:val="standardContextual"/>
        </w:rPr>
      </w:pPr>
      <w:r>
        <w:rPr>
          <w:rFonts w:ascii="宋体" w:cs="Times New Roman" w:eastAsia="宋体" w:hAnsi="宋体" w:hint="eastAsia"/>
          <w:szCs w:val="21"/>
          <w14:ligatures xmlns:w14="http://schemas.microsoft.com/office/word/2010/wordml" w14:val="standardContextual"/>
        </w:rPr>
        <w:t>1．授权范围内可以自己名义对外作出行政行为，具备行政主体资格。</w:t>
      </w:r>
    </w:p>
    <w:p w14:paraId="6AD68F43">
      <w:pPr>
        <w:pStyle w:val="style0"/>
        <w:ind w:firstLine="420" w:firstLineChars="200"/>
        <w:jc w:val="left"/>
        <w:rPr>
          <w:rFonts w:ascii="宋体" w:cs="Times New Roman" w:eastAsia="宋体" w:hAnsi="宋体"/>
          <w:color w:val="ee0000"/>
          <w:szCs w:val="21"/>
          <w14:ligatures xmlns:w14="http://schemas.microsoft.com/office/word/2010/wordml" w14:val="standardContextual"/>
        </w:rPr>
      </w:pPr>
      <w:r>
        <w:rPr>
          <w:rFonts w:ascii="宋体" w:cs="Times New Roman" w:eastAsia="宋体" w:hAnsi="宋体" w:hint="eastAsia"/>
          <w:color w:val="ee0000"/>
          <w:szCs w:val="21"/>
          <w14:ligatures xmlns:w14="http://schemas.microsoft.com/office/word/2010/wordml" w14:val="standardContextual"/>
        </w:rPr>
        <w:t>2．超越了法定授权，以其所在机关作为被告。</w:t>
      </w:r>
    </w:p>
    <w:p w14:paraId="67C35096">
      <w:pPr>
        <w:pStyle w:val="style0"/>
        <w:ind w:firstLine="273" w:firstLineChars="130"/>
        <w:rPr>
          <w:rFonts w:ascii="宋体" w:cs="汉仪大宋简" w:eastAsia="宋体" w:hAnsi="宋体" w:hint="eastAsia"/>
          <w:bCs/>
          <w:color w:val="000000"/>
          <w:szCs w:val="21"/>
        </w:rPr>
      </w:pPr>
      <w:r>
        <w:rPr>
          <w:rFonts w:ascii="宋体" w:cs="汉仪大宋简" w:eastAsia="宋体" w:hAnsi="宋体" w:hint="eastAsia"/>
          <w:bCs/>
          <w:color w:val="000000"/>
          <w:szCs w:val="21"/>
        </w:rPr>
        <w:t>（五）行为主体被撤销或者职权变更后的被告确认</w:t>
      </w:r>
    </w:p>
    <w:p w14:paraId="5D87773B">
      <w:pPr>
        <w:pStyle w:val="style0"/>
        <w:ind w:firstLine="420" w:firstLineChars="200"/>
        <w:rPr>
          <w:rFonts w:ascii="宋体" w:cs="汉仪书宋二简" w:eastAsia="宋体" w:hAnsi="宋体" w:hint="eastAsia"/>
          <w:kern w:val="24"/>
          <w:szCs w:val="21"/>
        </w:rPr>
      </w:pPr>
      <w:r>
        <w:rPr>
          <w:rFonts w:ascii="宋体" w:eastAsia="宋体" w:hAnsi="宋体" w:hint="eastAsia"/>
          <w:bCs/>
          <w:szCs w:val="21"/>
        </w:rPr>
        <w:t xml:space="preserve">有继受职权主体的 </w:t>
      </w:r>
      <w:r>
        <w:rPr>
          <w:rFonts w:ascii="宋体" w:eastAsia="宋体" w:hAnsi="宋体" w:hint="eastAsia"/>
          <w:bCs/>
          <w:color w:val="ff0000"/>
          <w:szCs w:val="21"/>
        </w:rPr>
        <w:t>→</w:t>
      </w:r>
      <w:r>
        <w:rPr>
          <w:rFonts w:ascii="宋体" w:eastAsia="宋体" w:hAnsi="宋体" w:hint="eastAsia"/>
          <w:bCs/>
          <w:szCs w:val="21"/>
        </w:rPr>
        <w:t xml:space="preserve"> </w:t>
      </w:r>
      <w:r>
        <w:rPr>
          <w:rFonts w:ascii="宋体" w:cs="汉仪书宋二简" w:eastAsia="宋体" w:hAnsi="宋体" w:hint="eastAsia"/>
          <w:kern w:val="24"/>
          <w:szCs w:val="21"/>
        </w:rPr>
        <w:t>继受职权的主体是被告</w:t>
      </w:r>
      <w:r>
        <w:rPr>
          <w:rFonts w:ascii="宋体" w:cs="汉仪书宋二简" w:eastAsia="宋体" w:hAnsi="宋体" w:hint="eastAsia"/>
          <w:kern w:val="24"/>
          <w:szCs w:val="21"/>
        </w:rPr>
        <w:t>；</w:t>
      </w:r>
      <w:r>
        <w:rPr>
          <w:rFonts w:ascii="宋体" w:cs="汉仪书宋二简" w:eastAsia="宋体" w:hAnsi="宋体" w:hint="eastAsia"/>
          <w:kern w:val="24"/>
          <w:szCs w:val="21"/>
        </w:rPr>
        <w:t>无继受职权主体的 → 以其所属的政府为被告</w:t>
      </w:r>
      <w:r>
        <w:rPr>
          <w:rFonts w:ascii="宋体" w:cs="汉仪书宋二简" w:eastAsia="宋体" w:hAnsi="宋体" w:hint="eastAsia"/>
          <w:kern w:val="24"/>
          <w:szCs w:val="21"/>
        </w:rPr>
        <w:t>；</w:t>
      </w:r>
      <w:r>
        <w:rPr>
          <w:rFonts w:ascii="宋体" w:cs="汉仪书宋二简" w:eastAsia="宋体" w:hAnsi="宋体" w:hint="eastAsia"/>
          <w:kern w:val="24"/>
          <w:szCs w:val="21"/>
        </w:rPr>
        <w:t>实行垂直领导的 → 以垂直领导的上一级机关为被告</w:t>
      </w:r>
    </w:p>
    <w:p w14:paraId="08212428">
      <w:pPr>
        <w:pStyle w:val="style0"/>
        <w:ind w:firstLine="422" w:firstLineChars="200"/>
        <w:jc w:val="left"/>
        <w:rPr>
          <w:rFonts w:ascii="宋体" w:cs="Times New Roman" w:eastAsia="宋体" w:hAnsi="宋体" w:hint="eastAsia"/>
          <w:b/>
          <w:szCs w:val="21"/>
          <w14:ligatures xmlns:w14="http://schemas.microsoft.com/office/word/2010/wordml" w14:val="standardContextual"/>
        </w:rPr>
      </w:pPr>
      <w:r>
        <w:rPr>
          <w:rFonts w:ascii="宋体" w:cs="Times New Roman" w:eastAsia="宋体" w:hAnsi="宋体" w:hint="eastAsia"/>
          <w:b/>
          <w:szCs w:val="21"/>
          <w14:ligatures xmlns:w14="http://schemas.microsoft.com/office/word/2010/wordml" w14:val="standardContextual"/>
        </w:rPr>
        <w:t>（六）开发区管理机构案件的被告确认</w:t>
      </w:r>
    </w:p>
    <w:p w14:paraId="7A74DA29">
      <w:pPr>
        <w:pStyle w:val="style0"/>
        <w:ind w:firstLine="420" w:firstLineChars="200"/>
        <w:jc w:val="left"/>
        <w:rPr>
          <w:rFonts w:ascii="宋体" w:cs="Times New Roman" w:eastAsia="宋体" w:hAnsi="宋体" w:hint="eastAsia"/>
          <w:szCs w:val="21"/>
          <w14:ligatures xmlns:w14="http://schemas.microsoft.com/office/word/2010/wordml" w14:val="standardContextual"/>
        </w:rPr>
      </w:pPr>
      <w:r>
        <w:rPr>
          <w:rFonts w:ascii="宋体" w:cs="Times New Roman" w:eastAsia="宋体" w:hAnsi="宋体" w:hint="eastAsia"/>
          <w:szCs w:val="21"/>
          <w14:ligatures xmlns:w14="http://schemas.microsoft.com/office/word/2010/wordml" w14:val="standardContextual"/>
        </w:rPr>
        <w:t>1．第一类：经过国务院、省级政府批准设立的开发区管理机构</w:t>
      </w:r>
    </w:p>
    <w:p w14:paraId="6FE2499B">
      <w:pPr>
        <w:pStyle w:val="style0"/>
        <w:ind w:firstLine="420" w:firstLineChars="200"/>
        <w:jc w:val="left"/>
        <w:rPr>
          <w:rFonts w:ascii="宋体" w:cs="Times New Roman" w:eastAsia="宋体" w:hAnsi="宋体" w:hint="eastAsia"/>
          <w:szCs w:val="21"/>
          <w14:ligatures xmlns:w14="http://schemas.microsoft.com/office/word/2010/wordml" w14:val="standardContextual"/>
        </w:rPr>
      </w:pPr>
      <w:r>
        <w:rPr>
          <w:rFonts w:ascii="宋体" w:cs="Times New Roman" w:eastAsia="宋体" w:hAnsi="宋体" w:hint="eastAsia"/>
          <w:szCs w:val="21"/>
          <w14:ligatures xmlns:w14="http://schemas.microsoft.com/office/word/2010/wordml" w14:val="standardContextual"/>
        </w:rPr>
        <w:t>（1）开发区管理机构实施的行政行为，以该开发区管理机构为被告。</w:t>
      </w:r>
    </w:p>
    <w:p w14:paraId="572EC31B">
      <w:pPr>
        <w:pStyle w:val="style0"/>
        <w:ind w:firstLine="420" w:firstLineChars="200"/>
        <w:jc w:val="left"/>
        <w:rPr>
          <w:rFonts w:ascii="宋体" w:cs="Times New Roman" w:eastAsia="宋体" w:hAnsi="宋体" w:hint="eastAsia"/>
          <w:szCs w:val="21"/>
          <w14:ligatures xmlns:w14="http://schemas.microsoft.com/office/word/2010/wordml" w14:val="standardContextual"/>
        </w:rPr>
      </w:pPr>
      <w:r>
        <w:rPr>
          <w:rFonts w:ascii="宋体" w:cs="Times New Roman" w:eastAsia="宋体" w:hAnsi="宋体" w:hint="eastAsia"/>
          <w:szCs w:val="21"/>
          <w14:ligatures xmlns:w14="http://schemas.microsoft.com/office/word/2010/wordml" w14:val="standardContextual"/>
        </w:rPr>
        <w:t>（2）开发区管理机构所属职能部门实施的行政行为，以该职能部门为被告。</w:t>
      </w:r>
    </w:p>
    <w:p w14:paraId="37FFD021">
      <w:pPr>
        <w:pStyle w:val="style0"/>
        <w:ind w:firstLine="420" w:firstLineChars="200"/>
        <w:jc w:val="left"/>
        <w:rPr>
          <w:rFonts w:ascii="宋体" w:cs="Times New Roman" w:eastAsia="宋体" w:hAnsi="宋体" w:hint="eastAsia"/>
          <w:szCs w:val="21"/>
          <w14:ligatures xmlns:w14="http://schemas.microsoft.com/office/word/2010/wordml" w14:val="standardContextual"/>
        </w:rPr>
      </w:pPr>
      <w:r>
        <w:rPr>
          <w:rFonts w:ascii="宋体" w:cs="Times New Roman" w:eastAsia="宋体" w:hAnsi="宋体" w:hint="eastAsia"/>
          <w:szCs w:val="21"/>
          <w14:ligatures xmlns:w14="http://schemas.microsoft.com/office/word/2010/wordml" w14:val="standardContextual"/>
        </w:rPr>
        <w:t>2．第二类：未经国务院、省级政府批准设立的开发区管理机构</w:t>
      </w:r>
    </w:p>
    <w:p w14:paraId="6BE05C59">
      <w:pPr>
        <w:pStyle w:val="style0"/>
        <w:ind w:firstLine="420" w:firstLineChars="200"/>
        <w:jc w:val="left"/>
        <w:rPr>
          <w:rFonts w:ascii="宋体" w:cs="Times New Roman" w:eastAsia="宋体" w:hAnsi="宋体" w:hint="eastAsia"/>
          <w:szCs w:val="21"/>
          <w14:ligatures xmlns:w14="http://schemas.microsoft.com/office/word/2010/wordml" w14:val="standardContextual"/>
        </w:rPr>
      </w:pPr>
      <w:r>
        <w:rPr>
          <w:rFonts w:ascii="宋体" w:cs="Times New Roman" w:eastAsia="宋体" w:hAnsi="宋体" w:hint="eastAsia"/>
          <w:szCs w:val="21"/>
          <w14:ligatures xmlns:w14="http://schemas.microsoft.com/office/word/2010/wordml" w14:val="standardContextual"/>
        </w:rPr>
        <w:t>（1）若有获得法律法规规章授权的，开发区管理机构及其所属职能部门实施的行政行为，以开发区管理机构为被告。</w:t>
      </w:r>
    </w:p>
    <w:p w14:paraId="1943C4C9">
      <w:pPr>
        <w:pStyle w:val="style0"/>
        <w:ind w:firstLine="420" w:firstLineChars="200"/>
        <w:jc w:val="left"/>
        <w:rPr>
          <w:rFonts w:ascii="宋体" w:cs="Times New Roman" w:eastAsia="宋体" w:hAnsi="宋体" w:hint="eastAsia"/>
          <w:szCs w:val="21"/>
          <w14:ligatures xmlns:w14="http://schemas.microsoft.com/office/word/2010/wordml" w14:val="standardContextual"/>
        </w:rPr>
      </w:pPr>
      <w:r>
        <w:rPr>
          <w:rFonts w:ascii="宋体" w:cs="Times New Roman" w:eastAsia="宋体" w:hAnsi="宋体" w:hint="eastAsia"/>
          <w:szCs w:val="21"/>
          <w14:ligatures xmlns:w14="http://schemas.microsoft.com/office/word/2010/wordml" w14:val="standardContextual"/>
        </w:rPr>
        <w:t>（2）若没有获得法律法规规章授权的，开发区管理机构及其所属职能部门实施的行政行为，以设立该机构的地方政府为被告。</w:t>
      </w:r>
    </w:p>
    <w:bookmarkStart w:id="1" w:name="_Hlk74171968"/>
    <w:p w14:paraId="630026CF">
      <w:pPr>
        <w:pStyle w:val="style0"/>
        <w:ind w:firstLine="422" w:firstLineChars="200"/>
        <w:jc w:val="left"/>
        <w:rPr>
          <w:rFonts w:ascii="宋体" w:cs="Times New Roman" w:eastAsia="宋体" w:hAnsi="宋体" w:hint="eastAsia"/>
          <w:b/>
          <w:color w:val="4472c4"/>
          <w:szCs w:val="21"/>
          <w14:ligatures xmlns:w14="http://schemas.microsoft.com/office/word/2010/wordml" w14:val="standardContextual"/>
        </w:rPr>
      </w:pPr>
      <w:r>
        <w:rPr>
          <w:rFonts w:ascii="宋体" w:cs="Times New Roman" w:eastAsia="宋体" w:hAnsi="宋体" w:hint="eastAsia"/>
          <w:b/>
          <w:color w:val="4472c4"/>
          <w:szCs w:val="21"/>
          <w14:ligatures xmlns:w14="http://schemas.microsoft.com/office/word/2010/wordml" w14:val="standardContextual"/>
        </w:rPr>
        <w:t>（</w:t>
      </w:r>
      <w:r>
        <w:rPr>
          <w:rFonts w:ascii="宋体" w:cs="Times New Roman" w:eastAsia="宋体" w:hAnsi="宋体" w:hint="eastAsia"/>
          <w:b/>
          <w:color w:val="4472c4"/>
          <w:szCs w:val="21"/>
          <w14:ligatures xmlns:w14="http://schemas.microsoft.com/office/word/2010/wordml" w14:val="standardContextual"/>
        </w:rPr>
        <w:t>七</w:t>
      </w:r>
      <w:r>
        <w:rPr>
          <w:rFonts w:ascii="宋体" w:cs="Times New Roman" w:eastAsia="宋体" w:hAnsi="宋体" w:hint="eastAsia"/>
          <w:b/>
          <w:color w:val="4472c4"/>
          <w:szCs w:val="21"/>
          <w14:ligatures xmlns:w14="http://schemas.microsoft.com/office/word/2010/wordml" w14:val="standardContextual"/>
        </w:rPr>
        <w:t>）行政强制拆除案件</w:t>
      </w:r>
      <w:r>
        <w:rPr>
          <w:rFonts w:ascii="宋体" w:cs="Times New Roman" w:eastAsia="宋体" w:hAnsi="宋体" w:hint="eastAsia"/>
          <w:bCs/>
          <w:color w:val="ee0000"/>
          <w:szCs w:val="21"/>
          <w14:ligatures xmlns:w14="http://schemas.microsoft.com/office/word/2010/wordml" w14:val="standardContextual"/>
        </w:rPr>
        <w:t>（看是否有强拆决定书）</w:t>
      </w:r>
    </w:p>
    <w:p w14:paraId="17DDC88A">
      <w:pPr>
        <w:pStyle w:val="style0"/>
        <w:ind w:firstLine="420" w:firstLineChars="200"/>
        <w:jc w:val="left"/>
        <w:rPr>
          <w:rFonts w:ascii="宋体" w:cs="Times New Roman" w:eastAsia="宋体" w:hAnsi="宋体" w:hint="eastAsia"/>
          <w:szCs w:val="21"/>
          <w14:ligatures xmlns:w14="http://schemas.microsoft.com/office/word/2010/wordml" w14:val="standardContextual"/>
        </w:rPr>
      </w:pPr>
      <w:r>
        <w:rPr>
          <w:rFonts w:ascii="宋体" w:cs="Times New Roman" w:eastAsia="宋体" w:hAnsi="宋体" w:hint="eastAsia"/>
          <w:szCs w:val="21"/>
          <w14:ligatures xmlns:w14="http://schemas.microsoft.com/office/word/2010/wordml" w14:val="standardContextual"/>
        </w:rPr>
        <w:t>具有行政强制拆除决定书的，以作出强制拆除决定的行政机关为被告；</w:t>
      </w:r>
    </w:p>
    <w:p w14:paraId="32631AD8">
      <w:pPr>
        <w:pStyle w:val="style0"/>
        <w:ind w:firstLine="420" w:firstLineChars="200"/>
        <w:jc w:val="left"/>
        <w:rPr>
          <w:rFonts w:ascii="宋体" w:cs="Times New Roman" w:eastAsia="宋体" w:hAnsi="宋体" w:hint="eastAsia"/>
          <w:szCs w:val="21"/>
          <w14:ligatures xmlns:w14="http://schemas.microsoft.com/office/word/2010/wordml" w14:val="standardContextual"/>
        </w:rPr>
      </w:pPr>
      <w:r>
        <w:rPr>
          <w:rFonts w:ascii="宋体" w:cs="Times New Roman" w:eastAsia="宋体" w:hAnsi="宋体" w:hint="eastAsia"/>
          <w:szCs w:val="21"/>
          <w14:ligatures xmlns:w14="http://schemas.microsoft.com/office/word/2010/wordml" w14:val="standardContextual"/>
        </w:rPr>
        <w:t>没有行政强制拆除决定书的，以具体实施强制拆除行为的行政机关为被告。</w:t>
      </w:r>
    </w:p>
    <w:p w14:paraId="1F09999A">
      <w:pPr>
        <w:pStyle w:val="style0"/>
        <w:ind w:firstLine="420" w:firstLineChars="200"/>
        <w:jc w:val="left"/>
        <w:rPr>
          <w:rFonts w:ascii="宋体" w:cs="Times New Roman" w:eastAsia="宋体" w:hAnsi="宋体" w:hint="eastAsia"/>
          <w:szCs w:val="21"/>
          <w14:ligatures xmlns:w14="http://schemas.microsoft.com/office/word/2010/wordml" w14:val="standardContextual"/>
        </w:rPr>
      </w:pPr>
      <w:r>
        <w:rPr>
          <w:rFonts w:ascii="宋体" w:cs="Times New Roman" w:eastAsia="宋体" w:hAnsi="宋体" w:hint="eastAsia"/>
          <w:szCs w:val="21"/>
          <w14:ligatures xmlns:w14="http://schemas.microsoft.com/office/word/2010/wordml" w14:val="standardContextual"/>
        </w:rPr>
        <w:t>没有行政强制拆除决定书又无法明确拆除主体的，以房屋征收部门为被告。</w:t>
      </w:r>
    </w:p>
    <w:bookmarkEnd w:id="1"/>
    <w:p w14:paraId="1D13F20C">
      <w:pPr>
        <w:pStyle w:val="style0"/>
        <w:tabs>
          <w:tab w:val="left" w:leader="none" w:pos="420"/>
        </w:tabs>
        <w:rPr>
          <w:rFonts w:ascii="宋体" w:cs="汉仪中黑简" w:eastAsia="宋体" w:hAnsi="宋体"/>
          <w:b/>
          <w:color w:val="000000"/>
          <w:kern w:val="44"/>
          <w:szCs w:val="21"/>
        </w:rPr>
      </w:pPr>
      <w:r>
        <w:rPr>
          <w:rFonts w:ascii="宋体" w:cs="汉仪中黑简" w:eastAsia="宋体" w:hAnsi="宋体" w:hint="eastAsia"/>
          <w:b/>
          <w:color w:val="000000"/>
          <w:kern w:val="44"/>
          <w:szCs w:val="21"/>
        </w:rPr>
        <w:t>四、</w:t>
      </w:r>
      <w:r>
        <w:rPr>
          <w:rFonts w:ascii="宋体" w:cs="汉仪中黑简" w:eastAsia="宋体" w:hAnsi="宋体" w:hint="eastAsia"/>
          <w:b/>
          <w:color w:val="000000"/>
          <w:kern w:val="44"/>
          <w:szCs w:val="21"/>
        </w:rPr>
        <w:t>原告</w:t>
      </w:r>
      <w:r>
        <w:rPr>
          <w:rFonts w:ascii="宋体" w:cs="汉仪中黑简" w:eastAsia="宋体" w:hAnsi="宋体" w:hint="eastAsia"/>
          <w:b/>
          <w:color w:val="000000"/>
          <w:kern w:val="44"/>
          <w:szCs w:val="21"/>
        </w:rPr>
        <w:t>判断的底层逻辑</w:t>
      </w:r>
    </w:p>
    <w:p w14:paraId="21397560">
      <w:pPr>
        <w:pStyle w:val="style0"/>
        <w:tabs>
          <w:tab w:val="left" w:leader="none" w:pos="420"/>
        </w:tabs>
        <w:adjustRightInd w:val="false"/>
        <w:snapToGrid w:val="false"/>
        <w:ind w:firstLine="420" w:firstLineChars="200"/>
        <w:rPr>
          <w:rFonts w:ascii="宋体" w:cs="Times New Roman" w:eastAsia="宋体" w:hAnsi="宋体" w:hint="eastAsia"/>
          <w:color w:val="000000"/>
          <w:szCs w:val="21"/>
        </w:rPr>
      </w:pPr>
      <w:r>
        <w:rPr>
          <w:rFonts w:ascii="宋体" w:cs="Times New Roman" w:eastAsia="宋体" w:hAnsi="宋体" w:hint="eastAsia"/>
          <w:color w:val="000000"/>
          <w:szCs w:val="21"/>
        </w:rPr>
        <w:t>行政诉讼原告的判断标准是与被诉行政行为有利害关系。</w:t>
      </w:r>
    </w:p>
    <w:p w14:paraId="66778F28">
      <w:pPr>
        <w:pStyle w:val="style0"/>
        <w:tabs>
          <w:tab w:val="left" w:leader="none" w:pos="420"/>
        </w:tabs>
        <w:adjustRightInd w:val="false"/>
        <w:snapToGrid w:val="false"/>
        <w:ind w:firstLine="420" w:firstLineChars="200"/>
        <w:rPr>
          <w:rFonts w:ascii="宋体" w:cs="Times New Roman" w:eastAsia="宋体" w:hAnsi="宋体" w:hint="eastAsia"/>
          <w:color w:val="ff0000"/>
          <w:szCs w:val="21"/>
        </w:rPr>
      </w:pPr>
      <w:r>
        <w:rPr>
          <w:rFonts w:ascii="宋体" w:cs="Times New Roman" w:eastAsia="宋体" w:hAnsi="宋体" w:hint="eastAsia"/>
          <w:color w:val="ff0000"/>
          <w:szCs w:val="21"/>
        </w:rPr>
        <w:t>所谓有利害关系是指行政行为作出后会增加（+）或者减损（-）起诉人的人身权、财产权等合法权益。</w:t>
      </w:r>
      <w:r>
        <w:rPr>
          <w:rFonts w:ascii="宋体" w:cs="Times New Roman" w:eastAsia="宋体" w:hAnsi="宋体" w:hint="eastAsia"/>
          <w:color w:val="ff0000"/>
          <w:szCs w:val="21"/>
        </w:rPr>
        <w:t>包括行政相对人和行政相关人。</w:t>
      </w:r>
    </w:p>
    <w:p w14:paraId="4756F462">
      <w:pPr>
        <w:pStyle w:val="style0"/>
        <w:autoSpaceDE w:val="false"/>
        <w:autoSpaceDN w:val="false"/>
        <w:adjustRightInd w:val="false"/>
        <w:textAlignment w:val="center"/>
        <w:rPr>
          <w:rFonts w:ascii="宋体" w:cs="汉仪大宋简" w:eastAsia="宋体" w:hAnsi="宋体"/>
          <w:b/>
          <w:bCs/>
          <w:color w:val="000000"/>
          <w:kern w:val="0"/>
          <w:szCs w:val="21"/>
          <w:lang w:val="zh-CN"/>
        </w:rPr>
      </w:pPr>
      <w:r>
        <w:rPr>
          <w:rFonts w:ascii="宋体" w:cs="汉仪大宋简" w:eastAsia="宋体" w:hAnsi="宋体" w:hint="eastAsia"/>
          <w:b/>
          <w:bCs/>
          <w:color w:val="000000"/>
          <w:kern w:val="0"/>
          <w:szCs w:val="21"/>
          <w:lang w:val="zh-CN"/>
        </w:rPr>
        <w:t>五</w:t>
      </w:r>
      <w:r>
        <w:rPr>
          <w:rFonts w:ascii="宋体" w:cs="汉仪大宋简" w:eastAsia="宋体" w:hAnsi="宋体" w:hint="eastAsia"/>
          <w:b/>
          <w:bCs/>
          <w:color w:val="000000"/>
          <w:kern w:val="0"/>
          <w:szCs w:val="21"/>
          <w:lang w:val="zh-CN"/>
        </w:rPr>
        <w:t>、利害关系的肯定列举</w:t>
      </w:r>
    </w:p>
    <w:p w14:paraId="6DEA2D10">
      <w:pPr>
        <w:pStyle w:val="style0"/>
        <w:tabs>
          <w:tab w:val="left" w:leader="none" w:pos="420"/>
        </w:tabs>
        <w:ind w:firstLine="420" w:firstLineChars="200"/>
        <w:rPr>
          <w:rFonts w:ascii="宋体" w:cs="汉仪中黑简" w:eastAsia="宋体" w:hAnsi="宋体" w:hint="eastAsia"/>
          <w:bCs/>
          <w:color w:val="000000"/>
          <w:kern w:val="44"/>
          <w:szCs w:val="21"/>
        </w:rPr>
      </w:pPr>
      <w:r>
        <w:rPr>
          <w:rFonts w:ascii="宋体" w:cs="汉仪中黑简" w:eastAsia="宋体" w:hAnsi="宋体" w:hint="eastAsia"/>
          <w:bCs/>
          <w:color w:val="000000"/>
          <w:kern w:val="44"/>
          <w:szCs w:val="21"/>
        </w:rPr>
        <w:t>1．相邻关系：</w:t>
      </w:r>
      <w:r>
        <w:rPr>
          <w:rFonts w:ascii="宋体" w:cs="汉仪书宋二简" w:eastAsia="宋体" w:hAnsi="宋体" w:hint="eastAsia"/>
          <w:color w:val="000000"/>
          <w:kern w:val="0"/>
          <w:szCs w:val="21"/>
          <w:lang w:val="zh-CN"/>
        </w:rPr>
        <w:t>行政行为侵害当事人基于相邻关系的采光、通风、通行、排水等权益的，当事人有利害关系，享有原告资格。</w:t>
      </w:r>
    </w:p>
    <w:p w14:paraId="4BCFBA5E">
      <w:pPr>
        <w:pStyle w:val="style0"/>
        <w:tabs>
          <w:tab w:val="left" w:leader="none" w:pos="420"/>
        </w:tabs>
        <w:ind w:firstLine="420" w:firstLineChars="200"/>
        <w:rPr>
          <w:rFonts w:ascii="宋体" w:cs="汉仪中黑简" w:eastAsia="宋体" w:hAnsi="宋体" w:hint="eastAsia"/>
          <w:bCs/>
          <w:color w:val="000000"/>
          <w:kern w:val="44"/>
          <w:szCs w:val="21"/>
        </w:rPr>
      </w:pPr>
      <w:r>
        <w:rPr>
          <w:rFonts w:ascii="宋体" w:cs="汉仪中黑简" w:eastAsia="宋体" w:hAnsi="宋体" w:hint="eastAsia"/>
          <w:bCs/>
          <w:color w:val="000000"/>
          <w:kern w:val="44"/>
          <w:szCs w:val="21"/>
        </w:rPr>
        <w:t>2．人身侵权关系：</w:t>
      </w:r>
      <w:r>
        <w:rPr>
          <w:rFonts w:ascii="宋体" w:cs="汉仪书宋二简" w:eastAsia="宋体" w:hAnsi="宋体" w:hint="eastAsia"/>
          <w:color w:val="000000"/>
          <w:kern w:val="0"/>
          <w:szCs w:val="21"/>
          <w:lang w:val="zh-CN"/>
        </w:rPr>
        <w:t>要求行政机关追究加害人责任的，受害人有利害关系，可以当原告。</w:t>
      </w:r>
    </w:p>
    <w:p w14:paraId="7B2D9637">
      <w:pPr>
        <w:pStyle w:val="style0"/>
        <w:tabs>
          <w:tab w:val="left" w:leader="none" w:pos="420"/>
        </w:tabs>
        <w:ind w:firstLine="420" w:firstLineChars="200"/>
        <w:rPr>
          <w:rFonts w:ascii="宋体" w:cs="汉仪中黑简" w:eastAsia="宋体" w:hAnsi="宋体" w:hint="eastAsia"/>
          <w:bCs/>
          <w:color w:val="000000"/>
          <w:kern w:val="44"/>
          <w:szCs w:val="21"/>
        </w:rPr>
      </w:pPr>
      <w:r>
        <w:rPr>
          <w:rFonts w:ascii="宋体" w:cs="汉仪中黑简" w:eastAsia="宋体" w:hAnsi="宋体" w:hint="eastAsia"/>
          <w:bCs/>
          <w:color w:val="000000"/>
          <w:kern w:val="44"/>
          <w:szCs w:val="21"/>
        </w:rPr>
        <w:t>3．公平竞争权关系：</w:t>
      </w:r>
      <w:r>
        <w:rPr>
          <w:rFonts w:ascii="宋体" w:cs="汉仪书宋二简" w:eastAsia="宋体" w:hAnsi="宋体" w:hint="eastAsia"/>
          <w:color w:val="000000"/>
          <w:kern w:val="0"/>
          <w:szCs w:val="21"/>
          <w:lang w:val="zh-CN"/>
        </w:rPr>
        <w:t>行政行为违反公平竞争程序作出的行为，公平竞争权受侵害的当事人有利害关系，可以当原告。</w:t>
      </w:r>
    </w:p>
    <w:p w14:paraId="1EE8B5AB">
      <w:pPr>
        <w:pStyle w:val="style0"/>
        <w:tabs>
          <w:tab w:val="left" w:leader="none" w:pos="420"/>
        </w:tabs>
        <w:ind w:firstLine="420" w:firstLineChars="200"/>
        <w:rPr>
          <w:rFonts w:ascii="宋体" w:cs="汉仪中黑简" w:eastAsia="宋体" w:hAnsi="宋体" w:hint="eastAsia"/>
          <w:bCs/>
          <w:color w:val="000000"/>
          <w:kern w:val="44"/>
          <w:szCs w:val="21"/>
        </w:rPr>
      </w:pPr>
      <w:r>
        <w:rPr>
          <w:rFonts w:ascii="宋体" w:cs="汉仪中黑简" w:eastAsia="宋体" w:hAnsi="宋体" w:hint="eastAsia"/>
          <w:bCs/>
          <w:color w:val="000000"/>
          <w:kern w:val="44"/>
          <w:szCs w:val="21"/>
        </w:rPr>
        <w:t>4．行政程序中追加为第三人的关系：</w:t>
      </w:r>
      <w:r>
        <w:rPr>
          <w:rFonts w:ascii="宋体" w:cs="汉仪书宋二简" w:eastAsia="宋体" w:hAnsi="宋体" w:hint="eastAsia"/>
          <w:color w:val="000000"/>
          <w:kern w:val="0"/>
          <w:szCs w:val="21"/>
          <w:lang w:val="zh-CN"/>
        </w:rPr>
        <w:t>在行政复议等行政程序中被追加为第三人的，第三人享有原告资格。</w:t>
      </w:r>
    </w:p>
    <w:p w14:paraId="608E13FF">
      <w:pPr>
        <w:pStyle w:val="style0"/>
        <w:tabs>
          <w:tab w:val="left" w:leader="none" w:pos="420"/>
        </w:tabs>
        <w:ind w:firstLine="420" w:firstLineChars="200"/>
        <w:rPr>
          <w:rFonts w:ascii="宋体" w:cs="汉仪中黑简" w:eastAsia="宋体" w:hAnsi="宋体" w:hint="eastAsia"/>
          <w:bCs/>
          <w:color w:val="000000"/>
          <w:kern w:val="44"/>
          <w:szCs w:val="21"/>
        </w:rPr>
      </w:pPr>
      <w:r>
        <w:rPr>
          <w:rFonts w:ascii="宋体" w:cs="汉仪中黑简" w:eastAsia="宋体" w:hAnsi="宋体" w:hint="eastAsia"/>
          <w:bCs/>
          <w:color w:val="000000"/>
          <w:kern w:val="44"/>
          <w:szCs w:val="21"/>
        </w:rPr>
        <w:t>5．信赖利益关系：</w:t>
      </w:r>
      <w:r>
        <w:rPr>
          <w:rFonts w:ascii="宋体" w:cs="汉仪书宋二简" w:eastAsia="宋体" w:hAnsi="宋体" w:hint="eastAsia"/>
          <w:color w:val="000000"/>
          <w:kern w:val="0"/>
          <w:szCs w:val="21"/>
          <w:lang w:val="zh-CN"/>
        </w:rPr>
        <w:t>撤销或变更行政行为涉及当事人合法权益的，该当事人可以作为原告起诉。</w:t>
      </w:r>
    </w:p>
    <w:p w14:paraId="45A2044A">
      <w:pPr>
        <w:pStyle w:val="style0"/>
        <w:tabs>
          <w:tab w:val="left" w:leader="none" w:pos="420"/>
        </w:tabs>
        <w:ind w:firstLine="420" w:firstLineChars="200"/>
        <w:rPr>
          <w:rFonts w:ascii="宋体" w:cs="汉仪中黑简" w:eastAsia="宋体" w:hAnsi="宋体" w:hint="eastAsia"/>
          <w:bCs/>
          <w:color w:val="000000"/>
          <w:kern w:val="44"/>
          <w:szCs w:val="21"/>
        </w:rPr>
      </w:pPr>
      <w:r>
        <w:rPr>
          <w:rFonts w:ascii="宋体" w:cs="汉仪中黑简" w:eastAsia="宋体" w:hAnsi="宋体" w:hint="eastAsia"/>
          <w:bCs/>
          <w:color w:val="000000"/>
          <w:kern w:val="44"/>
          <w:szCs w:val="21"/>
        </w:rPr>
        <w:t>6．自益型投诉举报关系</w:t>
      </w:r>
    </w:p>
    <w:p w14:paraId="738B5EE0">
      <w:pPr>
        <w:pStyle w:val="style0"/>
        <w:autoSpaceDE w:val="false"/>
        <w:autoSpaceDN w:val="false"/>
        <w:adjustRightInd w:val="false"/>
        <w:ind w:firstLine="425"/>
        <w:rPr>
          <w:rFonts w:ascii="宋体" w:cs="汉仪书宋二简" w:eastAsia="宋体" w:hAnsi="宋体" w:hint="eastAsia"/>
          <w:color w:val="000000"/>
          <w:kern w:val="0"/>
          <w:szCs w:val="21"/>
          <w:lang w:val="zh-CN"/>
        </w:rPr>
      </w:pPr>
      <w:r>
        <w:rPr>
          <w:rFonts w:ascii="宋体" w:cs="汉仪书宋二简" w:eastAsia="宋体" w:hAnsi="宋体" w:hint="eastAsia"/>
          <w:color w:val="000000"/>
          <w:kern w:val="0"/>
          <w:szCs w:val="21"/>
          <w:lang w:val="zh-CN"/>
        </w:rPr>
        <w:t>（1）</w:t>
      </w:r>
      <w:bookmarkStart w:id="2" w:name="_Hlk11219314"/>
      <w:r>
        <w:rPr>
          <w:rFonts w:ascii="宋体" w:cs="汉仪书宋二简" w:eastAsia="宋体" w:hAnsi="宋体" w:hint="eastAsia"/>
          <w:color w:val="000000"/>
          <w:kern w:val="0"/>
          <w:szCs w:val="21"/>
          <w:lang w:val="zh-CN"/>
        </w:rPr>
        <w:t>自益型投诉举报人，有行政诉讼的原告资格。</w:t>
      </w:r>
      <w:bookmarkEnd w:id="2"/>
    </w:p>
    <w:p w14:paraId="44C3A8F7">
      <w:pPr>
        <w:pStyle w:val="style0"/>
        <w:autoSpaceDE w:val="false"/>
        <w:autoSpaceDN w:val="false"/>
        <w:adjustRightInd w:val="false"/>
        <w:ind w:firstLine="425"/>
        <w:rPr>
          <w:rFonts w:ascii="宋体" w:cs="汉仪书宋二简" w:eastAsia="宋体" w:hAnsi="宋体" w:hint="eastAsia"/>
          <w:color w:val="000000"/>
          <w:kern w:val="0"/>
          <w:szCs w:val="21"/>
          <w:lang w:val="zh-CN"/>
        </w:rPr>
      </w:pPr>
      <w:r>
        <w:rPr>
          <w:rFonts w:ascii="宋体" w:cs="汉仪书宋二简" w:eastAsia="宋体" w:hAnsi="宋体" w:hint="eastAsia"/>
          <w:color w:val="000000"/>
          <w:kern w:val="0"/>
          <w:szCs w:val="21"/>
          <w:lang w:val="zh-CN"/>
        </w:rPr>
        <w:t>（2）</w:t>
      </w:r>
      <w:r>
        <w:rPr>
          <w:rFonts w:ascii="宋体" w:cs="汉仪书宋二简" w:eastAsia="宋体" w:hAnsi="宋体" w:hint="eastAsia"/>
          <w:color w:val="000000"/>
          <w:kern w:val="0"/>
          <w:szCs w:val="21"/>
          <w:lang w:val="zh-CN"/>
        </w:rPr>
        <w:t>公益型投诉举报人，没有行政诉讼的原告资格</w:t>
      </w:r>
      <w:r>
        <w:rPr>
          <w:rFonts w:ascii="宋体" w:cs="汉仪书宋二简" w:eastAsia="宋体" w:hAnsi="宋体" w:hint="eastAsia"/>
          <w:color w:val="000000"/>
          <w:kern w:val="0"/>
          <w:szCs w:val="21"/>
          <w:lang w:val="zh-CN"/>
        </w:rPr>
        <w:t>。</w:t>
      </w:r>
    </w:p>
    <w:p w14:paraId="2135F3A9">
      <w:pPr>
        <w:pStyle w:val="style0"/>
        <w:autoSpaceDE w:val="false"/>
        <w:autoSpaceDN w:val="false"/>
        <w:adjustRightInd w:val="false"/>
        <w:ind w:firstLine="425"/>
        <w:rPr>
          <w:rFonts w:ascii="宋体" w:cs="汉仪书宋二简" w:eastAsia="宋体" w:hAnsi="宋体" w:hint="eastAsia"/>
          <w:color w:val="000000"/>
          <w:kern w:val="0"/>
          <w:szCs w:val="21"/>
          <w:lang w:val="zh-CN"/>
        </w:rPr>
      </w:pPr>
      <w:r>
        <w:rPr>
          <w:rFonts w:ascii="宋体" w:cs="汉仪书宋二简" w:eastAsia="宋体" w:hAnsi="宋体" w:hint="eastAsia"/>
          <w:color w:val="000000"/>
          <w:kern w:val="0"/>
          <w:szCs w:val="21"/>
          <w:lang w:val="zh-CN"/>
        </w:rPr>
        <w:t>（3）职业打假人投诉举报的，没有原告资格。</w:t>
      </w:r>
      <w:r>
        <w:rPr>
          <w:rFonts w:ascii="宋体" w:cs="汉仪书宋二简" w:eastAsia="宋体" w:hAnsi="宋体" w:hint="eastAsia"/>
          <w:color w:val="4472c4"/>
          <w:kern w:val="0"/>
          <w:szCs w:val="21"/>
          <w:lang w:val="zh-CN"/>
        </w:rPr>
        <w:t>（食品药品案件可以提起民事诉讼）</w:t>
      </w:r>
    </w:p>
    <w:p w14:paraId="2DD14B66">
      <w:pPr>
        <w:pStyle w:val="style0"/>
        <w:autoSpaceDE w:val="false"/>
        <w:autoSpaceDN w:val="false"/>
        <w:adjustRightInd w:val="false"/>
        <w:textAlignment w:val="center"/>
        <w:rPr>
          <w:rFonts w:ascii="宋体" w:cs="汉仪大宋简" w:eastAsia="宋体" w:hAnsi="宋体" w:hint="eastAsia"/>
          <w:b/>
          <w:bCs/>
          <w:color w:val="000000"/>
          <w:kern w:val="0"/>
          <w:szCs w:val="21"/>
          <w:lang w:val="zh-CN"/>
        </w:rPr>
      </w:pPr>
      <w:r>
        <w:rPr>
          <w:rFonts w:ascii="宋体" w:cs="汉仪大宋简" w:eastAsia="宋体" w:hAnsi="宋体" w:hint="eastAsia"/>
          <w:b/>
          <w:bCs/>
          <w:color w:val="000000"/>
          <w:kern w:val="0"/>
          <w:szCs w:val="21"/>
          <w:lang w:val="zh-CN"/>
        </w:rPr>
        <w:t>六</w:t>
      </w:r>
      <w:r>
        <w:rPr>
          <w:rFonts w:ascii="宋体" w:cs="汉仪大宋简" w:eastAsia="宋体" w:hAnsi="宋体" w:hint="eastAsia"/>
          <w:b/>
          <w:bCs/>
          <w:color w:val="000000"/>
          <w:kern w:val="0"/>
          <w:szCs w:val="21"/>
          <w:lang w:val="zh-CN"/>
        </w:rPr>
        <w:t>、利害关系的否定列举</w:t>
      </w:r>
    </w:p>
    <w:p w14:paraId="514659F3">
      <w:pPr>
        <w:pStyle w:val="style0"/>
        <w:autoSpaceDE w:val="false"/>
        <w:autoSpaceDN w:val="false"/>
        <w:adjustRightInd w:val="false"/>
        <w:ind w:firstLine="425"/>
        <w:rPr>
          <w:rFonts w:ascii="宋体" w:cs="汉仪书宋二简" w:eastAsia="宋体" w:hAnsi="宋体" w:hint="eastAsia"/>
          <w:color w:val="000000"/>
          <w:kern w:val="0"/>
          <w:szCs w:val="21"/>
          <w:lang w:val="zh-CN"/>
        </w:rPr>
      </w:pPr>
      <w:r>
        <w:rPr>
          <w:rFonts w:ascii="宋体" w:cs="汉仪书宋二简" w:eastAsia="宋体" w:hAnsi="宋体" w:hint="eastAsia"/>
          <w:color w:val="000000"/>
          <w:kern w:val="0"/>
          <w:szCs w:val="21"/>
          <w:lang w:val="zh-CN"/>
        </w:rPr>
        <w:t>行政诉讼中没有利害关系的类型主要有：</w:t>
      </w:r>
    </w:p>
    <w:p w14:paraId="12F5AD93">
      <w:pPr>
        <w:pStyle w:val="style0"/>
        <w:tabs>
          <w:tab w:val="left" w:leader="none" w:pos="420"/>
        </w:tabs>
        <w:ind w:firstLine="420" w:firstLineChars="200"/>
        <w:rPr>
          <w:rFonts w:ascii="宋体" w:cs="汉仪中黑简" w:eastAsia="宋体" w:hAnsi="宋体" w:hint="eastAsia"/>
          <w:bCs/>
          <w:color w:val="000000"/>
          <w:kern w:val="44"/>
          <w:szCs w:val="21"/>
        </w:rPr>
      </w:pPr>
      <w:r>
        <w:rPr>
          <w:rFonts w:ascii="宋体" w:cs="汉仪中黑简" w:eastAsia="宋体" w:hAnsi="宋体" w:hint="eastAsia"/>
          <w:bCs/>
          <w:color w:val="000000"/>
          <w:kern w:val="44"/>
          <w:szCs w:val="21"/>
        </w:rPr>
        <w:t>1．近亲属关系</w:t>
      </w:r>
      <w:bookmarkStart w:id="3" w:name="_Hlk82787653"/>
      <w:r>
        <w:rPr>
          <w:rFonts w:ascii="宋体" w:cs="汉仪中黑简" w:eastAsia="宋体" w:hAnsi="宋体" w:hint="eastAsia"/>
          <w:bCs/>
          <w:color w:val="000000"/>
          <w:kern w:val="44"/>
          <w:szCs w:val="21"/>
        </w:rPr>
        <w:t>：</w:t>
      </w:r>
      <w:r>
        <w:rPr>
          <w:rFonts w:ascii="宋体" w:cs="汉仪书宋二简" w:eastAsia="宋体" w:hAnsi="宋体" w:hint="eastAsia"/>
          <w:color w:val="000000"/>
          <w:kern w:val="0"/>
          <w:szCs w:val="21"/>
          <w:lang w:val="zh-CN"/>
        </w:rPr>
        <w:t>行政机关针对行政相对人作出行政行为的，行政相对人的近亲属不具有原告资格起诉该行政行为。</w:t>
      </w:r>
    </w:p>
    <w:bookmarkEnd w:id="3"/>
    <w:p w14:paraId="7610A243">
      <w:pPr>
        <w:pStyle w:val="style0"/>
        <w:tabs>
          <w:tab w:val="left" w:leader="none" w:pos="420"/>
        </w:tabs>
        <w:ind w:firstLine="420" w:firstLineChars="200"/>
        <w:rPr>
          <w:rFonts w:ascii="宋体" w:cs="汉仪中黑简" w:eastAsia="宋体" w:hAnsi="宋体" w:hint="eastAsia"/>
          <w:bCs/>
          <w:color w:val="000000"/>
          <w:kern w:val="44"/>
          <w:szCs w:val="21"/>
        </w:rPr>
      </w:pPr>
      <w:r>
        <w:rPr>
          <w:rFonts w:ascii="宋体" w:cs="汉仪中黑简" w:eastAsia="宋体" w:hAnsi="宋体" w:hint="eastAsia"/>
          <w:bCs/>
          <w:color w:val="000000"/>
          <w:kern w:val="44"/>
          <w:szCs w:val="21"/>
        </w:rPr>
        <w:t>2．债权债务关系：</w:t>
      </w:r>
      <w:r>
        <w:rPr>
          <w:rFonts w:ascii="宋体" w:cs="汉仪书宋二简" w:eastAsia="宋体" w:hAnsi="宋体" w:hint="eastAsia"/>
          <w:color w:val="000000"/>
          <w:kern w:val="0"/>
          <w:szCs w:val="21"/>
          <w:lang w:val="zh-CN"/>
        </w:rPr>
        <w:t>行政机关针对债务人实施的行政行为，债权人没有原告资格起诉该行政行为。</w:t>
      </w:r>
    </w:p>
    <w:p w14:paraId="772DD794">
      <w:pPr>
        <w:pStyle w:val="style0"/>
        <w:tabs>
          <w:tab w:val="left" w:leader="none" w:pos="420"/>
        </w:tabs>
        <w:adjustRightInd w:val="false"/>
        <w:snapToGrid w:val="false"/>
        <w:ind w:firstLine="420" w:firstLineChars="200"/>
        <w:rPr>
          <w:rFonts w:ascii="宋体" w:cs="Times New Roman" w:eastAsia="宋体" w:hAnsi="宋体" w:hint="eastAsia"/>
          <w:color w:val="000000"/>
          <w:szCs w:val="21"/>
        </w:rPr>
      </w:pPr>
      <w:r>
        <w:rPr>
          <w:rFonts w:ascii="宋体" w:cs="宋体" w:eastAsia="宋体" w:hAnsi="宋体" w:hint="eastAsia"/>
          <w:noProof/>
          <w:szCs w:val="21"/>
          <w14:ligatures xmlns:w14="http://schemas.microsoft.com/office/word/2010/wordml" w14:val="standardContextual"/>
        </w:rPr>
        <mc:AlternateContent>
          <mc:Choice Requires="wps">
            <w:drawing>
              <wp:anchor distT="0" distB="0" distL="0" distR="0" simplePos="false" relativeHeight="2" behindDoc="false" locked="false" layoutInCell="true" allowOverlap="true">
                <wp:simplePos x="0" y="0"/>
                <wp:positionH relativeFrom="column">
                  <wp:posOffset>85725</wp:posOffset>
                </wp:positionH>
                <wp:positionV relativeFrom="paragraph">
                  <wp:posOffset>69850</wp:posOffset>
                </wp:positionV>
                <wp:extent cx="142875" cy="142875"/>
                <wp:effectExtent l="0" t="0" r="9525" b="9525"/>
                <wp:wrapNone/>
                <wp:docPr id="1026" name="五角星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875" cy="142875"/>
                        </a:xfrm>
                        <a:prstGeom prst="star5"/>
                        <a:solidFill>
                          <a:srgbClr val="ff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26" type="#_x0000_t12" adj="4125," fillcolor="red" stroked="f" style="position:absolute;margin-left:6.75pt;margin-top:5.5pt;width:11.25pt;height:11.25pt;z-index:2;mso-position-horizontal-relative:text;mso-position-vertical-relative:text;mso-width-percent:0;mso-height-percent:0;mso-width-relative:page;mso-height-relative:page;mso-wrap-distance-left:0.0pt;mso-wrap-distance-right:0.0pt;visibility:visible;">
                <v:stroke on="f"/>
                <v:fill/>
              </v:shape>
            </w:pict>
          </mc:Fallback>
        </mc:AlternateContent>
      </w:r>
      <w:r>
        <w:rPr>
          <w:rFonts w:ascii="宋体" w:cs="仿宋" w:eastAsia="宋体" w:hAnsi="宋体" w:hint="eastAsia"/>
          <w:color w:val="ff0000"/>
          <w:szCs w:val="21"/>
        </w:rPr>
        <w:t>注意：</w:t>
      </w:r>
      <w:r>
        <w:rPr>
          <w:rFonts w:ascii="宋体" w:cs="Times New Roman" w:eastAsia="宋体" w:hAnsi="宋体" w:hint="eastAsia"/>
          <w:color w:val="000000"/>
          <w:szCs w:val="21"/>
        </w:rPr>
        <w:t>如果行政机关针对债务人作出的行政行为会直接减损债权人合法权益的，债权人可以起诉。实践中经常发生的情形就是：</w:t>
      </w:r>
      <w:r>
        <w:rPr>
          <w:rFonts w:ascii="宋体" w:cs="Times New Roman" w:eastAsia="宋体" w:hAnsi="宋体" w:hint="eastAsia"/>
          <w:color w:val="ff0000"/>
          <w:szCs w:val="21"/>
        </w:rPr>
        <w:t>行政机关以经销商出售的商品产品质量有问题作出罚款决定的，该商品制造商有原告资格</w:t>
      </w:r>
      <w:r>
        <w:rPr>
          <w:rFonts w:ascii="宋体" w:cs="Times New Roman" w:eastAsia="宋体" w:hAnsi="宋体" w:hint="eastAsia"/>
          <w:color w:val="000000"/>
          <w:szCs w:val="21"/>
        </w:rPr>
        <w:t>。</w:t>
      </w:r>
    </w:p>
    <w:bookmarkStart w:id="4" w:name="_Hlk37839567"/>
    <w:p w14:paraId="1DBA29BB">
      <w:pPr>
        <w:pStyle w:val="style0"/>
        <w:autoSpaceDE w:val="false"/>
        <w:autoSpaceDN w:val="false"/>
        <w:adjustRightInd w:val="false"/>
        <w:textAlignment w:val="center"/>
        <w:rPr>
          <w:rFonts w:ascii="宋体" w:cs="汉仪大宋简" w:eastAsia="宋体" w:hAnsi="宋体"/>
          <w:b/>
          <w:bCs/>
          <w:color w:val="000000"/>
          <w:kern w:val="0"/>
          <w:szCs w:val="21"/>
          <w:lang w:val="zh-CN"/>
        </w:rPr>
      </w:pPr>
      <w:r>
        <w:rPr>
          <w:rFonts w:ascii="宋体" w:cs="汉仪大宋简" w:eastAsia="宋体" w:hAnsi="宋体" w:hint="eastAsia"/>
          <w:b/>
          <w:bCs/>
          <w:color w:val="000000"/>
          <w:kern w:val="0"/>
          <w:szCs w:val="21"/>
          <w:lang w:val="zh-CN"/>
        </w:rPr>
        <w:t>七</w:t>
      </w:r>
      <w:r>
        <w:rPr>
          <w:rFonts w:ascii="宋体" w:cs="汉仪大宋简" w:eastAsia="宋体" w:hAnsi="宋体" w:hint="eastAsia"/>
          <w:b/>
          <w:bCs/>
          <w:color w:val="000000"/>
          <w:kern w:val="0"/>
          <w:szCs w:val="21"/>
          <w:lang w:val="zh-CN"/>
        </w:rPr>
        <w:t>、其他案件中原告资格的确认</w:t>
      </w:r>
    </w:p>
    <w:p w14:paraId="09DFB797">
      <w:pPr>
        <w:pStyle w:val="style0"/>
        <w:autoSpaceDE w:val="false"/>
        <w:autoSpaceDN w:val="false"/>
        <w:adjustRightInd w:val="false"/>
        <w:ind w:firstLine="420" w:firstLineChars="200"/>
        <w:textAlignment w:val="center"/>
        <w:rPr>
          <w:rFonts w:ascii="宋体" w:cs="汉仪大宋简" w:eastAsia="宋体" w:hAnsi="宋体" w:hint="eastAsia"/>
          <w:color w:val="000000"/>
          <w:kern w:val="0"/>
          <w:szCs w:val="21"/>
          <w:lang w:val="zh-CN"/>
        </w:rPr>
      </w:pPr>
      <w:r>
        <w:rPr>
          <w:rFonts w:ascii="宋体" w:cs="汉仪大宋简" w:eastAsia="宋体" w:hAnsi="宋体" w:hint="eastAsia"/>
          <w:color w:val="000000"/>
          <w:kern w:val="0"/>
          <w:szCs w:val="21"/>
          <w:lang w:val="zh-CN"/>
        </w:rPr>
        <w:t>1.</w:t>
      </w:r>
      <w:r>
        <w:rPr>
          <w:rFonts w:ascii="宋体" w:cs="Arial Unicode MS" w:eastAsia="宋体" w:hAnsi="宋体" w:hint="eastAsia"/>
          <w:bCs/>
          <w:color w:val="000000"/>
          <w:kern w:val="0"/>
          <w:szCs w:val="21"/>
        </w:rPr>
        <w:t xml:space="preserve"> 有权提起诉讼的公民死亡的：</w:t>
      </w:r>
      <w:r>
        <w:rPr>
          <w:rFonts w:ascii="宋体" w:cs="Arial Unicode MS" w:eastAsia="宋体" w:hAnsi="宋体" w:hint="eastAsia"/>
          <w:color w:val="000000"/>
          <w:kern w:val="0"/>
          <w:szCs w:val="21"/>
        </w:rPr>
        <w:t>其</w:t>
      </w:r>
      <w:r>
        <w:rPr>
          <w:rFonts w:ascii="宋体" w:cs="Arial Unicode MS" w:eastAsia="宋体" w:hAnsi="宋体" w:hint="eastAsia"/>
          <w:color w:val="ff0000"/>
          <w:kern w:val="0"/>
          <w:szCs w:val="21"/>
        </w:rPr>
        <w:t>近亲属可以自己的名义</w:t>
      </w:r>
      <w:r>
        <w:rPr>
          <w:rFonts w:ascii="宋体" w:cs="Arial Unicode MS" w:eastAsia="宋体" w:hAnsi="宋体" w:hint="eastAsia"/>
          <w:color w:val="000000"/>
          <w:kern w:val="0"/>
          <w:szCs w:val="21"/>
        </w:rPr>
        <w:t>提起诉讼</w:t>
      </w:r>
    </w:p>
    <w:p w14:paraId="281D6D94">
      <w:pPr>
        <w:pStyle w:val="style0"/>
        <w:autoSpaceDE w:val="false"/>
        <w:autoSpaceDN w:val="false"/>
        <w:adjustRightInd w:val="false"/>
        <w:ind w:firstLine="420" w:firstLineChars="200"/>
        <w:textAlignment w:val="center"/>
        <w:rPr>
          <w:rFonts w:ascii="宋体" w:cs="汉仪大宋简" w:eastAsia="宋体" w:hAnsi="宋体" w:hint="eastAsia"/>
          <w:color w:val="000000"/>
          <w:kern w:val="0"/>
          <w:szCs w:val="21"/>
        </w:rPr>
      </w:pPr>
      <w:r>
        <w:rPr>
          <w:rFonts w:ascii="宋体" w:cs="汉仪大宋简" w:eastAsia="宋体" w:hAnsi="宋体" w:hint="eastAsia"/>
          <w:color w:val="000000"/>
          <w:kern w:val="0"/>
          <w:szCs w:val="21"/>
        </w:rPr>
        <w:t>2</w:t>
      </w:r>
      <w:r>
        <w:rPr>
          <w:rFonts w:ascii="宋体" w:cs="汉仪大宋简" w:eastAsia="宋体" w:hAnsi="宋体" w:hint="eastAsia"/>
          <w:color w:val="000000"/>
          <w:kern w:val="0"/>
          <w:szCs w:val="21"/>
        </w:rPr>
        <w:t>.</w:t>
      </w:r>
      <w:r>
        <w:rPr>
          <w:rFonts w:ascii="宋体" w:cs="Arial Unicode MS" w:eastAsia="宋体" w:hAnsi="宋体" w:hint="eastAsia"/>
          <w:bCs/>
          <w:color w:val="000000"/>
          <w:kern w:val="0"/>
          <w:szCs w:val="21"/>
        </w:rPr>
        <w:t xml:space="preserve"> 非营利法人案件：</w:t>
      </w:r>
      <w:r>
        <w:rPr>
          <w:rFonts w:ascii="宋体" w:cs="Arial Unicode MS" w:eastAsia="宋体" w:hAnsi="宋体" w:hint="eastAsia"/>
          <w:color w:val="000000"/>
          <w:kern w:val="0"/>
          <w:szCs w:val="21"/>
        </w:rPr>
        <w:t>事业单位、社会团体、基金会、社会服务机构等非营利法人的</w:t>
      </w:r>
      <w:r>
        <w:rPr>
          <w:rFonts w:ascii="宋体" w:cs="Arial Unicode MS" w:eastAsia="宋体" w:hAnsi="宋体" w:hint="eastAsia"/>
          <w:color w:val="ff0000"/>
          <w:kern w:val="0"/>
          <w:szCs w:val="21"/>
        </w:rPr>
        <w:t>负责人、出资人、设立人</w:t>
      </w:r>
      <w:r>
        <w:rPr>
          <w:rFonts w:ascii="宋体" w:cs="Arial Unicode MS" w:eastAsia="宋体" w:hAnsi="宋体" w:hint="eastAsia"/>
          <w:color w:val="000000"/>
          <w:kern w:val="0"/>
          <w:szCs w:val="21"/>
        </w:rPr>
        <w:t>可以自己的名义提起诉讼</w:t>
      </w:r>
    </w:p>
    <w:p w14:paraId="0C019FC9">
      <w:pPr>
        <w:pStyle w:val="style0"/>
        <w:tabs>
          <w:tab w:val="left" w:leader="none" w:pos="420"/>
        </w:tabs>
        <w:spacing w:before="31" w:beforeLines="10" w:after="62" w:afterLines="20"/>
        <w:ind w:firstLine="420" w:firstLineChars="200"/>
        <w:rPr>
          <w:rFonts w:ascii="宋体" w:cs="宋体" w:eastAsia="宋体" w:hAnsi="宋体" w:hint="eastAsia"/>
          <w:color w:val="000000"/>
          <w:kern w:val="0"/>
          <w:szCs w:val="21"/>
        </w:rPr>
      </w:pPr>
      <w:r>
        <w:rPr>
          <w:rFonts w:ascii="宋体" w:cs="汉仪大宋简" w:eastAsia="宋体" w:hAnsi="宋体" w:hint="eastAsia"/>
          <w:color w:val="000000"/>
          <w:kern w:val="0"/>
          <w:szCs w:val="21"/>
          <w:lang w:val="zh-CN"/>
        </w:rPr>
        <w:t>3</w:t>
      </w:r>
      <w:r>
        <w:rPr>
          <w:rFonts w:ascii="宋体" w:cs="汉仪大宋简" w:eastAsia="宋体" w:hAnsi="宋体" w:hint="eastAsia"/>
          <w:color w:val="000000"/>
          <w:kern w:val="0"/>
          <w:szCs w:val="21"/>
          <w:lang w:val="zh-CN"/>
        </w:rPr>
        <w:t>.</w:t>
      </w:r>
      <w:r>
        <w:rPr>
          <w:rFonts w:ascii="宋体" w:cs="Arial Unicode MS" w:eastAsia="宋体" w:hAnsi="宋体" w:hint="eastAsia"/>
          <w:bCs/>
          <w:color w:val="000000"/>
          <w:kern w:val="0"/>
          <w:szCs w:val="21"/>
        </w:rPr>
        <w:t xml:space="preserve"> </w:t>
      </w:r>
      <w:r>
        <w:rPr>
          <w:rFonts w:ascii="宋体" w:cs="Arial Unicode MS" w:eastAsia="宋体" w:hAnsi="宋体" w:hint="eastAsia"/>
          <w:bCs/>
          <w:color w:val="000000"/>
          <w:kern w:val="0"/>
          <w:szCs w:val="21"/>
        </w:rPr>
        <w:t>行政行为针对业主共有利益作出的案件</w:t>
      </w:r>
      <w:r>
        <w:rPr>
          <w:rFonts w:ascii="宋体" w:cs="Arial Unicode MS" w:eastAsia="宋体" w:hAnsi="宋体" w:hint="eastAsia"/>
          <w:bCs/>
          <w:color w:val="000000"/>
          <w:kern w:val="0"/>
          <w:szCs w:val="21"/>
        </w:rPr>
        <w:t>：</w:t>
      </w:r>
      <w:r>
        <w:rPr>
          <w:rFonts w:ascii="宋体" w:cs="Arial Unicode MS" w:eastAsia="宋体" w:hAnsi="宋体" w:hint="eastAsia"/>
          <w:color w:val="ff0000"/>
          <w:kern w:val="0"/>
          <w:szCs w:val="21"/>
        </w:rPr>
        <w:t>业主委员会</w:t>
      </w:r>
      <w:r>
        <w:rPr>
          <w:rFonts w:ascii="宋体" w:cs="Arial Unicode MS" w:eastAsia="宋体" w:hAnsi="宋体" w:hint="eastAsia"/>
          <w:color w:val="000000"/>
          <w:kern w:val="0"/>
          <w:szCs w:val="21"/>
        </w:rPr>
        <w:t>对于涉及业主共有利益的行政行为，可以自己的名义提起诉讼，</w:t>
      </w:r>
      <w:r>
        <w:rPr>
          <w:rFonts w:ascii="宋体" w:cs="Arial Unicode MS" w:eastAsia="宋体" w:hAnsi="宋体" w:hint="eastAsia"/>
          <w:color w:val="ff0000"/>
          <w:kern w:val="0"/>
          <w:szCs w:val="21"/>
        </w:rPr>
        <w:t>业主委员会不起诉的，</w:t>
      </w:r>
      <w:r>
        <w:rPr>
          <w:rFonts w:ascii="宋体" w:cs="Arial Unicode MS" w:eastAsia="宋体" w:hAnsi="宋体" w:hint="eastAsia"/>
          <w:color w:val="000000"/>
          <w:kern w:val="0"/>
          <w:szCs w:val="21"/>
        </w:rPr>
        <w:t>专有部分占建筑物总面积过半数或占总户数</w:t>
      </w:r>
      <w:r>
        <w:rPr>
          <w:rFonts w:ascii="宋体" w:cs="Arial Unicode MS" w:eastAsia="宋体" w:hAnsi="宋体" w:hint="eastAsia"/>
          <w:color w:val="ff0000"/>
          <w:kern w:val="0"/>
          <w:szCs w:val="21"/>
        </w:rPr>
        <w:t>过半数的业主可以提起诉讼</w:t>
      </w:r>
    </w:p>
    <w:p w14:paraId="355B8D67">
      <w:pPr>
        <w:pStyle w:val="style0"/>
        <w:tabs>
          <w:tab w:val="left" w:leader="none" w:pos="420"/>
        </w:tabs>
        <w:spacing w:before="31" w:beforeLines="10" w:after="62" w:afterLines="20"/>
        <w:ind w:firstLine="420" w:firstLineChars="200"/>
        <w:rPr>
          <w:rFonts w:ascii="宋体" w:cs="Arial Unicode MS" w:eastAsia="宋体" w:hAnsi="宋体" w:hint="eastAsia"/>
          <w:color w:val="000000"/>
          <w:kern w:val="0"/>
          <w:szCs w:val="21"/>
        </w:rPr>
      </w:pPr>
      <w:r>
        <w:rPr>
          <w:rFonts w:ascii="宋体" w:cs="汉仪大宋简" w:eastAsia="宋体" w:hAnsi="宋体" w:hint="eastAsia"/>
          <w:color w:val="000000"/>
          <w:kern w:val="0"/>
          <w:szCs w:val="21"/>
        </w:rPr>
        <w:t>4</w:t>
      </w:r>
      <w:r>
        <w:rPr>
          <w:rFonts w:ascii="宋体" w:cs="汉仪大宋简" w:eastAsia="宋体" w:hAnsi="宋体" w:hint="eastAsia"/>
          <w:color w:val="000000"/>
          <w:kern w:val="0"/>
          <w:szCs w:val="21"/>
        </w:rPr>
        <w:t>.</w:t>
      </w:r>
      <w:r>
        <w:rPr>
          <w:rFonts w:ascii="宋体" w:cs="Arial Unicode MS" w:eastAsia="宋体" w:hAnsi="宋体" w:hint="eastAsia"/>
          <w:bCs/>
          <w:color w:val="000000"/>
          <w:kern w:val="0"/>
          <w:szCs w:val="21"/>
        </w:rPr>
        <w:t xml:space="preserve"> 合伙企业案件：</w:t>
      </w:r>
      <w:r>
        <w:rPr>
          <w:rFonts w:ascii="宋体" w:cs="Arial Unicode MS" w:eastAsia="宋体" w:hAnsi="宋体" w:hint="eastAsia"/>
          <w:color w:val="ff0000"/>
          <w:kern w:val="0"/>
          <w:szCs w:val="21"/>
        </w:rPr>
        <w:t>有字号的，应当以核准登记的字号为原告</w:t>
      </w:r>
      <w:r>
        <w:rPr>
          <w:rFonts w:ascii="宋体" w:cs="宋体" w:eastAsia="宋体" w:hAnsi="宋体" w:hint="eastAsia"/>
          <w:color w:val="ff0000"/>
          <w:kern w:val="0"/>
          <w:szCs w:val="21"/>
        </w:rPr>
        <w:t>；</w:t>
      </w:r>
      <w:r>
        <w:rPr>
          <w:rFonts w:ascii="宋体" w:cs="Arial Unicode MS" w:eastAsia="宋体" w:hAnsi="宋体" w:hint="eastAsia"/>
          <w:color w:val="000000"/>
          <w:kern w:val="0"/>
          <w:szCs w:val="21"/>
        </w:rPr>
        <w:t>无字号的，全体合伙人为共同原告（可以推选代表人）</w:t>
      </w:r>
    </w:p>
    <w:p w14:paraId="144C88C7">
      <w:pPr>
        <w:pStyle w:val="style0"/>
        <w:tabs>
          <w:tab w:val="left" w:leader="none" w:pos="420"/>
        </w:tabs>
        <w:spacing w:before="31" w:beforeLines="10" w:after="62" w:afterLines="20"/>
        <w:ind w:firstLine="420" w:firstLineChars="200"/>
        <w:rPr>
          <w:rFonts w:ascii="宋体" w:cs="Arial Unicode MS" w:eastAsia="宋体" w:hAnsi="宋体"/>
          <w:color w:val="000000"/>
          <w:kern w:val="0"/>
          <w:szCs w:val="21"/>
        </w:rPr>
      </w:pPr>
      <w:r>
        <w:rPr>
          <w:rFonts w:ascii="宋体" w:cs="Arial Unicode MS" w:eastAsia="宋体" w:hAnsi="宋体" w:hint="eastAsia"/>
          <w:color w:val="000000"/>
          <w:kern w:val="0"/>
          <w:szCs w:val="21"/>
        </w:rPr>
        <w:t>5</w:t>
      </w:r>
      <w:r>
        <w:rPr>
          <w:rFonts w:ascii="宋体" w:cs="Arial Unicode MS" w:eastAsia="宋体" w:hAnsi="宋体" w:hint="eastAsia"/>
          <w:color w:val="000000"/>
          <w:kern w:val="0"/>
          <w:szCs w:val="21"/>
        </w:rPr>
        <w:t>.</w:t>
      </w:r>
      <w:r>
        <w:rPr>
          <w:rFonts w:ascii="宋体" w:cs="Arial Unicode MS" w:eastAsia="宋体" w:hAnsi="宋体" w:hint="eastAsia"/>
          <w:bCs/>
          <w:color w:val="000000"/>
          <w:kern w:val="0"/>
          <w:szCs w:val="21"/>
        </w:rPr>
        <w:t xml:space="preserve"> 个体工商户案件：</w:t>
      </w:r>
      <w:r>
        <w:rPr>
          <w:rFonts w:ascii="宋体" w:cs="Arial Unicode MS" w:eastAsia="宋体" w:hAnsi="宋体" w:hint="eastAsia"/>
          <w:color w:val="ff0000"/>
          <w:kern w:val="0"/>
          <w:szCs w:val="21"/>
        </w:rPr>
        <w:t>有字号的，以营业执照上登记的字号为原告并注明该字号经营者的基本信息</w:t>
      </w:r>
      <w:r>
        <w:rPr>
          <w:rFonts w:ascii="宋体" w:cs="宋体" w:eastAsia="宋体" w:hAnsi="宋体" w:hint="eastAsia"/>
          <w:color w:val="ff0000"/>
          <w:kern w:val="0"/>
          <w:szCs w:val="21"/>
        </w:rPr>
        <w:t>；</w:t>
      </w:r>
      <w:r>
        <w:rPr>
          <w:rFonts w:ascii="宋体" w:cs="Arial Unicode MS" w:eastAsia="宋体" w:hAnsi="宋体" w:hint="eastAsia"/>
          <w:color w:val="000000"/>
          <w:kern w:val="0"/>
          <w:szCs w:val="21"/>
        </w:rPr>
        <w:t>无字号的，以营业执照上登记的经营者为原告</w:t>
      </w:r>
    </w:p>
    <w:p w14:paraId="0C5BDD29">
      <w:pPr>
        <w:pStyle w:val="style0"/>
        <w:tabs>
          <w:tab w:val="left" w:leader="none" w:pos="420"/>
        </w:tabs>
        <w:spacing w:before="31" w:beforeLines="10" w:after="62" w:afterLines="20"/>
        <w:ind w:firstLine="420" w:firstLineChars="200"/>
        <w:rPr>
          <w:rFonts w:ascii="宋体" w:cs="宋体" w:eastAsia="宋体" w:hAnsi="宋体" w:hint="eastAsia"/>
          <w:color w:val="ff0000"/>
          <w:kern w:val="0"/>
          <w:szCs w:val="21"/>
        </w:rPr>
      </w:pPr>
      <w:r>
        <w:rPr>
          <w:rFonts w:ascii="宋体" w:cs="宋体" w:eastAsia="宋体" w:hAnsi="宋体" w:hint="eastAsia"/>
          <w:color w:val="ff0000"/>
          <w:kern w:val="0"/>
          <w:szCs w:val="21"/>
        </w:rPr>
        <w:t>6．股份制企业案件</w:t>
      </w:r>
      <w:r>
        <w:rPr>
          <w:rFonts w:ascii="宋体" w:cs="宋体" w:eastAsia="宋体" w:hAnsi="宋体" w:hint="eastAsia"/>
          <w:color w:val="ff0000"/>
          <w:kern w:val="0"/>
          <w:szCs w:val="21"/>
        </w:rPr>
        <w:t>：</w:t>
      </w:r>
      <w:r>
        <w:rPr>
          <w:rFonts w:ascii="宋体" w:cs="宋体" w:eastAsia="宋体" w:hAnsi="宋体" w:hint="eastAsia"/>
          <w:color w:val="ff0000"/>
          <w:kern w:val="0"/>
          <w:szCs w:val="21"/>
        </w:rPr>
        <w:t>企业法定代表人、股东会、董事会可以企业名义提起诉讼。</w:t>
      </w:r>
    </w:p>
    <w:p w14:paraId="7D82479A">
      <w:pPr>
        <w:pStyle w:val="style0"/>
        <w:tabs>
          <w:tab w:val="left" w:leader="none" w:pos="420"/>
        </w:tabs>
        <w:spacing w:before="31" w:beforeLines="10" w:after="62" w:afterLines="20"/>
        <w:ind w:firstLine="420" w:firstLineChars="200"/>
        <w:rPr>
          <w:rFonts w:ascii="宋体" w:cs="宋体" w:eastAsia="宋体" w:hAnsi="宋体" w:hint="eastAsia"/>
          <w:color w:val="ff0000"/>
          <w:kern w:val="0"/>
          <w:szCs w:val="21"/>
        </w:rPr>
      </w:pPr>
      <w:r>
        <w:rPr>
          <w:rFonts w:ascii="宋体" w:cs="宋体" w:eastAsia="宋体" w:hAnsi="宋体" w:hint="eastAsia"/>
          <w:color w:val="ff0000"/>
          <w:kern w:val="0"/>
          <w:szCs w:val="21"/>
        </w:rPr>
        <w:t>注意：公司股东、监事会原则上没有原告资格。</w:t>
      </w:r>
    </w:p>
    <w:bookmarkEnd w:id="4"/>
    <w:p w14:paraId="57280465">
      <w:pPr>
        <w:pStyle w:val="style0"/>
        <w:autoSpaceDE w:val="false"/>
        <w:autoSpaceDN w:val="false"/>
        <w:adjustRightInd w:val="false"/>
        <w:textAlignment w:val="center"/>
        <w:rPr>
          <w:rFonts w:ascii="宋体" w:cs="汉仪大宋简" w:eastAsia="宋体" w:hAnsi="宋体" w:hint="eastAsia"/>
          <w:b/>
          <w:bCs/>
          <w:color w:val="000000"/>
          <w:kern w:val="0"/>
          <w:szCs w:val="21"/>
          <w:lang w:val="zh-CN"/>
        </w:rPr>
      </w:pPr>
      <w:r>
        <w:rPr>
          <w:rFonts w:ascii="宋体" w:cs="汉仪大宋简" w:eastAsia="宋体" w:hAnsi="宋体" w:hint="eastAsia"/>
          <w:b/>
          <w:bCs/>
          <w:color w:val="000000"/>
          <w:kern w:val="0"/>
          <w:szCs w:val="21"/>
          <w:lang w:val="zh-CN"/>
        </w:rPr>
        <w:t>八</w:t>
      </w:r>
      <w:r>
        <w:rPr>
          <w:rFonts w:ascii="宋体" w:cs="汉仪大宋简" w:eastAsia="宋体" w:hAnsi="宋体" w:hint="eastAsia"/>
          <w:b/>
          <w:bCs/>
          <w:color w:val="000000"/>
          <w:kern w:val="0"/>
          <w:szCs w:val="21"/>
          <w:lang w:val="zh-CN"/>
        </w:rPr>
        <w:t>、行政公益诉讼</w:t>
      </w:r>
    </w:p>
    <w:p w14:paraId="353D892F">
      <w:pPr>
        <w:pStyle w:val="style0"/>
        <w:keepNext/>
        <w:keepLines/>
        <w:tabs>
          <w:tab w:val="left" w:leader="none" w:pos="420"/>
        </w:tabs>
        <w:ind w:firstLine="253" w:firstLineChars="120"/>
        <w:jc w:val="left"/>
        <w:outlineLvl w:val="3"/>
        <w:rPr>
          <w:rFonts w:ascii="宋体" w:cs="Times New Roman" w:eastAsia="宋体" w:hAnsi="宋体" w:hint="eastAsia"/>
          <w:b/>
          <w:color w:val="000000"/>
          <w:szCs w:val="21"/>
        </w:rPr>
      </w:pPr>
      <w:r>
        <w:rPr>
          <w:rFonts w:ascii="宋体" w:cs="Times New Roman" w:eastAsia="宋体" w:hAnsi="宋体" w:hint="eastAsia"/>
          <w:b/>
          <w:color w:val="000000"/>
          <w:szCs w:val="21"/>
        </w:rPr>
        <w:t>（一）行政公益诉讼的提起条件</w:t>
      </w:r>
    </w:p>
    <w:p w14:paraId="14C49888">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（1）在食品药品监管、生态环境保护、国有土地使用权出让等领域负有监督管理职责的行政机关违法行使职权或不作为。</w:t>
      </w:r>
    </w:p>
    <w:p w14:paraId="551C65AF">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（2）行政机关违法行使职权或不作为</w:t>
      </w:r>
      <w:r>
        <w:rPr>
          <w:rFonts w:ascii="宋体" w:cs="Times New Roman" w:eastAsia="宋体" w:hAnsi="宋体" w:hint="eastAsia"/>
          <w:color w:val="ff0000"/>
          <w:szCs w:val="21"/>
        </w:rPr>
        <w:t>致使国家利益或者社会公共利益受到侵害的。</w:t>
      </w:r>
    </w:p>
    <w:p w14:paraId="3D75C0F8">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（3）人民检察院应当向行政机关</w:t>
      </w:r>
      <w:r>
        <w:rPr>
          <w:rFonts w:ascii="宋体" w:cs="Times New Roman" w:eastAsia="宋体" w:hAnsi="宋体" w:hint="eastAsia"/>
          <w:color w:val="ff0000"/>
          <w:szCs w:val="21"/>
        </w:rPr>
        <w:t>提出检察建议</w:t>
      </w:r>
      <w:r>
        <w:rPr>
          <w:rFonts w:ascii="宋体" w:cs="Times New Roman" w:eastAsia="宋体" w:hAnsi="宋体" w:hint="eastAsia"/>
          <w:szCs w:val="21"/>
        </w:rPr>
        <w:t>，督促其依法履行职责。</w:t>
      </w:r>
    </w:p>
    <w:p w14:paraId="6978AE20">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（4）经人民检察院督促行政机关仍不依法履行职责的，人民检察院依法向人民法院提起行政公益诉讼。</w:t>
      </w:r>
    </w:p>
    <w:p w14:paraId="30D99C44">
      <w:pPr>
        <w:pStyle w:val="style0"/>
        <w:keepNext/>
        <w:keepLines/>
        <w:tabs>
          <w:tab w:val="left" w:leader="none" w:pos="420"/>
        </w:tabs>
        <w:ind w:firstLine="253" w:firstLineChars="120"/>
        <w:jc w:val="left"/>
        <w:outlineLvl w:val="3"/>
        <w:rPr>
          <w:rFonts w:ascii="宋体" w:cs="Times New Roman" w:eastAsia="宋体" w:hAnsi="宋体" w:hint="eastAsia"/>
          <w:b/>
          <w:color w:val="000000"/>
          <w:szCs w:val="21"/>
        </w:rPr>
      </w:pPr>
      <w:r>
        <w:rPr>
          <w:rFonts w:ascii="宋体" w:cs="Times New Roman" w:eastAsia="宋体" w:hAnsi="宋体" w:hint="eastAsia"/>
          <w:b/>
          <w:color w:val="000000"/>
          <w:szCs w:val="21"/>
        </w:rPr>
        <w:t>（</w:t>
      </w:r>
      <w:r>
        <w:rPr>
          <w:rFonts w:ascii="宋体" w:cs="Times New Roman" w:eastAsia="宋体" w:hAnsi="宋体" w:hint="eastAsia"/>
          <w:b/>
          <w:color w:val="000000"/>
          <w:szCs w:val="21"/>
        </w:rPr>
        <w:t>二</w:t>
      </w:r>
      <w:r>
        <w:rPr>
          <w:rFonts w:ascii="宋体" w:cs="Times New Roman" w:eastAsia="宋体" w:hAnsi="宋体" w:hint="eastAsia"/>
          <w:b/>
          <w:color w:val="000000"/>
          <w:szCs w:val="21"/>
        </w:rPr>
        <w:t>）起诉期限</w:t>
      </w:r>
    </w:p>
    <w:p w14:paraId="274C9D71">
      <w:pPr>
        <w:pStyle w:val="style0"/>
        <w:ind w:firstLine="420" w:firstLineChars="200"/>
        <w:rPr>
          <w:rFonts w:ascii="宋体" w:cs="Times New Roman" w:eastAsia="宋体" w:hAnsi="宋体"/>
          <w:szCs w:val="21"/>
        </w:rPr>
      </w:pPr>
      <w:r>
        <w:rPr>
          <w:rFonts w:ascii="宋体" w:cs="Times New Roman" w:eastAsia="宋体" w:hAnsi="宋体" w:hint="eastAsia"/>
          <w:szCs w:val="21"/>
        </w:rPr>
        <w:t>与一般行政诉讼的起诉期限相同，为6个月。</w:t>
      </w:r>
    </w:p>
    <w:p w14:paraId="5356FF9F">
      <w:pPr>
        <w:pStyle w:val="style0"/>
        <w:keepNext/>
        <w:keepLines/>
        <w:tabs>
          <w:tab w:val="left" w:leader="none" w:pos="420"/>
        </w:tabs>
        <w:ind w:firstLine="253" w:firstLineChars="120"/>
        <w:jc w:val="left"/>
        <w:outlineLvl w:val="3"/>
        <w:rPr>
          <w:rFonts w:ascii="宋体" w:cs="Times New Roman" w:eastAsia="宋体" w:hAnsi="宋体" w:hint="eastAsia"/>
          <w:b/>
          <w:color w:val="000000"/>
          <w:szCs w:val="21"/>
        </w:rPr>
      </w:pPr>
      <w:r>
        <w:rPr>
          <w:rFonts w:ascii="宋体" w:cs="Times New Roman" w:eastAsia="宋体" w:hAnsi="宋体" w:hint="eastAsia"/>
          <w:b/>
          <w:color w:val="000000"/>
          <w:szCs w:val="21"/>
        </w:rPr>
        <w:t>（</w:t>
      </w:r>
      <w:r>
        <w:rPr>
          <w:rFonts w:ascii="宋体" w:cs="Times New Roman" w:eastAsia="宋体" w:hAnsi="宋体" w:hint="eastAsia"/>
          <w:b/>
          <w:color w:val="000000"/>
          <w:szCs w:val="21"/>
        </w:rPr>
        <w:t>三</w:t>
      </w:r>
      <w:r>
        <w:rPr>
          <w:rFonts w:ascii="宋体" w:cs="Times New Roman" w:eastAsia="宋体" w:hAnsi="宋体" w:hint="eastAsia"/>
          <w:b/>
          <w:color w:val="000000"/>
          <w:szCs w:val="21"/>
        </w:rPr>
        <w:t>）管辖法院</w:t>
      </w:r>
    </w:p>
    <w:p w14:paraId="4B995000">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基层人民检察院提起的第一审行政公益诉讼案件，由被诉行政机关所在地基层人民法院管辖。</w:t>
      </w:r>
    </w:p>
    <w:p w14:paraId="05CD6EA5">
      <w:pPr>
        <w:pStyle w:val="style0"/>
        <w:keepNext/>
        <w:keepLines/>
        <w:tabs>
          <w:tab w:val="left" w:leader="none" w:pos="420"/>
        </w:tabs>
        <w:ind w:firstLine="253" w:firstLineChars="120"/>
        <w:jc w:val="left"/>
        <w:outlineLvl w:val="3"/>
        <w:rPr>
          <w:rFonts w:ascii="宋体" w:cs="Times New Roman" w:eastAsia="宋体" w:hAnsi="宋体" w:hint="eastAsia"/>
          <w:b/>
          <w:color w:val="000000"/>
          <w:szCs w:val="21"/>
        </w:rPr>
      </w:pPr>
      <w:r>
        <w:rPr>
          <w:rFonts w:ascii="宋体" w:cs="Times New Roman" w:eastAsia="宋体" w:hAnsi="宋体" w:hint="eastAsia"/>
          <w:b/>
          <w:color w:val="000000"/>
          <w:szCs w:val="21"/>
        </w:rPr>
        <w:t>（</w:t>
      </w:r>
      <w:r>
        <w:rPr>
          <w:rFonts w:ascii="宋体" w:cs="Times New Roman" w:eastAsia="宋体" w:hAnsi="宋体" w:hint="eastAsia"/>
          <w:b/>
          <w:color w:val="000000"/>
          <w:szCs w:val="21"/>
        </w:rPr>
        <w:t>四</w:t>
      </w:r>
      <w:r>
        <w:rPr>
          <w:rFonts w:ascii="宋体" w:cs="Times New Roman" w:eastAsia="宋体" w:hAnsi="宋体" w:hint="eastAsia"/>
          <w:b/>
          <w:color w:val="000000"/>
          <w:szCs w:val="21"/>
        </w:rPr>
        <w:t>）提交材料</w:t>
      </w:r>
    </w:p>
    <w:p w14:paraId="351A59E7">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检察机关已经履行诉前程序，行政机关仍不依法履行职责或纠正违法行为的证明材料。</w:t>
      </w:r>
    </w:p>
    <w:p w14:paraId="79F4AE30">
      <w:pPr>
        <w:pStyle w:val="style0"/>
        <w:keepNext/>
        <w:keepLines/>
        <w:tabs>
          <w:tab w:val="left" w:leader="none" w:pos="420"/>
        </w:tabs>
        <w:ind w:firstLine="253" w:firstLineChars="120"/>
        <w:jc w:val="left"/>
        <w:outlineLvl w:val="3"/>
        <w:rPr>
          <w:rFonts w:ascii="宋体" w:cs="Times New Roman" w:eastAsia="宋体" w:hAnsi="宋体" w:hint="eastAsia"/>
          <w:b/>
          <w:color w:val="000000"/>
          <w:szCs w:val="21"/>
        </w:rPr>
      </w:pPr>
      <w:r>
        <w:rPr>
          <w:rFonts w:ascii="宋体" w:cs="Times New Roman" w:eastAsia="宋体" w:hAnsi="宋体" w:hint="eastAsia"/>
          <w:b/>
          <w:color w:val="000000"/>
          <w:szCs w:val="21"/>
        </w:rPr>
        <w:t>（</w:t>
      </w:r>
      <w:r>
        <w:rPr>
          <w:rFonts w:ascii="宋体" w:cs="Times New Roman" w:eastAsia="宋体" w:hAnsi="宋体" w:hint="eastAsia"/>
          <w:b/>
          <w:color w:val="000000"/>
          <w:szCs w:val="21"/>
        </w:rPr>
        <w:t>五</w:t>
      </w:r>
      <w:r>
        <w:rPr>
          <w:rFonts w:ascii="宋体" w:cs="Times New Roman" w:eastAsia="宋体" w:hAnsi="宋体" w:hint="eastAsia"/>
          <w:b/>
          <w:color w:val="000000"/>
          <w:szCs w:val="21"/>
        </w:rPr>
        <w:t>）对诉中履职的处理</w:t>
      </w:r>
    </w:p>
    <w:p w14:paraId="3ACB61F2">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在案件审理过程中，被告纠正违法行为或依法履行职责而使人民检察院的诉讼请求全部实现：①人民检察院撤回起诉的，人民法院应当裁定准许；②人民检察院变更诉讼请求，请求确认原行政行为违法的，人民法院应当判决确认违法。</w:t>
      </w:r>
    </w:p>
    <w:p w14:paraId="74E8FC48">
      <w:pPr>
        <w:pStyle w:val="style0"/>
        <w:keepNext/>
        <w:keepLines/>
        <w:tabs>
          <w:tab w:val="left" w:leader="none" w:pos="420"/>
        </w:tabs>
        <w:ind w:firstLine="253" w:firstLineChars="120"/>
        <w:jc w:val="left"/>
        <w:outlineLvl w:val="3"/>
        <w:rPr>
          <w:rFonts w:ascii="宋体" w:cs="Times New Roman" w:eastAsia="宋体" w:hAnsi="宋体" w:hint="eastAsia"/>
          <w:b/>
          <w:color w:val="000000"/>
          <w:szCs w:val="21"/>
        </w:rPr>
      </w:pPr>
      <w:r>
        <w:rPr>
          <w:rFonts w:ascii="宋体" w:cs="Times New Roman" w:eastAsia="宋体" w:hAnsi="宋体" w:hint="eastAsia"/>
          <w:b/>
          <w:color w:val="000000"/>
          <w:szCs w:val="21"/>
        </w:rPr>
        <w:t>（</w:t>
      </w:r>
      <w:r>
        <w:rPr>
          <w:rFonts w:ascii="宋体" w:cs="Times New Roman" w:eastAsia="宋体" w:hAnsi="宋体" w:hint="eastAsia"/>
          <w:b/>
          <w:color w:val="000000"/>
          <w:szCs w:val="21"/>
        </w:rPr>
        <w:t>六</w:t>
      </w:r>
      <w:r>
        <w:rPr>
          <w:rFonts w:ascii="宋体" w:cs="Times New Roman" w:eastAsia="宋体" w:hAnsi="宋体" w:hint="eastAsia"/>
          <w:b/>
          <w:color w:val="000000"/>
          <w:szCs w:val="21"/>
        </w:rPr>
        <w:t>）上诉</w:t>
      </w:r>
    </w:p>
    <w:p w14:paraId="292347D3">
      <w:pPr>
        <w:pStyle w:val="style0"/>
        <w:ind w:firstLine="420" w:firstLineChars="200"/>
        <w:rPr>
          <w:rFonts w:ascii="宋体" w:cs="Times New Roman" w:eastAsia="宋体" w:hAnsi="宋体" w:hint="eastAsia"/>
          <w:szCs w:val="21"/>
        </w:rPr>
      </w:pPr>
      <w:r>
        <w:rPr>
          <w:rFonts w:ascii="宋体" w:cs="Times New Roman" w:eastAsia="宋体" w:hAnsi="宋体" w:hint="eastAsia"/>
          <w:color w:val="ff0000"/>
          <w:szCs w:val="21"/>
        </w:rPr>
        <w:t>人民检察院不服人民法院第一审判决、裁定的，可以向上一级人民法院提起上诉</w:t>
      </w:r>
      <w:r>
        <w:rPr>
          <w:rFonts w:ascii="宋体" w:cs="Times New Roman" w:eastAsia="宋体" w:hAnsi="宋体" w:hint="eastAsia"/>
          <w:szCs w:val="21"/>
        </w:rPr>
        <w:t>。</w:t>
      </w:r>
    </w:p>
    <w:p w14:paraId="49873242">
      <w:pPr>
        <w:pStyle w:val="style0"/>
        <w:keepNext/>
        <w:keepLines/>
        <w:tabs>
          <w:tab w:val="left" w:leader="none" w:pos="420"/>
        </w:tabs>
        <w:ind w:firstLine="253" w:firstLineChars="120"/>
        <w:jc w:val="left"/>
        <w:outlineLvl w:val="3"/>
        <w:rPr>
          <w:rFonts w:ascii="宋体" w:cs="Times New Roman" w:eastAsia="宋体" w:hAnsi="宋体" w:hint="eastAsia"/>
          <w:b/>
          <w:color w:val="000000"/>
          <w:szCs w:val="21"/>
        </w:rPr>
      </w:pPr>
      <w:r>
        <w:rPr>
          <w:rFonts w:ascii="宋体" w:cs="Times New Roman" w:eastAsia="宋体" w:hAnsi="宋体" w:hint="eastAsia"/>
          <w:b/>
          <w:color w:val="000000"/>
          <w:szCs w:val="21"/>
        </w:rPr>
        <w:t>（</w:t>
      </w:r>
      <w:r>
        <w:rPr>
          <w:rFonts w:ascii="宋体" w:cs="Times New Roman" w:eastAsia="宋体" w:hAnsi="宋体" w:hint="eastAsia"/>
          <w:b/>
          <w:color w:val="000000"/>
          <w:szCs w:val="21"/>
        </w:rPr>
        <w:t>七</w:t>
      </w:r>
      <w:r>
        <w:rPr>
          <w:rFonts w:ascii="宋体" w:cs="Times New Roman" w:eastAsia="宋体" w:hAnsi="宋体" w:hint="eastAsia"/>
          <w:b/>
          <w:color w:val="000000"/>
          <w:szCs w:val="21"/>
        </w:rPr>
        <w:t>）二审出庭</w:t>
      </w:r>
    </w:p>
    <w:p w14:paraId="629FE830">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法院审理第二审案件，由提起公益诉讼的人民检察院派员出庭，上一级人民检察院也可以派员参加。</w:t>
      </w:r>
    </w:p>
    <w:bookmarkStart w:id="5" w:name="_Toc200016416"/>
    <w:p w14:paraId="442C5DB7">
      <w:pPr>
        <w:pStyle w:val="style0"/>
        <w:keepNext/>
        <w:keepLines/>
        <w:jc w:val="center"/>
        <w:outlineLvl w:val="0"/>
        <w:rPr>
          <w:rFonts w:ascii="宋体" w:cs="汉仪大宋简" w:eastAsia="宋体" w:hAnsi="宋体" w:hint="eastAsia"/>
          <w:b/>
          <w:bCs/>
          <w:kern w:val="44"/>
          <w:szCs w:val="21"/>
        </w:rPr>
      </w:pPr>
      <w:r>
        <w:rPr>
          <w:rFonts w:ascii="宋体" w:cs="汉仪大宋简" w:eastAsia="宋体" w:hAnsi="宋体" w:hint="eastAsia"/>
          <w:b/>
          <w:bCs/>
          <w:kern w:val="44"/>
          <w:szCs w:val="21"/>
        </w:rPr>
        <w:t>专题三  行政诉讼的程序</w:t>
      </w:r>
      <w:bookmarkEnd w:id="5"/>
      <w:r>
        <w:rPr>
          <w:rFonts w:ascii="宋体" w:cs="汉仪大宋简" w:eastAsia="宋体" w:hAnsi="宋体" w:hint="eastAsia"/>
          <w:b/>
          <w:bCs/>
          <w:kern w:val="44"/>
          <w:szCs w:val="21"/>
        </w:rPr>
        <w:t>（21：10-22：</w:t>
      </w:r>
      <w:r>
        <w:rPr>
          <w:rFonts w:ascii="宋体" w:cs="汉仪大宋简" w:eastAsia="宋体" w:hAnsi="宋体" w:hint="eastAsia"/>
          <w:b/>
          <w:bCs/>
          <w:kern w:val="44"/>
          <w:szCs w:val="21"/>
        </w:rPr>
        <w:t>05</w:t>
      </w:r>
      <w:r>
        <w:rPr>
          <w:rFonts w:ascii="宋体" w:cs="汉仪大宋简" w:eastAsia="宋体" w:hAnsi="宋体" w:hint="eastAsia"/>
          <w:b/>
          <w:bCs/>
          <w:kern w:val="44"/>
          <w:szCs w:val="21"/>
        </w:rPr>
        <w:t>）</w:t>
      </w:r>
    </w:p>
    <w:p w14:paraId="0B5104B0">
      <w:pPr>
        <w:pStyle w:val="style0"/>
        <w:keepNext/>
        <w:keepLines/>
        <w:tabs>
          <w:tab w:val="left" w:leader="none" w:pos="420"/>
        </w:tabs>
        <w:jc w:val="left"/>
        <w:outlineLvl w:val="2"/>
        <w:rPr>
          <w:rFonts w:ascii="宋体" w:cs="宋体" w:eastAsia="宋体" w:hAnsi="宋体"/>
          <w:b/>
          <w:bCs/>
          <w:color w:val="ff0000"/>
          <w:szCs w:val="21"/>
        </w:rPr>
      </w:pPr>
      <w:r>
        <w:rPr>
          <w:rFonts w:ascii="宋体" w:cs="Times New Roman" w:eastAsia="宋体" w:hAnsi="宋体" w:hint="eastAsia"/>
          <w:b/>
          <w:bCs/>
          <w:szCs w:val="21"/>
        </w:rPr>
        <w:t>一</w:t>
      </w:r>
      <w:r>
        <w:rPr>
          <w:rFonts w:ascii="宋体" w:cs="宋体" w:eastAsia="宋体" w:hAnsi="宋体" w:hint="eastAsia"/>
          <w:b/>
          <w:bCs/>
          <w:color w:val="000000"/>
          <w:szCs w:val="21"/>
        </w:rPr>
        <w:t>、起诉期限</w:t>
      </w:r>
      <w:bookmarkStart w:id="6" w:name="_Hlk37843936"/>
    </w:p>
    <w:p w14:paraId="3E2D97BF">
      <w:pPr>
        <w:pStyle w:val="style0"/>
        <w:keepNext/>
        <w:keepLines/>
        <w:tabs>
          <w:tab w:val="left" w:leader="none" w:pos="420"/>
        </w:tabs>
        <w:ind w:firstLine="253" w:firstLineChars="120"/>
        <w:jc w:val="left"/>
        <w:outlineLvl w:val="3"/>
        <w:rPr>
          <w:rFonts w:ascii="宋体" w:cs="Times New Roman" w:eastAsia="宋体" w:hAnsi="宋体" w:hint="eastAsia"/>
          <w:b/>
          <w:color w:val="000000"/>
          <w:szCs w:val="21"/>
        </w:rPr>
      </w:pPr>
      <w:r>
        <w:rPr>
          <w:rFonts w:ascii="宋体" w:cs="Times New Roman" w:eastAsia="宋体" w:hAnsi="宋体" w:hint="eastAsia"/>
          <w:b/>
          <w:color w:val="000000"/>
          <w:szCs w:val="21"/>
        </w:rPr>
        <w:t>（一）起诉行政行为（作为）的案件</w:t>
      </w:r>
    </w:p>
    <w:p w14:paraId="762362FC">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起诉期限一般为6个月。这6个月的起诉期限分为三个起算点：</w:t>
      </w:r>
    </w:p>
    <w:p w14:paraId="46994D44">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（1）全知道：知道行政行为作出之日起6个月内。</w:t>
      </w:r>
    </w:p>
    <w:p w14:paraId="0235FCF4">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（2）全不知：自其实际知道或应当知道行政行为内容之日起6个月内；但自行政行为作出之日起不超过5年，涉及不动产不超过20年。</w:t>
      </w:r>
    </w:p>
    <w:p w14:paraId="6C35C88C">
      <w:pPr>
        <w:pStyle w:val="style0"/>
        <w:ind w:firstLine="420" w:firstLineChars="200"/>
        <w:rPr>
          <w:rFonts w:ascii="宋体" w:cs="Times New Roman" w:eastAsia="宋体" w:hAnsi="宋体" w:hint="eastAsia"/>
          <w:color w:val="ee0000"/>
          <w:szCs w:val="21"/>
        </w:rPr>
      </w:pPr>
      <w:r>
        <w:rPr>
          <w:rFonts w:ascii="宋体" w:cs="Times New Roman" w:eastAsia="宋体" w:hAnsi="宋体" w:hint="eastAsia"/>
          <w:szCs w:val="21"/>
        </w:rPr>
        <w:t>（3）知一半：</w:t>
      </w:r>
      <w:r>
        <w:rPr>
          <w:rFonts w:ascii="宋体" w:cs="Times New Roman" w:eastAsia="宋体" w:hAnsi="宋体" w:hint="eastAsia"/>
          <w:color w:val="ee0000"/>
          <w:szCs w:val="21"/>
        </w:rPr>
        <w:t>从知道或应当知道起诉期限之日起6个月内，但从知道或者应当知道行政行为内容之日起最长不得超过1年。</w:t>
      </w:r>
    </w:p>
    <w:p w14:paraId="665B8DA2">
      <w:pPr>
        <w:pStyle w:val="style0"/>
        <w:ind w:firstLine="420" w:firstLineChars="200"/>
        <w:rPr>
          <w:rFonts w:ascii="宋体" w:cs="华康娃娃体W5" w:eastAsia="宋体" w:hAnsi="宋体" w:hint="eastAsia"/>
          <w:color w:val="4472c4"/>
          <w:szCs w:val="21"/>
        </w:rPr>
      </w:pPr>
      <w:r>
        <w:rPr>
          <w:rFonts w:ascii="宋体" w:cs="Times New Roman" w:eastAsia="宋体" w:hAnsi="宋体" w:hint="eastAsia"/>
          <w:noProof/>
          <w:szCs w:val="21"/>
          <w14:ligatures xmlns:w14="http://schemas.microsoft.com/office/word/2010/wordml" w14:val="standardContextual"/>
        </w:rPr>
        <mc:AlternateContent>
          <mc:Choice Requires="wps">
            <w:drawing>
              <wp:anchor distT="0" distB="0" distL="0" distR="0" simplePos="false" relativeHeight="3" behindDoc="false" locked="false" layoutInCell="true" allowOverlap="true">
                <wp:simplePos x="0" y="0"/>
                <wp:positionH relativeFrom="column">
                  <wp:posOffset>57785</wp:posOffset>
                </wp:positionH>
                <wp:positionV relativeFrom="paragraph">
                  <wp:posOffset>64770</wp:posOffset>
                </wp:positionV>
                <wp:extent cx="142875" cy="142875"/>
                <wp:effectExtent l="0" t="0" r="9525" b="9525"/>
                <wp:wrapNone/>
                <wp:docPr id="1027" name="五角星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875" cy="142875"/>
                        </a:xfrm>
                        <a:prstGeom prst="star5"/>
                        <a:solidFill>
                          <a:srgbClr val="ff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27" type="#_x0000_t12" adj="4125," fillcolor="red" stroked="f" style="position:absolute;margin-left:4.55pt;margin-top:5.1pt;width:11.25pt;height:11.25pt;z-index:3;mso-position-horizontal-relative:text;mso-position-vertical-relative:text;mso-width-percent:0;mso-height-percent:0;mso-width-relative:page;mso-height-relative:page;mso-wrap-distance-left:0.0pt;mso-wrap-distance-right:0.0pt;visibility:visible;">
                <v:stroke on="f" joinstyle="miter" weight="1.0pt"/>
                <v:fill/>
              </v:shape>
            </w:pict>
          </mc:Fallback>
        </mc:AlternateContent>
      </w:r>
      <w:r>
        <w:rPr>
          <w:rFonts w:ascii="宋体" w:cs="汉仪书宋二简" w:eastAsia="宋体" w:hAnsi="宋体" w:hint="eastAsia"/>
          <w:color w:val="4472c4"/>
          <w:kern w:val="0"/>
          <w:szCs w:val="21"/>
        </w:rPr>
        <w:t>注意：</w:t>
      </w:r>
      <w:r>
        <w:rPr>
          <w:rFonts w:ascii="宋体" w:cs="华康娃娃体W5" w:eastAsia="宋体" w:hAnsi="宋体" w:hint="eastAsia"/>
          <w:color w:val="4472c4"/>
          <w:szCs w:val="21"/>
        </w:rPr>
        <w:t>起诉无效的行政行为，不受行政诉讼起诉期限的限制，利害关系人随时可以向法院起诉一个无效的行政行为。</w:t>
      </w:r>
    </w:p>
    <w:bookmarkEnd w:id="6"/>
    <w:p w14:paraId="61556A79">
      <w:pPr>
        <w:pStyle w:val="style0"/>
        <w:keepNext/>
        <w:keepLines/>
        <w:tabs>
          <w:tab w:val="left" w:leader="none" w:pos="420"/>
        </w:tabs>
        <w:ind w:firstLine="253" w:firstLineChars="120"/>
        <w:jc w:val="left"/>
        <w:outlineLvl w:val="3"/>
        <w:rPr>
          <w:rFonts w:ascii="宋体" w:cs="Times New Roman" w:eastAsia="宋体" w:hAnsi="宋体" w:hint="eastAsia"/>
          <w:b/>
          <w:color w:val="000000"/>
          <w:szCs w:val="21"/>
        </w:rPr>
      </w:pPr>
      <w:r>
        <w:rPr>
          <w:rFonts w:ascii="宋体" w:cs="Times New Roman" w:eastAsia="宋体" w:hAnsi="宋体" w:hint="eastAsia"/>
          <w:b/>
          <w:color w:val="000000"/>
          <w:szCs w:val="21"/>
        </w:rPr>
        <w:t>（二）申请复议后再起诉的案件</w:t>
      </w:r>
    </w:p>
    <w:p w14:paraId="24E29001">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（1）复议机关作出复议决定的，当事人可以在收到复议决定书之日起15日内起诉。</w:t>
      </w:r>
    </w:p>
    <w:p w14:paraId="22BB4D5B">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（2）复议机关逾期不作出决定的，当事人可以在复议期满之日起15日内起诉。</w:t>
      </w:r>
    </w:p>
    <w:p w14:paraId="0693717B">
      <w:pPr>
        <w:pStyle w:val="style0"/>
        <w:keepNext/>
        <w:keepLines/>
        <w:tabs>
          <w:tab w:val="left" w:leader="none" w:pos="420"/>
        </w:tabs>
        <w:ind w:firstLine="253" w:firstLineChars="120"/>
        <w:jc w:val="left"/>
        <w:outlineLvl w:val="3"/>
        <w:rPr>
          <w:rFonts w:ascii="宋体" w:cs="Times New Roman" w:eastAsia="宋体" w:hAnsi="宋体" w:hint="eastAsia"/>
          <w:b/>
          <w:color w:val="000000"/>
          <w:szCs w:val="21"/>
        </w:rPr>
      </w:pPr>
      <w:r>
        <w:rPr>
          <w:rFonts w:ascii="宋体" w:cs="Times New Roman" w:eastAsia="宋体" w:hAnsi="宋体" w:hint="eastAsia"/>
          <w:b/>
          <w:color w:val="000000"/>
          <w:szCs w:val="21"/>
        </w:rPr>
        <w:t>（三）行政协议案件的起诉期限</w:t>
      </w:r>
    </w:p>
    <w:p w14:paraId="617531DB">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（1）诉行政机关单方变更、解除行政协议的，起诉期限适用行政诉讼法及其司法解释关于起诉期限的规定（6个月）。</w:t>
      </w:r>
    </w:p>
    <w:p w14:paraId="680684E9">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（2）诉行政机关除单方变更、解除行政协议之外的，仍然是行政诉讼，只不过起诉期限适用民事法律规范关于诉讼时效的规定。</w:t>
      </w:r>
    </w:p>
    <w:p w14:paraId="5D25BD21">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（3）诉行政协议无效的，不受起诉期限限制，利害关系人随时可以向法院提起行政诉讼。</w:t>
      </w:r>
    </w:p>
    <w:p w14:paraId="6B07E287">
      <w:pPr>
        <w:pStyle w:val="style0"/>
        <w:keepNext/>
        <w:keepLines/>
        <w:tabs>
          <w:tab w:val="left" w:leader="none" w:pos="420"/>
        </w:tabs>
        <w:jc w:val="left"/>
        <w:outlineLvl w:val="2"/>
        <w:rPr>
          <w:rFonts w:ascii="宋体" w:eastAsia="宋体" w:hAnsi="宋体"/>
          <w:b/>
          <w:bCs/>
          <w:szCs w:val="21"/>
        </w:rPr>
      </w:pPr>
      <w:r>
        <w:rPr>
          <w:rFonts w:ascii="宋体" w:cs="宋体" w:eastAsia="宋体" w:hAnsi="宋体" w:hint="eastAsia"/>
          <w:b/>
          <w:bCs/>
          <w:szCs w:val="21"/>
        </w:rPr>
        <w:t>（四）</w:t>
      </w:r>
      <w:r>
        <w:rPr>
          <w:rFonts w:ascii="宋体" w:eastAsia="宋体" w:hAnsi="宋体" w:hint="eastAsia"/>
          <w:b/>
          <w:bCs/>
          <w:szCs w:val="21"/>
        </w:rPr>
        <w:t>起诉无效行政行为的期限</w:t>
      </w:r>
    </w:p>
    <w:p w14:paraId="150A5095">
      <w:pPr>
        <w:pStyle w:val="style0"/>
        <w:ind w:firstLine="420" w:firstLineChars="200"/>
        <w:rPr>
          <w:rFonts w:ascii="宋体" w:eastAsia="宋体" w:hAnsi="宋体" w:hint="eastAsia"/>
        </w:rPr>
      </w:pPr>
      <w:r>
        <w:rPr>
          <w:rFonts w:ascii="宋体" w:eastAsia="宋体" w:hAnsi="宋体" w:hint="eastAsia"/>
        </w:rPr>
        <w:t>原告针对2015年5月1日之后行政机关实施的无效行政行为起诉的，不受起诉期限的限制，随时起诉。</w:t>
      </w:r>
    </w:p>
    <w:p w14:paraId="4F29F8B4">
      <w:pPr>
        <w:pStyle w:val="style0"/>
        <w:jc w:val="left"/>
        <w:rPr>
          <w:rFonts w:ascii="宋体" w:cs="汉仪大宋简" w:eastAsia="宋体" w:hAnsi="宋体" w:hint="eastAsia"/>
          <w:b/>
          <w:szCs w:val="21"/>
        </w:rPr>
      </w:pPr>
      <w:r>
        <w:rPr>
          <w:rFonts w:ascii="宋体" w:cs="汉仪大宋简" w:eastAsia="宋体" w:hAnsi="宋体" w:hint="eastAsia"/>
          <w:b/>
          <w:szCs w:val="21"/>
        </w:rPr>
        <w:t>二、行政诉讼的审理对象</w:t>
      </w:r>
    </w:p>
    <w:p w14:paraId="748B75CF">
      <w:pPr>
        <w:pStyle w:val="style0"/>
        <w:ind w:firstLine="420" w:firstLineChars="200"/>
        <w:rPr>
          <w:rFonts w:ascii="宋体" w:eastAsia="宋体" w:hAnsi="宋体"/>
          <w:szCs w:val="21"/>
        </w:rPr>
      </w:pPr>
      <w:r>
        <w:rPr>
          <w:rFonts w:ascii="宋体" w:eastAsia="宋体" w:hAnsi="宋体" w:hint="eastAsia"/>
          <w:szCs w:val="21"/>
        </w:rPr>
        <w:t>一审法院审理的对象是被诉的行政行为。复议维持案件，法院审理对象是原行政行为的合法性和复议决定的合法性。</w:t>
      </w:r>
    </w:p>
    <w:p w14:paraId="0F1BF01D">
      <w:pPr>
        <w:pStyle w:val="style0"/>
        <w:ind w:firstLine="420" w:firstLineChars="200"/>
        <w:rPr>
          <w:rFonts w:ascii="宋体" w:eastAsia="宋体" w:hAnsi="宋体"/>
          <w:szCs w:val="21"/>
        </w:rPr>
      </w:pPr>
      <w:r>
        <w:rPr>
          <w:rFonts w:ascii="宋体" w:eastAsia="宋体" w:hAnsi="宋体" w:hint="eastAsia"/>
          <w:bCs/>
          <w:szCs w:val="21"/>
        </w:rPr>
        <w:t>二</w:t>
      </w:r>
      <w:r>
        <w:rPr>
          <w:rFonts w:ascii="宋体" w:eastAsia="宋体" w:hAnsi="宋体" w:hint="eastAsia"/>
          <w:bCs/>
          <w:szCs w:val="21"/>
        </w:rPr>
        <w:t>审理对象</w:t>
      </w:r>
      <w:r>
        <w:rPr>
          <w:rFonts w:ascii="宋体" w:eastAsia="宋体" w:hAnsi="宋体" w:hint="eastAsia"/>
          <w:bCs/>
          <w:szCs w:val="21"/>
        </w:rPr>
        <w:t>是</w:t>
      </w:r>
      <w:r>
        <w:rPr>
          <w:rFonts w:ascii="宋体" w:eastAsia="宋体" w:hAnsi="宋体" w:hint="eastAsia"/>
          <w:szCs w:val="21"/>
        </w:rPr>
        <w:t>对原审人民法院的裁判和被诉行政行为是否合法进行全面审查。</w:t>
      </w:r>
    </w:p>
    <w:p w14:paraId="03DD6DCC">
      <w:pPr>
        <w:pStyle w:val="style0"/>
        <w:ind w:firstLine="420" w:firstLineChars="200"/>
        <w:rPr>
          <w:rFonts w:ascii="宋体" w:eastAsia="宋体" w:hAnsi="宋体" w:hint="eastAsia"/>
          <w:szCs w:val="21"/>
        </w:rPr>
      </w:pPr>
      <w:r>
        <w:rPr>
          <w:rFonts w:ascii="宋体" w:eastAsia="宋体" w:hAnsi="宋体" w:hint="eastAsia"/>
          <w:szCs w:val="21"/>
        </w:rPr>
        <w:t>再审的审理对象</w:t>
      </w:r>
      <w:r>
        <w:rPr>
          <w:rFonts w:ascii="宋体" w:eastAsia="宋体" w:hAnsi="宋体" w:hint="eastAsia"/>
          <w:szCs w:val="21"/>
        </w:rPr>
        <w:t>：</w:t>
      </w:r>
      <w:r>
        <w:rPr>
          <w:rFonts w:ascii="宋体" w:eastAsia="宋体" w:hAnsi="宋体" w:hint="eastAsia"/>
          <w:szCs w:val="21"/>
        </w:rPr>
        <w:t>再审请求</w:t>
      </w:r>
      <w:r>
        <w:rPr>
          <w:rFonts w:ascii="宋体" w:eastAsia="宋体" w:hAnsi="宋体" w:hint="eastAsia"/>
          <w:szCs w:val="21"/>
        </w:rPr>
        <w:t>+</w:t>
      </w:r>
      <w:r>
        <w:rPr>
          <w:rFonts w:ascii="宋体" w:eastAsia="宋体" w:hAnsi="宋体" w:hint="eastAsia"/>
          <w:szCs w:val="21"/>
        </w:rPr>
        <w:t>被诉行政行为的合法性。</w:t>
      </w:r>
    </w:p>
    <w:p w14:paraId="5EAC5096">
      <w:pPr>
        <w:pStyle w:val="style0"/>
        <w:keepNext/>
        <w:keepLines/>
        <w:tabs>
          <w:tab w:val="left" w:leader="none" w:pos="420"/>
        </w:tabs>
        <w:jc w:val="left"/>
        <w:outlineLvl w:val="3"/>
        <w:rPr>
          <w:rFonts w:ascii="宋体" w:cs="Times New Roman" w:eastAsia="宋体" w:hAnsi="宋体"/>
          <w:b/>
          <w:color w:val="000000"/>
          <w:szCs w:val="21"/>
        </w:rPr>
      </w:pPr>
      <w:r>
        <w:rPr>
          <w:rFonts w:ascii="宋体" w:cs="Times New Roman" w:eastAsia="宋体" w:hAnsi="宋体" w:hint="eastAsia"/>
          <w:b/>
          <w:color w:val="000000"/>
          <w:szCs w:val="21"/>
        </w:rPr>
        <w:t>三、行政诉讼一审</w:t>
      </w:r>
      <w:r>
        <w:rPr>
          <w:rFonts w:ascii="宋体" w:cs="Times New Roman" w:eastAsia="宋体" w:hAnsi="宋体" w:hint="eastAsia"/>
          <w:b/>
          <w:color w:val="000000"/>
          <w:szCs w:val="21"/>
        </w:rPr>
        <w:t>简易程序</w:t>
      </w:r>
    </w:p>
    <w:bookmarkStart w:id="7" w:name="_Hlk37844164"/>
    <w:p w14:paraId="139C6349">
      <w:pPr>
        <w:pStyle w:val="style0"/>
        <w:ind w:firstLine="422" w:firstLineChars="200"/>
        <w:rPr>
          <w:rFonts w:ascii="宋体" w:cs="Times New Roman" w:eastAsia="宋体" w:hAnsi="宋体" w:hint="eastAsia"/>
          <w:b/>
          <w:color w:val="ff0000"/>
          <w:szCs w:val="21"/>
        </w:rPr>
      </w:pPr>
      <w:r>
        <w:rPr>
          <w:rFonts w:ascii="宋体" w:cs="宋体" w:eastAsia="宋体" w:hAnsi="宋体" w:hint="eastAsia"/>
          <w:b/>
          <w:kern w:val="0"/>
          <w:szCs w:val="21"/>
        </w:rPr>
        <w:t>1．简易程序的适用范围</w:t>
      </w:r>
    </w:p>
    <w:p w14:paraId="7199A45C">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（1）法定案件。</w:t>
      </w:r>
    </w:p>
    <w:p w14:paraId="2E434A25">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法院审理下列第一审行政案件，认为事实清楚、权利义务关系明确、争议不大的，可以适用简易程序：①被诉行政行为是依法当场作出的。②案件涉及款额2000元以下的。③属于政府信息公开案件的。</w:t>
      </w:r>
    </w:p>
    <w:p w14:paraId="6680367F">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（2）合意案件。</w:t>
      </w:r>
    </w:p>
    <w:p w14:paraId="5FB783CC">
      <w:pPr>
        <w:pStyle w:val="style0"/>
        <w:ind w:firstLine="420" w:firstLineChars="200"/>
        <w:rPr>
          <w:rFonts w:ascii="宋体" w:cs="Times New Roman" w:eastAsia="宋体" w:hAnsi="宋体" w:hint="eastAsia"/>
          <w:color w:val="ff0000"/>
          <w:szCs w:val="21"/>
        </w:rPr>
      </w:pPr>
      <w:r>
        <w:rPr>
          <w:rFonts w:ascii="宋体" w:cs="Times New Roman" w:eastAsia="宋体" w:hAnsi="宋体" w:hint="eastAsia"/>
          <w:color w:val="ff0000"/>
          <w:szCs w:val="21"/>
        </w:rPr>
        <w:t>当事人各方同意适用简易程序的，可以适用简易程序审理。</w:t>
      </w:r>
    </w:p>
    <w:p w14:paraId="1E4804E6">
      <w:pPr>
        <w:pStyle w:val="style0"/>
        <w:ind w:firstLine="422" w:firstLineChars="200"/>
        <w:rPr>
          <w:rFonts w:ascii="宋体" w:cs="宋体" w:eastAsia="宋体" w:hAnsi="宋体" w:hint="eastAsia"/>
          <w:b/>
          <w:kern w:val="0"/>
          <w:szCs w:val="21"/>
        </w:rPr>
      </w:pPr>
      <w:r>
        <w:rPr>
          <w:rFonts w:ascii="宋体" w:cs="宋体" w:eastAsia="宋体" w:hAnsi="宋体" w:hint="eastAsia"/>
          <w:b/>
          <w:kern w:val="0"/>
          <w:szCs w:val="21"/>
        </w:rPr>
        <w:t>2．不得适用简易程序的范围。</w:t>
      </w:r>
      <w:r>
        <w:rPr>
          <w:rFonts w:ascii="宋体" w:cs="Times New Roman" w:eastAsia="宋体" w:hAnsi="宋体" w:hint="eastAsia"/>
          <w:szCs w:val="21"/>
        </w:rPr>
        <w:t>行政诉讼的二审、发回重审、按照审判监督程序再审的案件不适用简易程序。</w:t>
      </w:r>
    </w:p>
    <w:p w14:paraId="4BF0B296">
      <w:pPr>
        <w:pStyle w:val="style0"/>
        <w:ind w:firstLine="422" w:firstLineChars="200"/>
        <w:rPr>
          <w:rFonts w:ascii="宋体" w:cs="宋体" w:eastAsia="宋体" w:hAnsi="宋体" w:hint="eastAsia"/>
          <w:b/>
          <w:kern w:val="0"/>
          <w:szCs w:val="21"/>
        </w:rPr>
      </w:pPr>
      <w:r>
        <w:rPr>
          <w:rFonts w:ascii="宋体" w:cs="宋体" w:eastAsia="宋体" w:hAnsi="宋体" w:hint="eastAsia"/>
          <w:b/>
          <w:kern w:val="0"/>
          <w:szCs w:val="21"/>
        </w:rPr>
        <w:t>3．通知方式。</w:t>
      </w:r>
      <w:r>
        <w:rPr>
          <w:rFonts w:ascii="宋体" w:cs="Times New Roman" w:eastAsia="宋体" w:hAnsi="宋体" w:hint="eastAsia"/>
          <w:szCs w:val="21"/>
        </w:rPr>
        <w:t>法院可以用口头通知、电话、短信、传真、电子邮件等简便方式传唤当事人、通知证人、送达裁判文书以外的诉讼文书。</w:t>
      </w:r>
    </w:p>
    <w:p w14:paraId="6C0005D2">
      <w:pPr>
        <w:pStyle w:val="style0"/>
        <w:ind w:firstLine="422" w:firstLineChars="200"/>
        <w:rPr>
          <w:rFonts w:ascii="宋体" w:cs="宋体" w:eastAsia="宋体" w:hAnsi="宋体" w:hint="eastAsia"/>
          <w:b/>
          <w:kern w:val="0"/>
          <w:szCs w:val="21"/>
        </w:rPr>
      </w:pPr>
      <w:r>
        <w:rPr>
          <w:rFonts w:ascii="宋体" w:cs="宋体" w:eastAsia="宋体" w:hAnsi="宋体" w:hint="eastAsia"/>
          <w:b/>
          <w:kern w:val="0"/>
          <w:szCs w:val="21"/>
        </w:rPr>
        <w:t>4．举证期限。</w:t>
      </w:r>
      <w:r>
        <w:rPr>
          <w:rFonts w:ascii="宋体" w:cs="Times New Roman" w:eastAsia="宋体" w:hAnsi="宋体" w:hint="eastAsia"/>
          <w:szCs w:val="21"/>
        </w:rPr>
        <w:t>原则上由法院确定，也可以由当事人协商一致并经法院准许，但不得超过15日。</w:t>
      </w:r>
    </w:p>
    <w:p w14:paraId="57EC479E">
      <w:pPr>
        <w:pStyle w:val="style0"/>
        <w:ind w:firstLine="422" w:firstLineChars="200"/>
        <w:rPr>
          <w:rFonts w:ascii="宋体" w:cs="宋体" w:eastAsia="宋体" w:hAnsi="宋体" w:hint="eastAsia"/>
          <w:b/>
          <w:kern w:val="0"/>
          <w:szCs w:val="21"/>
        </w:rPr>
      </w:pPr>
      <w:r>
        <w:rPr>
          <w:rFonts w:ascii="宋体" w:cs="宋体" w:eastAsia="宋体" w:hAnsi="宋体" w:hint="eastAsia"/>
          <w:b/>
          <w:kern w:val="0"/>
          <w:szCs w:val="21"/>
        </w:rPr>
        <w:t>5．简易程序的审判人员与审限。</w:t>
      </w:r>
      <w:r>
        <w:rPr>
          <w:rFonts w:ascii="宋体" w:cs="Times New Roman" w:eastAsia="宋体" w:hAnsi="宋体" w:hint="eastAsia"/>
          <w:szCs w:val="21"/>
        </w:rPr>
        <w:t>适用简易程序审理的行政案件，由</w:t>
      </w:r>
      <w:r>
        <w:rPr>
          <w:rFonts w:ascii="宋体" w:cs="Times New Roman" w:eastAsia="宋体" w:hAnsi="宋体" w:hint="eastAsia"/>
          <w:color w:val="ff0000"/>
          <w:szCs w:val="21"/>
        </w:rPr>
        <w:t>审判员一人</w:t>
      </w:r>
      <w:r>
        <w:rPr>
          <w:rFonts w:ascii="宋体" w:cs="Times New Roman" w:eastAsia="宋体" w:hAnsi="宋体" w:hint="eastAsia"/>
          <w:szCs w:val="21"/>
        </w:rPr>
        <w:t>独任审理，并应当</w:t>
      </w:r>
      <w:r>
        <w:rPr>
          <w:rFonts w:ascii="宋体" w:cs="Times New Roman" w:eastAsia="宋体" w:hAnsi="宋体" w:hint="eastAsia"/>
          <w:color w:val="ff0000"/>
          <w:szCs w:val="21"/>
        </w:rPr>
        <w:t>在立案之日起45日内</w:t>
      </w:r>
      <w:r>
        <w:rPr>
          <w:rFonts w:ascii="宋体" w:cs="Times New Roman" w:eastAsia="宋体" w:hAnsi="宋体" w:hint="eastAsia"/>
          <w:szCs w:val="21"/>
        </w:rPr>
        <w:t>审结。</w:t>
      </w:r>
      <w:bookmarkEnd w:id="7"/>
    </w:p>
    <w:p w14:paraId="3489C09A">
      <w:pPr>
        <w:pStyle w:val="style0"/>
        <w:keepNext/>
        <w:keepLines/>
        <w:tabs>
          <w:tab w:val="left" w:leader="none" w:pos="420"/>
        </w:tabs>
        <w:jc w:val="left"/>
        <w:outlineLvl w:val="2"/>
        <w:rPr>
          <w:rFonts w:ascii="宋体" w:cs="宋体" w:eastAsia="宋体" w:hAnsi="宋体"/>
          <w:b/>
          <w:bCs/>
          <w:color w:val="000000"/>
          <w:szCs w:val="21"/>
        </w:rPr>
      </w:pPr>
      <w:r>
        <w:rPr>
          <w:rFonts w:ascii="宋体" w:cs="宋体" w:eastAsia="宋体" w:hAnsi="宋体" w:hint="eastAsia"/>
          <w:b/>
          <w:bCs/>
          <w:color w:val="000000"/>
          <w:szCs w:val="21"/>
        </w:rPr>
        <w:t>四</w:t>
      </w:r>
      <w:r>
        <w:rPr>
          <w:rFonts w:ascii="宋体" w:cs="宋体" w:eastAsia="宋体" w:hAnsi="宋体" w:hint="eastAsia"/>
          <w:b/>
          <w:bCs/>
          <w:color w:val="000000"/>
          <w:szCs w:val="21"/>
        </w:rPr>
        <w:t>、再审程序</w:t>
      </w:r>
    </w:p>
    <w:p w14:paraId="23AEAE16">
      <w:pPr>
        <w:pStyle w:val="style0"/>
        <w:keepNext/>
        <w:keepLines/>
        <w:tabs>
          <w:tab w:val="left" w:leader="none" w:pos="420"/>
        </w:tabs>
        <w:ind w:firstLine="253" w:firstLineChars="120"/>
        <w:jc w:val="left"/>
        <w:outlineLvl w:val="3"/>
        <w:rPr>
          <w:rFonts w:ascii="宋体" w:cs="Times New Roman" w:eastAsia="宋体" w:hAnsi="宋体" w:hint="eastAsia"/>
          <w:b/>
          <w:color w:val="000000"/>
          <w:szCs w:val="21"/>
        </w:rPr>
      </w:pPr>
      <w:r>
        <w:rPr>
          <w:rFonts w:ascii="宋体" w:cs="Times New Roman" w:eastAsia="宋体" w:hAnsi="宋体" w:hint="eastAsia"/>
          <w:b/>
          <w:color w:val="000000"/>
          <w:szCs w:val="21"/>
        </w:rPr>
        <w:t>（一）审判监督程序的提起</w:t>
      </w:r>
    </w:p>
    <w:p w14:paraId="1F590C41">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1.</w:t>
      </w:r>
      <w:r>
        <w:rPr>
          <w:rFonts w:ascii="宋体" w:cs="Times New Roman" w:eastAsia="宋体" w:hAnsi="宋体" w:hint="eastAsia"/>
          <w:szCs w:val="21"/>
        </w:rPr>
        <w:t>人民法院。</w:t>
      </w:r>
      <w:r>
        <w:rPr>
          <w:rFonts w:ascii="宋体" w:cs="Times New Roman" w:eastAsia="宋体" w:hAnsi="宋体" w:hint="eastAsia"/>
          <w:color w:val="ee0000"/>
          <w:szCs w:val="21"/>
        </w:rPr>
        <w:t>各级人民法院院长</w:t>
      </w:r>
      <w:r>
        <w:rPr>
          <w:rFonts w:ascii="宋体" w:cs="Times New Roman" w:eastAsia="宋体" w:hAnsi="宋体" w:hint="eastAsia"/>
          <w:szCs w:val="21"/>
        </w:rPr>
        <w:t>对本院已经发生法律效力的判决、裁定，发现违反法律、法规规定认为需要再审的，有权提请审判委员会决定是否再审。</w:t>
      </w:r>
    </w:p>
    <w:p w14:paraId="3637E96A">
      <w:pPr>
        <w:pStyle w:val="style0"/>
        <w:ind w:firstLine="420" w:firstLineChars="200"/>
        <w:rPr>
          <w:rFonts w:ascii="宋体" w:cs="Times New Roman" w:eastAsia="宋体" w:hAnsi="宋体" w:hint="eastAsia"/>
          <w:szCs w:val="21"/>
        </w:rPr>
      </w:pPr>
      <w:r>
        <w:rPr>
          <w:rFonts w:ascii="宋体" w:cs="Times New Roman" w:eastAsia="宋体" w:hAnsi="宋体" w:hint="eastAsia"/>
          <w:color w:val="ee0000"/>
          <w:szCs w:val="21"/>
        </w:rPr>
        <w:t>最高人民法院</w:t>
      </w:r>
      <w:r>
        <w:rPr>
          <w:rFonts w:ascii="宋体" w:cs="Times New Roman" w:eastAsia="宋体" w:hAnsi="宋体" w:hint="eastAsia"/>
          <w:szCs w:val="21"/>
        </w:rPr>
        <w:t>对地方各级人民法院、上级人民法院对下级人民法院已经发生法律效力的判决、裁定，发现确有错误的，有权提起审判监督程序。</w:t>
      </w:r>
    </w:p>
    <w:p w14:paraId="1A024C25">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2.</w:t>
      </w:r>
      <w:r>
        <w:rPr>
          <w:rFonts w:ascii="宋体" w:cs="Times New Roman" w:eastAsia="宋体" w:hAnsi="宋体" w:hint="eastAsia"/>
          <w:szCs w:val="21"/>
        </w:rPr>
        <w:t>人民检察院。对于人民检察院的抗诉，人民法院必须予以再审。</w:t>
      </w:r>
    </w:p>
    <w:p w14:paraId="652FE99A">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3.</w:t>
      </w:r>
      <w:r>
        <w:rPr>
          <w:rFonts w:ascii="宋体" w:cs="Times New Roman" w:eastAsia="宋体" w:hAnsi="宋体" w:hint="eastAsia"/>
          <w:szCs w:val="21"/>
        </w:rPr>
        <w:t>当事人申请再审。</w:t>
      </w:r>
      <w:r>
        <w:rPr>
          <w:rFonts w:ascii="宋体" w:cs="Times New Roman" w:eastAsia="宋体" w:hAnsi="宋体" w:hint="eastAsia"/>
          <w:color w:val="ff0000"/>
          <w:spacing w:val="-6"/>
          <w:szCs w:val="21"/>
        </w:rPr>
        <w:t>当事人申请再审的，向上一级法院申请再审</w:t>
      </w:r>
      <w:r>
        <w:rPr>
          <w:rFonts w:ascii="宋体" w:cs="Times New Roman" w:eastAsia="宋体" w:hAnsi="宋体" w:hint="eastAsia"/>
          <w:szCs w:val="21"/>
        </w:rPr>
        <w:t>。当事人申请再审，应当</w:t>
      </w:r>
      <w:r>
        <w:rPr>
          <w:rFonts w:ascii="宋体" w:cs="Times New Roman" w:eastAsia="宋体" w:hAnsi="宋体" w:hint="eastAsia"/>
          <w:color w:val="ff0000"/>
          <w:szCs w:val="21"/>
        </w:rPr>
        <w:t>在判决、裁定发生法律效力后6个月内</w:t>
      </w:r>
      <w:r>
        <w:rPr>
          <w:rFonts w:ascii="宋体" w:cs="Times New Roman" w:eastAsia="宋体" w:hAnsi="宋体" w:hint="eastAsia"/>
          <w:szCs w:val="21"/>
        </w:rPr>
        <w:t>提出。</w:t>
      </w:r>
    </w:p>
    <w:p w14:paraId="7A21A1B1">
      <w:pPr>
        <w:pStyle w:val="style0"/>
        <w:keepNext/>
        <w:keepLines/>
        <w:tabs>
          <w:tab w:val="left" w:leader="none" w:pos="420"/>
        </w:tabs>
        <w:ind w:firstLine="253" w:firstLineChars="120"/>
        <w:jc w:val="left"/>
        <w:outlineLvl w:val="3"/>
        <w:rPr>
          <w:rFonts w:ascii="宋体" w:cs="Times New Roman" w:eastAsia="宋体" w:hAnsi="宋体" w:hint="eastAsia"/>
          <w:b/>
          <w:color w:val="000000"/>
          <w:szCs w:val="21"/>
        </w:rPr>
      </w:pPr>
      <w:r>
        <w:rPr>
          <w:rFonts w:ascii="宋体" w:cs="Times New Roman" w:eastAsia="宋体" w:hAnsi="宋体" w:hint="eastAsia"/>
          <w:b/>
          <w:color w:val="000000"/>
          <w:szCs w:val="21"/>
        </w:rPr>
        <w:t>（二）再审案件的审理</w:t>
      </w:r>
    </w:p>
    <w:p w14:paraId="774500F4">
      <w:pPr>
        <w:pStyle w:val="style0"/>
        <w:ind w:firstLine="422" w:firstLineChars="200"/>
        <w:rPr>
          <w:rFonts w:ascii="宋体" w:cs="宋体" w:eastAsia="宋体" w:hAnsi="宋体" w:hint="eastAsia"/>
          <w:b/>
          <w:kern w:val="0"/>
          <w:szCs w:val="21"/>
        </w:rPr>
      </w:pPr>
      <w:r>
        <w:rPr>
          <w:rFonts w:ascii="宋体" w:cs="宋体" w:eastAsia="宋体" w:hAnsi="宋体" w:hint="eastAsia"/>
          <w:b/>
          <w:kern w:val="0"/>
          <w:szCs w:val="21"/>
        </w:rPr>
        <w:t>1．再审案件的审理程序</w:t>
      </w:r>
    </w:p>
    <w:p w14:paraId="2D428202">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再审案件的审理程序和裁判效力主要依据案件的原审来确定。</w:t>
      </w:r>
    </w:p>
    <w:p w14:paraId="6B8259D2">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凡原审人民法院审理再审案件，必须另行组成合议庭。</w:t>
      </w:r>
    </w:p>
    <w:p w14:paraId="02BCB7FE">
      <w:pPr>
        <w:pStyle w:val="style0"/>
        <w:ind w:firstLine="422" w:firstLineChars="200"/>
        <w:rPr>
          <w:rFonts w:ascii="宋体" w:cs="宋体" w:eastAsia="宋体" w:hAnsi="宋体" w:hint="eastAsia"/>
          <w:b/>
          <w:kern w:val="0"/>
          <w:szCs w:val="21"/>
        </w:rPr>
      </w:pPr>
      <w:r>
        <w:rPr>
          <w:rFonts w:ascii="宋体" w:cs="宋体" w:eastAsia="宋体" w:hAnsi="宋体" w:hint="eastAsia"/>
          <w:b/>
          <w:kern w:val="0"/>
          <w:szCs w:val="21"/>
        </w:rPr>
        <w:t>2．再审对象</w:t>
      </w:r>
    </w:p>
    <w:p w14:paraId="1CEB3190">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再审法院围绕</w:t>
      </w:r>
      <w:r>
        <w:rPr>
          <w:rFonts w:ascii="宋体" w:cs="Times New Roman" w:eastAsia="宋体" w:hAnsi="宋体" w:hint="eastAsia"/>
          <w:color w:val="ff0000"/>
          <w:szCs w:val="21"/>
        </w:rPr>
        <w:t>再审请求</w:t>
      </w:r>
      <w:r>
        <w:rPr>
          <w:rFonts w:ascii="宋体" w:cs="Times New Roman" w:eastAsia="宋体" w:hAnsi="宋体" w:hint="eastAsia"/>
          <w:szCs w:val="21"/>
        </w:rPr>
        <w:t>和</w:t>
      </w:r>
      <w:r>
        <w:rPr>
          <w:rFonts w:ascii="宋体" w:cs="Times New Roman" w:eastAsia="宋体" w:hAnsi="宋体" w:hint="eastAsia"/>
          <w:color w:val="ff0000"/>
          <w:szCs w:val="21"/>
        </w:rPr>
        <w:t>被诉行政行为</w:t>
      </w:r>
      <w:r>
        <w:rPr>
          <w:rFonts w:ascii="宋体" w:cs="Times New Roman" w:eastAsia="宋体" w:hAnsi="宋体" w:hint="eastAsia"/>
          <w:szCs w:val="21"/>
        </w:rPr>
        <w:t>合法性进行审查。</w:t>
      </w:r>
    </w:p>
    <w:p w14:paraId="05D93430">
      <w:pPr>
        <w:pStyle w:val="style0"/>
        <w:ind w:firstLine="422" w:firstLineChars="200"/>
        <w:rPr>
          <w:rFonts w:ascii="宋体" w:cs="宋体" w:eastAsia="宋体" w:hAnsi="宋体" w:hint="eastAsia"/>
          <w:b/>
          <w:kern w:val="0"/>
          <w:szCs w:val="21"/>
        </w:rPr>
      </w:pPr>
      <w:r>
        <w:rPr>
          <w:rFonts w:ascii="宋体" w:cs="宋体" w:eastAsia="宋体" w:hAnsi="宋体" w:hint="eastAsia"/>
          <w:b/>
          <w:kern w:val="0"/>
          <w:szCs w:val="21"/>
        </w:rPr>
        <w:t>3．再审案件中原判决、裁定的执行问题</w:t>
      </w:r>
    </w:p>
    <w:p w14:paraId="78B3DBDE">
      <w:pPr>
        <w:pStyle w:val="style0"/>
        <w:ind w:firstLine="420" w:firstLineChars="200"/>
        <w:rPr>
          <w:rFonts w:ascii="宋体" w:cs="Times New Roman" w:eastAsia="宋体" w:hAnsi="宋体" w:hint="eastAsia"/>
          <w:color w:val="ee0000"/>
          <w:szCs w:val="21"/>
        </w:rPr>
      </w:pPr>
      <w:r>
        <w:rPr>
          <w:rFonts w:ascii="宋体" w:cs="Times New Roman" w:eastAsia="宋体" w:hAnsi="宋体" w:hint="eastAsia"/>
          <w:szCs w:val="21"/>
        </w:rPr>
        <w:t>按照审判监督程序决定再审的案件，应当裁定中止原判决、裁定的执行，裁定由院长署名，加盖人民法院印章。</w:t>
      </w:r>
      <w:r>
        <w:rPr>
          <w:rFonts w:ascii="宋体" w:cs="Times New Roman" w:eastAsia="宋体" w:hAnsi="宋体" w:hint="eastAsia"/>
          <w:color w:val="ee0000"/>
          <w:szCs w:val="21"/>
        </w:rPr>
        <w:t>但是，支付抚恤金、最低生活保障费或者社会保险待遇的案件，可以不中止执行。</w:t>
      </w:r>
    </w:p>
    <w:p w14:paraId="2706C9F6">
      <w:pPr>
        <w:pStyle w:val="style0"/>
        <w:ind w:firstLine="422" w:firstLineChars="200"/>
        <w:rPr>
          <w:rFonts w:ascii="宋体" w:cs="宋体" w:eastAsia="宋体" w:hAnsi="宋体" w:hint="eastAsia"/>
          <w:b/>
          <w:kern w:val="0"/>
          <w:szCs w:val="21"/>
        </w:rPr>
      </w:pPr>
      <w:r>
        <w:rPr>
          <w:rFonts w:ascii="宋体" w:cs="宋体" w:eastAsia="宋体" w:hAnsi="宋体" w:hint="eastAsia"/>
          <w:b/>
          <w:kern w:val="0"/>
          <w:szCs w:val="21"/>
        </w:rPr>
        <w:t>4．再审期限</w:t>
      </w:r>
    </w:p>
    <w:p w14:paraId="4A7EB503">
      <w:pPr>
        <w:pStyle w:val="style0"/>
        <w:ind w:firstLine="420" w:firstLineChars="200"/>
        <w:rPr>
          <w:rFonts w:ascii="宋体" w:cs="Times New Roman" w:eastAsia="宋体" w:hAnsi="宋体" w:hint="eastAsia"/>
          <w:szCs w:val="21"/>
        </w:rPr>
      </w:pPr>
      <w:r>
        <w:rPr>
          <w:rFonts w:ascii="宋体" w:cs="Times New Roman" w:eastAsia="宋体" w:hAnsi="宋体" w:hint="eastAsia"/>
          <w:szCs w:val="21"/>
        </w:rPr>
        <w:t>须在6个月内作出裁判；再审案件按照第二审程序审理的，须在3个月内作出裁判。</w:t>
      </w:r>
    </w:p>
    <w:p w14:paraId="69283A07">
      <w:pPr>
        <w:pStyle w:val="style0"/>
        <w:tabs>
          <w:tab w:val="left" w:leader="none" w:pos="420"/>
        </w:tabs>
        <w:rPr>
          <w:rFonts w:ascii="宋体" w:cs="宋体" w:eastAsia="宋体" w:hAnsi="宋体"/>
          <w:b/>
          <w:bCs/>
          <w:color w:val="000000"/>
          <w:kern w:val="0"/>
          <w:szCs w:val="21"/>
        </w:rPr>
      </w:pPr>
      <w:r>
        <w:rPr>
          <w:rFonts w:ascii="宋体" w:cs="Courier New" w:eastAsia="宋体" w:hAnsi="宋体" w:hint="eastAsia"/>
          <w:b/>
          <w:bCs/>
          <w:color w:val="000000"/>
          <w:kern w:val="0"/>
          <w:szCs w:val="21"/>
        </w:rPr>
        <w:t>五</w:t>
      </w:r>
      <w:r>
        <w:rPr>
          <w:rFonts w:ascii="宋体" w:cs="Courier New" w:eastAsia="宋体" w:hAnsi="宋体" w:hint="eastAsia"/>
          <w:b/>
          <w:bCs/>
          <w:color w:val="000000"/>
          <w:kern w:val="0"/>
          <w:szCs w:val="21"/>
        </w:rPr>
        <w:t>、行政诉讼中对民事争议的处理</w:t>
      </w:r>
    </w:p>
    <w:p w14:paraId="47471634">
      <w:pPr>
        <w:pStyle w:val="style0"/>
        <w:tabs>
          <w:tab w:val="left" w:leader="none" w:pos="420"/>
        </w:tabs>
        <w:ind w:firstLine="422" w:firstLineChars="200"/>
        <w:rPr>
          <w:rFonts w:ascii="宋体" w:cs="Times New Roman" w:eastAsia="宋体" w:hAnsi="宋体" w:hint="eastAsia"/>
          <w:b/>
          <w:bCs/>
          <w:color w:val="000000"/>
          <w:kern w:val="0"/>
          <w:szCs w:val="21"/>
        </w:rPr>
      </w:pPr>
      <w:r>
        <w:rPr>
          <w:rFonts w:ascii="宋体" w:cs="Times New Roman" w:eastAsia="宋体" w:hAnsi="宋体" w:hint="eastAsia"/>
          <w:b/>
          <w:bCs/>
          <w:color w:val="000000"/>
          <w:kern w:val="0"/>
          <w:szCs w:val="21"/>
        </w:rPr>
        <w:t>（一）原则：告知另行起诉</w:t>
      </w:r>
    </w:p>
    <w:p w14:paraId="0D2BA5CE">
      <w:pPr>
        <w:pStyle w:val="style0"/>
        <w:tabs>
          <w:tab w:val="left" w:leader="none" w:pos="420"/>
        </w:tabs>
        <w:ind w:firstLine="420" w:firstLineChars="200"/>
        <w:rPr>
          <w:rFonts w:ascii="宋体" w:cs="等线" w:eastAsia="宋体" w:hAnsi="宋体" w:hint="eastAsia"/>
          <w:kern w:val="0"/>
          <w:szCs w:val="21"/>
        </w:rPr>
      </w:pPr>
      <w:r>
        <w:rPr>
          <w:rFonts w:ascii="宋体" w:cs="等线" w:eastAsia="宋体" w:hAnsi="宋体" w:hint="eastAsia"/>
          <w:kern w:val="0"/>
          <w:szCs w:val="21"/>
        </w:rPr>
        <w:t>一般涉及与该行政纠纷关系密切的民事纠纷，只能告知当事人另行起诉，作为民事诉讼处理。</w:t>
      </w:r>
    </w:p>
    <w:p w14:paraId="5E848C4D">
      <w:pPr>
        <w:pStyle w:val="style0"/>
        <w:tabs>
          <w:tab w:val="left" w:leader="none" w:pos="420"/>
        </w:tabs>
        <w:ind w:firstLine="422" w:firstLineChars="200"/>
        <w:rPr>
          <w:rFonts w:ascii="宋体" w:cs="Times New Roman" w:eastAsia="宋体" w:hAnsi="宋体" w:hint="eastAsia"/>
          <w:b/>
          <w:bCs/>
          <w:color w:val="000000"/>
          <w:kern w:val="0"/>
          <w:szCs w:val="21"/>
        </w:rPr>
      </w:pPr>
      <w:r>
        <w:rPr>
          <w:rFonts w:ascii="宋体" w:cs="Times New Roman" w:eastAsia="宋体" w:hAnsi="宋体" w:hint="eastAsia"/>
          <w:b/>
          <w:bCs/>
          <w:color w:val="000000"/>
          <w:kern w:val="0"/>
          <w:szCs w:val="21"/>
        </w:rPr>
        <w:t>（二）例外：一并审理民事争议</w:t>
      </w:r>
    </w:p>
    <w:p w14:paraId="1E075638">
      <w:pPr>
        <w:pStyle w:val="style0"/>
        <w:tabs>
          <w:tab w:val="left" w:leader="none" w:pos="420"/>
        </w:tabs>
        <w:ind w:firstLine="420" w:firstLineChars="200"/>
        <w:rPr>
          <w:rFonts w:ascii="宋体" w:cs="Courier New" w:eastAsia="宋体" w:hAnsi="宋体" w:hint="eastAsia"/>
          <w:kern w:val="0"/>
          <w:szCs w:val="21"/>
        </w:rPr>
      </w:pPr>
      <w:r>
        <w:rPr>
          <w:rFonts w:ascii="宋体" w:cs="Courier New" w:eastAsia="宋体" w:hAnsi="宋体" w:hint="eastAsia"/>
          <w:kern w:val="0"/>
          <w:szCs w:val="21"/>
        </w:rPr>
        <w:t>1．行政诉讼一并审理民事争议的适用范围。</w:t>
      </w:r>
      <w:r>
        <w:rPr>
          <w:rFonts w:ascii="宋体" w:cs="等线" w:eastAsia="宋体" w:hAnsi="宋体" w:hint="eastAsia"/>
          <w:kern w:val="0"/>
          <w:szCs w:val="21"/>
        </w:rPr>
        <w:t>在涉及</w:t>
      </w:r>
      <w:r>
        <w:rPr>
          <w:rFonts w:ascii="宋体" w:cs="等线" w:eastAsia="宋体" w:hAnsi="宋体" w:hint="eastAsia"/>
          <w:color w:val="ff0000"/>
          <w:kern w:val="0"/>
          <w:szCs w:val="21"/>
        </w:rPr>
        <w:t>行政许可、登记、征收、征用、裁决的</w:t>
      </w:r>
      <w:r>
        <w:rPr>
          <w:rFonts w:ascii="宋体" w:cs="等线" w:eastAsia="宋体" w:hAnsi="宋体" w:hint="eastAsia"/>
          <w:kern w:val="0"/>
          <w:szCs w:val="21"/>
        </w:rPr>
        <w:t>行政诉讼中，当事人申请一并解决相关民事争议的，人民法院</w:t>
      </w:r>
      <w:r>
        <w:rPr>
          <w:rFonts w:ascii="宋体" w:cs="等线" w:eastAsia="宋体" w:hAnsi="宋体" w:hint="eastAsia"/>
          <w:color w:val="ff0000"/>
          <w:kern w:val="0"/>
          <w:szCs w:val="21"/>
        </w:rPr>
        <w:t>可以</w:t>
      </w:r>
      <w:r>
        <w:rPr>
          <w:rFonts w:ascii="宋体" w:cs="等线" w:eastAsia="宋体" w:hAnsi="宋体" w:hint="eastAsia"/>
          <w:kern w:val="0"/>
          <w:szCs w:val="21"/>
        </w:rPr>
        <w:t>一并审理。</w:t>
      </w:r>
    </w:p>
    <w:p w14:paraId="1A835992">
      <w:pPr>
        <w:pStyle w:val="style0"/>
        <w:tabs>
          <w:tab w:val="left" w:leader="none" w:pos="420"/>
        </w:tabs>
        <w:ind w:firstLine="420" w:firstLineChars="200"/>
        <w:rPr>
          <w:rFonts w:ascii="宋体" w:cs="Courier New" w:eastAsia="宋体" w:hAnsi="宋体" w:hint="eastAsia"/>
          <w:kern w:val="0"/>
          <w:szCs w:val="21"/>
        </w:rPr>
      </w:pPr>
      <w:r>
        <w:rPr>
          <w:rFonts w:ascii="宋体" w:cs="Courier New" w:eastAsia="宋体" w:hAnsi="宋体" w:hint="eastAsia"/>
          <w:kern w:val="0"/>
          <w:szCs w:val="21"/>
        </w:rPr>
        <w:t>2．行政诉讼一并审理民事争议的排除适用范围。</w:t>
      </w:r>
      <w:r>
        <w:rPr>
          <w:rFonts w:ascii="宋体" w:cs="等线" w:eastAsia="宋体" w:hAnsi="宋体" w:hint="eastAsia"/>
          <w:kern w:val="0"/>
          <w:szCs w:val="21"/>
        </w:rPr>
        <w:t>①法律规定该民事争议需要行政机关先行处理的。②受理违反民事诉讼专属管辖或协议管辖的。③</w:t>
      </w:r>
      <w:r>
        <w:rPr>
          <w:rFonts w:ascii="宋体" w:cs="等线" w:eastAsia="宋体" w:hAnsi="宋体" w:hint="eastAsia"/>
          <w:color w:val="ff0000"/>
          <w:kern w:val="0"/>
          <w:szCs w:val="21"/>
        </w:rPr>
        <w:t>民事争议约定仲裁或者已经提起民事诉讼的。</w:t>
      </w:r>
      <w:r>
        <w:rPr>
          <w:rFonts w:ascii="宋体" w:cs="等线" w:eastAsia="宋体" w:hAnsi="宋体" w:hint="eastAsia"/>
          <w:kern w:val="0"/>
          <w:szCs w:val="21"/>
        </w:rPr>
        <w:t>④其他不宜一并审理的民事争议。</w:t>
      </w:r>
    </w:p>
    <w:p w14:paraId="3C0FE47F">
      <w:pPr>
        <w:pStyle w:val="style0"/>
        <w:tabs>
          <w:tab w:val="left" w:leader="none" w:pos="420"/>
        </w:tabs>
        <w:ind w:firstLine="420" w:firstLineChars="200"/>
        <w:rPr>
          <w:rFonts w:ascii="宋体" w:cs="等线" w:eastAsia="宋体" w:hAnsi="宋体" w:hint="eastAsia"/>
          <w:color w:val="ff0000"/>
          <w:kern w:val="0"/>
          <w:szCs w:val="21"/>
        </w:rPr>
      </w:pPr>
      <w:r>
        <w:rPr>
          <w:rFonts w:ascii="宋体" w:cs="等线" w:eastAsia="宋体" w:hAnsi="宋体" w:hint="eastAsia"/>
          <w:color w:val="ff0000"/>
          <w:kern w:val="0"/>
          <w:szCs w:val="21"/>
        </w:rPr>
        <w:t>对法院不予准许一并审理的决定，当事人可以申请复议一次。</w:t>
      </w:r>
    </w:p>
    <w:p w14:paraId="48BDA74A">
      <w:pPr>
        <w:pStyle w:val="style0"/>
        <w:tabs>
          <w:tab w:val="left" w:leader="none" w:pos="420"/>
        </w:tabs>
        <w:ind w:firstLine="420" w:firstLineChars="200"/>
        <w:rPr>
          <w:rFonts w:ascii="宋体" w:cs="Courier New" w:eastAsia="宋体" w:hAnsi="宋体" w:hint="eastAsia"/>
          <w:kern w:val="0"/>
          <w:szCs w:val="21"/>
        </w:rPr>
      </w:pPr>
      <w:r>
        <w:rPr>
          <w:rFonts w:ascii="宋体" w:cs="Courier New" w:eastAsia="宋体" w:hAnsi="宋体" w:hint="eastAsia"/>
          <w:kern w:val="0"/>
          <w:szCs w:val="21"/>
        </w:rPr>
        <w:t>3．提出一并解决民事争议的时间。</w:t>
      </w:r>
      <w:r>
        <w:rPr>
          <w:rFonts w:ascii="宋体" w:cs="等线" w:eastAsia="宋体" w:hAnsi="宋体" w:hint="eastAsia"/>
          <w:kern w:val="0"/>
          <w:szCs w:val="21"/>
        </w:rPr>
        <w:t>原则：一审开庭审理前。例外：有正当理由的，在法庭调查中提出。</w:t>
      </w:r>
    </w:p>
    <w:p w14:paraId="2EC7A2D7">
      <w:pPr>
        <w:pStyle w:val="style0"/>
        <w:tabs>
          <w:tab w:val="left" w:leader="none" w:pos="420"/>
        </w:tabs>
        <w:ind w:firstLine="420" w:firstLineChars="200"/>
        <w:rPr>
          <w:rFonts w:ascii="宋体" w:cs="Courier New" w:eastAsia="宋体" w:hAnsi="宋体" w:hint="eastAsia"/>
          <w:kern w:val="0"/>
          <w:szCs w:val="21"/>
        </w:rPr>
      </w:pPr>
      <w:r>
        <w:rPr>
          <w:rFonts w:ascii="宋体" w:cs="Courier New" w:eastAsia="宋体" w:hAnsi="宋体" w:hint="eastAsia"/>
          <w:kern w:val="0"/>
          <w:szCs w:val="21"/>
        </w:rPr>
        <w:t>4．审理方式。</w:t>
      </w:r>
      <w:r>
        <w:rPr>
          <w:rFonts w:ascii="宋体" w:cs="等线" w:eastAsia="宋体" w:hAnsi="宋体" w:hint="eastAsia"/>
          <w:kern w:val="0"/>
          <w:szCs w:val="21"/>
        </w:rPr>
        <w:t>原则：民事争议应当单独立案，由同一审判组织审理。例外：</w:t>
      </w:r>
      <w:r>
        <w:rPr>
          <w:rFonts w:ascii="宋体" w:cs="等线" w:eastAsia="宋体" w:hAnsi="宋体" w:hint="eastAsia"/>
          <w:color w:val="ff0000"/>
          <w:kern w:val="0"/>
          <w:szCs w:val="21"/>
        </w:rPr>
        <w:t>审理行政机关对民事争议所作裁决的案件，一并审理民事争议的，不另行立案。</w:t>
      </w:r>
    </w:p>
    <w:p w14:paraId="26ADB1BE">
      <w:pPr>
        <w:pStyle w:val="style0"/>
        <w:tabs>
          <w:tab w:val="left" w:leader="none" w:pos="420"/>
        </w:tabs>
        <w:ind w:firstLine="420" w:firstLineChars="200"/>
        <w:rPr>
          <w:rFonts w:ascii="宋体" w:cs="Courier New" w:eastAsia="宋体" w:hAnsi="宋体" w:hint="eastAsia"/>
          <w:kern w:val="0"/>
          <w:szCs w:val="21"/>
        </w:rPr>
      </w:pPr>
      <w:r>
        <w:rPr>
          <w:rFonts w:ascii="宋体" w:cs="Courier New" w:eastAsia="宋体" w:hAnsi="宋体" w:hint="eastAsia"/>
          <w:kern w:val="0"/>
          <w:szCs w:val="21"/>
        </w:rPr>
        <w:t>5</w:t>
      </w:r>
      <w:r>
        <w:rPr>
          <w:rFonts w:ascii="宋体" w:cs="Courier New" w:eastAsia="宋体" w:hAnsi="宋体" w:hint="eastAsia"/>
          <w:kern w:val="0"/>
          <w:szCs w:val="21"/>
        </w:rPr>
        <w:t>．裁判方式。</w:t>
      </w:r>
      <w:r>
        <w:rPr>
          <w:rFonts w:ascii="宋体" w:cs="等线" w:eastAsia="宋体" w:hAnsi="宋体" w:hint="eastAsia"/>
          <w:kern w:val="0"/>
          <w:szCs w:val="21"/>
        </w:rPr>
        <w:t>原则：行政争议和民事争议应当分别裁判。例外：</w:t>
      </w:r>
      <w:r>
        <w:rPr>
          <w:rFonts w:ascii="宋体" w:cs="等线" w:eastAsia="宋体" w:hAnsi="宋体" w:hint="eastAsia"/>
          <w:color w:val="ff0000"/>
          <w:kern w:val="0"/>
          <w:szCs w:val="21"/>
        </w:rPr>
        <w:t>行政裁决案件一并解决民事争议的，法院针对行政裁决和民事权利一并作出裁判</w:t>
      </w:r>
      <w:r>
        <w:rPr>
          <w:rFonts w:ascii="宋体" w:cs="等线" w:eastAsia="宋体" w:hAnsi="宋体" w:hint="eastAsia"/>
          <w:kern w:val="0"/>
          <w:szCs w:val="21"/>
        </w:rPr>
        <w:t>。</w:t>
      </w:r>
      <w:r>
        <w:rPr>
          <w:rFonts w:ascii="宋体" w:cs="等线" w:eastAsia="宋体" w:hAnsi="宋体" w:hint="eastAsia"/>
          <w:color w:val="ff0000"/>
          <w:kern w:val="0"/>
          <w:szCs w:val="21"/>
        </w:rPr>
        <w:t>即行政裁决案件，合并立案、合并审理、合并裁判。</w:t>
      </w:r>
    </w:p>
    <w:p w14:paraId="70889179">
      <w:pPr>
        <w:pStyle w:val="style0"/>
        <w:tabs>
          <w:tab w:val="left" w:leader="none" w:pos="420"/>
        </w:tabs>
        <w:ind w:firstLine="420" w:firstLineChars="200"/>
        <w:rPr>
          <w:rFonts w:ascii="宋体" w:cs="Courier New" w:eastAsia="宋体" w:hAnsi="宋体" w:hint="eastAsia"/>
          <w:kern w:val="0"/>
          <w:szCs w:val="21"/>
        </w:rPr>
      </w:pPr>
      <w:r>
        <w:rPr>
          <w:rFonts w:ascii="宋体" w:cs="Courier New" w:eastAsia="宋体" w:hAnsi="宋体" w:hint="eastAsia"/>
          <w:kern w:val="0"/>
          <w:szCs w:val="21"/>
        </w:rPr>
        <w:t>6</w:t>
      </w:r>
      <w:r>
        <w:rPr>
          <w:rFonts w:ascii="宋体" w:cs="Courier New" w:eastAsia="宋体" w:hAnsi="宋体" w:hint="eastAsia"/>
          <w:kern w:val="0"/>
          <w:szCs w:val="21"/>
        </w:rPr>
        <w:t>．对上诉的处理。</w:t>
      </w:r>
      <w:r>
        <w:rPr>
          <w:rFonts w:ascii="宋体" w:cs="等线" w:eastAsia="宋体" w:hAnsi="宋体" w:hint="eastAsia"/>
          <w:kern w:val="0"/>
          <w:szCs w:val="21"/>
        </w:rPr>
        <w:t>当事人仅对行政裁判或者民事裁判提出上诉的，未上诉的裁判在上</w:t>
      </w:r>
      <w:r>
        <w:rPr>
          <w:rFonts w:ascii="宋体" w:cs="等线" w:eastAsia="宋体" w:hAnsi="宋体" w:hint="eastAsia"/>
          <w:kern w:val="0"/>
          <w:szCs w:val="21"/>
        </w:rPr>
        <w:t>诉期满后即发生法律效力。</w:t>
      </w:r>
    </w:p>
    <w:p w14:paraId="4241CBCA">
      <w:pPr>
        <w:pStyle w:val="style0"/>
        <w:tabs>
          <w:tab w:val="left" w:leader="none" w:pos="420"/>
        </w:tabs>
        <w:ind w:firstLine="420" w:firstLineChars="200"/>
        <w:rPr>
          <w:rFonts w:ascii="宋体" w:cs="Courier New" w:eastAsia="宋体" w:hAnsi="宋体" w:hint="eastAsia"/>
          <w:kern w:val="0"/>
          <w:szCs w:val="21"/>
        </w:rPr>
      </w:pPr>
      <w:r>
        <w:rPr>
          <w:rFonts w:ascii="宋体" w:cs="Courier New" w:eastAsia="宋体" w:hAnsi="宋体" w:hint="eastAsia"/>
          <w:kern w:val="0"/>
          <w:szCs w:val="21"/>
        </w:rPr>
        <w:t>7</w:t>
      </w:r>
      <w:r>
        <w:rPr>
          <w:rFonts w:ascii="宋体" w:cs="Courier New" w:eastAsia="宋体" w:hAnsi="宋体" w:hint="eastAsia"/>
          <w:kern w:val="0"/>
          <w:szCs w:val="21"/>
        </w:rPr>
        <w:t>．诉讼费用收取。</w:t>
      </w:r>
      <w:r>
        <w:rPr>
          <w:rFonts w:ascii="宋体" w:cs="Times New Roman" w:eastAsia="宋体" w:hAnsi="宋体" w:hint="eastAsia"/>
          <w:color w:val="ff0000"/>
          <w:kern w:val="0"/>
          <w:szCs w:val="21"/>
        </w:rPr>
        <w:t>一并审理相关民事争议，按行政案件、民事案件的标准分别收取诉讼费用。</w:t>
      </w:r>
    </w:p>
    <w:bookmarkStart w:id="8" w:name="_Hlk37844551"/>
    <w:p w14:paraId="71AB3A80">
      <w:pPr>
        <w:pStyle w:val="style0"/>
        <w:tabs>
          <w:tab w:val="left" w:leader="none" w:pos="420"/>
        </w:tabs>
        <w:rPr>
          <w:rFonts w:ascii="宋体" w:cs="Times New Roman" w:eastAsia="宋体" w:hAnsi="宋体"/>
          <w:b/>
          <w:bCs/>
          <w:color w:val="000000"/>
          <w:kern w:val="0"/>
          <w:szCs w:val="21"/>
        </w:rPr>
      </w:pPr>
      <w:r>
        <w:rPr>
          <w:rFonts w:ascii="宋体" w:cs="Times New Roman" w:eastAsia="宋体" w:hAnsi="宋体" w:hint="eastAsia"/>
          <w:b/>
          <w:bCs/>
          <w:color w:val="000000"/>
          <w:kern w:val="0"/>
          <w:szCs w:val="21"/>
        </w:rPr>
        <w:t>六</w:t>
      </w:r>
      <w:r>
        <w:rPr>
          <w:rFonts w:ascii="宋体" w:cs="Times New Roman" w:eastAsia="宋体" w:hAnsi="宋体" w:hint="eastAsia"/>
          <w:b/>
          <w:bCs/>
          <w:color w:val="000000"/>
          <w:kern w:val="0"/>
          <w:szCs w:val="21"/>
        </w:rPr>
        <w:t>、视为撤诉与缺席判决</w:t>
      </w:r>
    </w:p>
    <w:p w14:paraId="53E324DF">
      <w:pPr>
        <w:pStyle w:val="style0"/>
        <w:tabs>
          <w:tab w:val="left" w:leader="none" w:pos="420"/>
        </w:tabs>
        <w:ind w:firstLine="422" w:firstLineChars="200"/>
        <w:rPr>
          <w:rFonts w:ascii="宋体" w:cs="Courier New" w:eastAsia="宋体" w:hAnsi="宋体" w:hint="eastAsia"/>
          <w:b/>
          <w:bCs/>
          <w:kern w:val="0"/>
          <w:szCs w:val="21"/>
        </w:rPr>
      </w:pPr>
      <w:r>
        <w:rPr>
          <w:rFonts w:ascii="宋体" w:cs="Courier New" w:eastAsia="宋体" w:hAnsi="宋体" w:hint="eastAsia"/>
          <w:b/>
          <w:bCs/>
          <w:kern w:val="0"/>
          <w:szCs w:val="21"/>
        </w:rPr>
        <w:t>（一）</w:t>
      </w:r>
      <w:r>
        <w:rPr>
          <w:rFonts w:ascii="宋体" w:cs="Courier New" w:eastAsia="宋体" w:hAnsi="宋体" w:hint="eastAsia"/>
          <w:b/>
          <w:bCs/>
          <w:kern w:val="0"/>
          <w:szCs w:val="21"/>
        </w:rPr>
        <w:t>视为撤诉</w:t>
      </w:r>
    </w:p>
    <w:p w14:paraId="4C0A7300">
      <w:pPr>
        <w:pStyle w:val="style0"/>
        <w:tabs>
          <w:tab w:val="left" w:leader="none" w:pos="420"/>
        </w:tabs>
        <w:ind w:firstLine="424" w:firstLineChars="202"/>
        <w:rPr>
          <w:rFonts w:ascii="宋体" w:cs="宋体" w:eastAsia="宋体" w:hAnsi="宋体" w:hint="eastAsia"/>
          <w:szCs w:val="21"/>
        </w:rPr>
      </w:pPr>
      <w:r>
        <w:rPr>
          <w:rFonts w:ascii="宋体" w:cs="宋体" w:eastAsia="宋体" w:hAnsi="宋体" w:hint="eastAsia"/>
          <w:szCs w:val="21"/>
        </w:rPr>
        <w:t>（1）</w:t>
      </w:r>
      <w:r>
        <w:rPr>
          <w:rFonts w:ascii="宋体" w:cs="宋体" w:eastAsia="宋体" w:hAnsi="宋体" w:hint="eastAsia"/>
          <w:szCs w:val="21"/>
        </w:rPr>
        <w:t>原告或上诉人经合法传唤，无正当理由拒不到庭或未经法庭许可中途退庭的</w:t>
      </w:r>
      <w:r>
        <w:rPr>
          <w:rFonts w:ascii="宋体" w:cs="宋体" w:eastAsia="宋体" w:hAnsi="宋体" w:hint="eastAsia"/>
          <w:szCs w:val="21"/>
        </w:rPr>
        <w:t>：（2）</w:t>
      </w:r>
      <w:r>
        <w:rPr>
          <w:rFonts w:ascii="宋体" w:cs="宋体" w:eastAsia="宋体" w:hAnsi="宋体" w:hint="eastAsia"/>
          <w:szCs w:val="21"/>
        </w:rPr>
        <w:t>原告或上诉人未按规定期限预交受理费，又不提出缓交、减交、免交申请，或提出申请未获批准的，按自动撤诉处理</w:t>
      </w:r>
      <w:r>
        <w:rPr>
          <w:rFonts w:ascii="宋体" w:cs="宋体" w:eastAsia="宋体" w:hAnsi="宋体" w:hint="eastAsia"/>
          <w:szCs w:val="21"/>
        </w:rPr>
        <w:t xml:space="preserve">。 </w:t>
      </w:r>
    </w:p>
    <w:p w14:paraId="47EAA7BB">
      <w:pPr>
        <w:pStyle w:val="style0"/>
        <w:tabs>
          <w:tab w:val="left" w:leader="none" w:pos="420"/>
        </w:tabs>
        <w:ind w:firstLine="422" w:firstLineChars="200"/>
        <w:rPr>
          <w:rFonts w:ascii="宋体" w:cs="Courier New" w:eastAsia="宋体" w:hAnsi="宋体" w:hint="eastAsia"/>
          <w:b/>
          <w:bCs/>
          <w:kern w:val="0"/>
          <w:szCs w:val="21"/>
        </w:rPr>
      </w:pPr>
      <w:r>
        <w:rPr>
          <w:rFonts w:ascii="宋体" w:cs="Courier New" w:eastAsia="宋体" w:hAnsi="宋体" w:hint="eastAsia"/>
          <w:b/>
          <w:bCs/>
          <w:kern w:val="0"/>
          <w:szCs w:val="21"/>
        </w:rPr>
        <w:t>（二）</w:t>
      </w:r>
      <w:r>
        <w:rPr>
          <w:rFonts w:ascii="宋体" w:cs="Courier New" w:eastAsia="宋体" w:hAnsi="宋体" w:hint="eastAsia"/>
          <w:b/>
          <w:bCs/>
          <w:kern w:val="0"/>
          <w:szCs w:val="21"/>
        </w:rPr>
        <w:t>缺席判决</w:t>
      </w:r>
    </w:p>
    <w:p w14:paraId="10319DE2">
      <w:pPr>
        <w:pStyle w:val="style0"/>
        <w:tabs>
          <w:tab w:val="left" w:leader="none" w:pos="420"/>
        </w:tabs>
        <w:ind w:firstLine="424" w:firstLineChars="202"/>
        <w:rPr>
          <w:rFonts w:ascii="宋体" w:cs="宋体" w:eastAsia="宋体" w:hAnsi="宋体" w:hint="eastAsia"/>
          <w:szCs w:val="21"/>
        </w:rPr>
      </w:pPr>
      <w:r>
        <w:rPr>
          <w:rFonts w:ascii="宋体" w:cs="宋体" w:eastAsia="宋体" w:hAnsi="宋体" w:hint="eastAsia"/>
          <w:szCs w:val="21"/>
        </w:rPr>
        <w:t>（1）经人民法院传票传唤，被告无正当理由拒不到庭，或者未经法庭许可中途退庭的.</w:t>
      </w:r>
    </w:p>
    <w:p w14:paraId="5A829E9F">
      <w:pPr>
        <w:pStyle w:val="style0"/>
        <w:tabs>
          <w:tab w:val="left" w:leader="none" w:pos="420"/>
        </w:tabs>
        <w:ind w:firstLine="424" w:firstLineChars="202"/>
        <w:rPr>
          <w:rFonts w:ascii="宋体" w:cs="宋体" w:eastAsia="宋体" w:hAnsi="宋体" w:hint="eastAsia"/>
          <w:szCs w:val="21"/>
        </w:rPr>
      </w:pPr>
      <w:r>
        <w:rPr>
          <w:rFonts w:ascii="宋体" w:cs="宋体" w:eastAsia="宋体" w:hAnsi="宋体" w:hint="eastAsia"/>
          <w:szCs w:val="21"/>
        </w:rPr>
        <w:t>（2）原告或者上诉人申请撤诉，人民法院裁定不予准许的，原告或者上诉人经传票传唤无正当理由拒不到庭，或者未经法庭许可中途退庭的。</w:t>
      </w:r>
    </w:p>
    <w:p w14:paraId="600C2A74">
      <w:pPr>
        <w:pStyle w:val="style0"/>
        <w:tabs>
          <w:tab w:val="left" w:leader="none" w:pos="420"/>
        </w:tabs>
        <w:ind w:firstLine="424" w:firstLineChars="202"/>
        <w:rPr>
          <w:rFonts w:ascii="宋体" w:cs="宋体" w:eastAsia="宋体" w:hAnsi="宋体" w:hint="eastAsia"/>
          <w:szCs w:val="21"/>
        </w:rPr>
      </w:pPr>
      <w:r>
        <w:rPr>
          <w:rFonts w:ascii="宋体" w:cs="宋体" w:eastAsia="宋体" w:hAnsi="宋体" w:hint="eastAsia"/>
          <w:szCs w:val="21"/>
        </w:rPr>
        <w:t>（3）惩戒措施：将被告拒不到庭或者中途退庭的情况予以</w:t>
      </w:r>
      <w:r>
        <w:rPr>
          <w:rFonts w:ascii="宋体" w:cs="宋体" w:eastAsia="宋体" w:hAnsi="宋体" w:hint="eastAsia"/>
          <w:color w:val="ff0000"/>
          <w:szCs w:val="21"/>
        </w:rPr>
        <w:t>公告</w:t>
      </w:r>
      <w:r>
        <w:rPr>
          <w:rFonts w:ascii="宋体" w:cs="宋体" w:eastAsia="宋体" w:hAnsi="宋体" w:hint="eastAsia"/>
          <w:szCs w:val="21"/>
        </w:rPr>
        <w:t>；向</w:t>
      </w:r>
      <w:r>
        <w:rPr>
          <w:rFonts w:ascii="宋体" w:cs="宋体" w:eastAsia="宋体" w:hAnsi="宋体" w:hint="eastAsia"/>
          <w:color w:val="ff0000"/>
          <w:szCs w:val="21"/>
        </w:rPr>
        <w:t>监察机关或者被告的上一级行政机关</w:t>
      </w:r>
      <w:r>
        <w:rPr>
          <w:rFonts w:ascii="宋体" w:cs="宋体" w:eastAsia="宋体" w:hAnsi="宋体" w:hint="eastAsia"/>
          <w:szCs w:val="21"/>
        </w:rPr>
        <w:t>提出依法给予其主要负责人或者直接责任人员处分的</w:t>
      </w:r>
      <w:r>
        <w:rPr>
          <w:rFonts w:ascii="宋体" w:cs="宋体" w:eastAsia="宋体" w:hAnsi="宋体" w:hint="eastAsia"/>
          <w:color w:val="ff0000"/>
          <w:szCs w:val="21"/>
        </w:rPr>
        <w:t>司法建议</w:t>
      </w:r>
      <w:r>
        <w:rPr>
          <w:rFonts w:ascii="宋体" w:cs="宋体" w:eastAsia="宋体" w:hAnsi="宋体" w:hint="eastAsia"/>
          <w:szCs w:val="21"/>
        </w:rPr>
        <w:t>。</w:t>
      </w:r>
    </w:p>
    <w:p w14:paraId="4DC5852C">
      <w:pPr>
        <w:pStyle w:val="style0"/>
        <w:tabs>
          <w:tab w:val="left" w:leader="none" w:pos="420"/>
        </w:tabs>
        <w:ind w:firstLine="420" w:firstLineChars="200"/>
        <w:rPr>
          <w:rFonts w:ascii="宋体" w:cs="Times New Roman" w:eastAsia="宋体" w:hAnsi="宋体" w:hint="eastAsia"/>
          <w:kern w:val="0"/>
          <w:szCs w:val="21"/>
        </w:rPr>
      </w:pPr>
      <w:r>
        <w:rPr>
          <w:rFonts w:ascii="宋体" w:cs="Times New Roman" w:eastAsia="宋体" w:hAnsi="宋体" w:hint="eastAsia"/>
          <w:color w:val="ff0000"/>
          <w:kern w:val="0"/>
          <w:szCs w:val="21"/>
        </w:rPr>
        <w:t>第三人经合法传唤无正当理由拒不到庭，或未经法庭许可中途退庭的，不影响案件的审理。</w:t>
      </w:r>
    </w:p>
    <w:bookmarkStart w:id="9" w:name="_Toc200016417"/>
    <w:bookmarkEnd w:id="8"/>
    <w:p w14:paraId="5C11E929">
      <w:pPr>
        <w:pStyle w:val="style0"/>
        <w:jc w:val="center"/>
        <w:rPr>
          <w:rFonts w:ascii="宋体" w:eastAsia="宋体" w:hAnsi="宋体" w:hint="eastAsia"/>
          <w:b/>
          <w:bCs/>
        </w:rPr>
      </w:pPr>
      <w:r>
        <w:rPr>
          <w:rFonts w:ascii="宋体" w:eastAsia="宋体" w:hAnsi="宋体" w:hint="eastAsia"/>
          <w:b/>
          <w:bCs/>
        </w:rPr>
        <w:t>专题四  行政行为的合法性判断与</w:t>
      </w:r>
      <w:bookmarkStart w:id="10" w:name="_Toc200016418"/>
      <w:bookmarkEnd w:id="9"/>
      <w:r>
        <w:rPr>
          <w:rFonts w:ascii="宋体" w:eastAsia="宋体" w:hAnsi="宋体" w:hint="eastAsia"/>
          <w:b/>
          <w:bCs/>
        </w:rPr>
        <w:t>各种判决方式的适用</w:t>
      </w:r>
      <w:bookmarkEnd w:id="10"/>
      <w:r>
        <w:rPr>
          <w:rFonts w:ascii="宋体" w:eastAsia="宋体" w:hAnsi="宋体" w:hint="eastAsia"/>
          <w:b/>
          <w:bCs/>
        </w:rPr>
        <w:t>（22：05-22：</w:t>
      </w:r>
      <w:r>
        <w:rPr>
          <w:rFonts w:ascii="宋体" w:eastAsia="宋体" w:hAnsi="宋体" w:hint="default"/>
          <w:b/>
          <w:bCs/>
          <w:lang w:val="en-US"/>
        </w:rPr>
        <w:t>30</w:t>
      </w:r>
      <w:r>
        <w:rPr>
          <w:rFonts w:ascii="宋体" w:eastAsia="宋体" w:hAnsi="宋体" w:hint="eastAsia"/>
          <w:b/>
          <w:bCs/>
        </w:rPr>
        <w:t>）</w:t>
      </w:r>
    </w:p>
    <w:p w14:paraId="362AC2FB">
      <w:pPr>
        <w:pStyle w:val="style0"/>
        <w:jc w:val="left"/>
        <w:rPr>
          <w:rFonts w:ascii="宋体" w:cs="汉仪大宋简" w:eastAsia="宋体" w:hAnsi="宋体" w:hint="eastAsia"/>
          <w:b/>
          <w:color w:val="000000"/>
          <w:szCs w:val="21"/>
        </w:rPr>
      </w:pPr>
      <w:r>
        <w:rPr>
          <w:rFonts w:ascii="宋体" w:cs="汉仪大宋简" w:eastAsia="宋体" w:hAnsi="宋体" w:hint="eastAsia"/>
          <w:b/>
          <w:color w:val="000000"/>
          <w:szCs w:val="21"/>
        </w:rPr>
        <w:t>一、行政行为的合法性判断</w:t>
      </w:r>
    </w:p>
    <w:p w14:paraId="2186DF0B">
      <w:pPr>
        <w:pStyle w:val="style0"/>
        <w:ind w:firstLine="420" w:firstLineChars="200"/>
        <w:rPr>
          <w:rFonts w:ascii="宋体" w:cs="宋体" w:eastAsia="宋体" w:hAnsi="宋体" w:hint="eastAsia"/>
          <w:color w:val="000000"/>
          <w:szCs w:val="21"/>
        </w:rPr>
      </w:pPr>
      <w:r>
        <w:rPr>
          <w:rFonts w:ascii="宋体" w:cs="宋体" w:eastAsia="宋体" w:hAnsi="宋体" w:hint="eastAsia"/>
          <w:color w:val="000000"/>
          <w:szCs w:val="21"/>
        </w:rPr>
        <w:t>行政行为合法，一般需要同时满足下列要件：①事实清楚，即行政决定应当有确实可靠充分的证据。②正确适用法律法规。③符合法定程序。④不得超越职权。⑤不得滥用职权。⑥没有明显不当。</w:t>
      </w:r>
    </w:p>
    <w:p w14:paraId="4283700E">
      <w:pPr>
        <w:pStyle w:val="style0"/>
        <w:ind w:firstLine="420" w:firstLineChars="200"/>
        <w:rPr>
          <w:rFonts w:ascii="宋体" w:cs="宋体" w:eastAsia="宋体" w:hAnsi="宋体" w:hint="eastAsia"/>
          <w:color w:val="000000"/>
          <w:szCs w:val="21"/>
        </w:rPr>
      </w:pPr>
      <w:r>
        <w:rPr>
          <w:rFonts w:ascii="宋体" w:cs="宋体" w:eastAsia="宋体" w:hAnsi="宋体" w:hint="eastAsia"/>
          <w:color w:val="000000"/>
          <w:szCs w:val="21"/>
        </w:rPr>
        <w:t>1</w:t>
      </w:r>
      <w:r>
        <w:rPr>
          <w:rFonts w:ascii="宋体" w:cs="宋体" w:eastAsia="宋体" w:hAnsi="宋体"/>
          <w:color w:val="000000"/>
          <w:szCs w:val="21"/>
        </w:rPr>
        <w:t>．</w:t>
      </w:r>
      <w:r>
        <w:rPr>
          <w:rFonts w:ascii="宋体" w:cs="宋体" w:eastAsia="宋体" w:hAnsi="宋体" w:hint="eastAsia"/>
          <w:color w:val="000000"/>
          <w:szCs w:val="21"/>
        </w:rPr>
        <w:t>有确实可靠充分的证据</w:t>
      </w:r>
      <w:r>
        <w:rPr>
          <w:rFonts w:ascii="宋体" w:cs="宋体" w:eastAsia="宋体" w:hAnsi="宋体" w:hint="eastAsia"/>
          <w:color w:val="000000"/>
          <w:szCs w:val="21"/>
        </w:rPr>
        <w:t>：</w:t>
      </w:r>
      <w:r>
        <w:rPr>
          <w:rFonts w:ascii="宋体" w:cs="宋体" w:eastAsia="宋体" w:hAnsi="宋体" w:hint="eastAsia"/>
          <w:color w:val="000000"/>
          <w:szCs w:val="21"/>
        </w:rPr>
        <w:t>作出行政决定首先要有事实，即“先取证，后决定”。事实应当是确实充分的。</w:t>
      </w:r>
    </w:p>
    <w:p w14:paraId="476E960A">
      <w:pPr>
        <w:pStyle w:val="style0"/>
        <w:ind w:firstLine="420" w:firstLineChars="200"/>
        <w:rPr>
          <w:rFonts w:ascii="宋体" w:cs="宋体" w:eastAsia="宋体" w:hAnsi="宋体" w:hint="eastAsia"/>
          <w:color w:val="000000"/>
          <w:szCs w:val="21"/>
        </w:rPr>
      </w:pPr>
      <w:r>
        <w:rPr>
          <w:rFonts w:ascii="宋体" w:cs="宋体" w:eastAsia="宋体" w:hAnsi="宋体" w:hint="eastAsia"/>
          <w:color w:val="000000"/>
          <w:szCs w:val="21"/>
        </w:rPr>
        <w:t>2</w:t>
      </w:r>
      <w:r>
        <w:rPr>
          <w:rFonts w:ascii="宋体" w:cs="宋体" w:eastAsia="宋体" w:hAnsi="宋体"/>
          <w:color w:val="000000"/>
          <w:szCs w:val="21"/>
        </w:rPr>
        <w:t>．</w:t>
      </w:r>
      <w:r>
        <w:rPr>
          <w:rFonts w:ascii="宋体" w:cs="宋体" w:eastAsia="宋体" w:hAnsi="宋体" w:hint="eastAsia"/>
          <w:color w:val="000000"/>
          <w:szCs w:val="21"/>
        </w:rPr>
        <w:t>正确适用法律法规</w:t>
      </w:r>
    </w:p>
    <w:p w14:paraId="58B0AF6D">
      <w:pPr>
        <w:pStyle w:val="style0"/>
        <w:ind w:firstLine="420" w:firstLineChars="200"/>
        <w:rPr>
          <w:rFonts w:ascii="宋体" w:cs="宋体" w:eastAsia="宋体" w:hAnsi="宋体" w:hint="eastAsia"/>
          <w:color w:val="000000"/>
          <w:szCs w:val="21"/>
        </w:rPr>
      </w:pPr>
      <w:r>
        <w:rPr>
          <w:rFonts w:ascii="宋体" w:cs="宋体" w:eastAsia="宋体" w:hAnsi="宋体" w:hint="eastAsia"/>
          <w:color w:val="000000"/>
          <w:szCs w:val="21"/>
        </w:rPr>
        <w:t>3</w:t>
      </w:r>
      <w:r>
        <w:rPr>
          <w:rFonts w:ascii="宋体" w:cs="宋体" w:eastAsia="宋体" w:hAnsi="宋体"/>
          <w:color w:val="000000"/>
          <w:szCs w:val="21"/>
        </w:rPr>
        <w:t>．</w:t>
      </w:r>
      <w:r>
        <w:rPr>
          <w:rFonts w:ascii="宋体" w:cs="宋体" w:eastAsia="宋体" w:hAnsi="宋体" w:hint="eastAsia"/>
          <w:color w:val="000000"/>
          <w:szCs w:val="21"/>
        </w:rPr>
        <w:t>符合法定程序</w:t>
      </w:r>
      <w:r>
        <w:rPr>
          <w:rFonts w:ascii="宋体" w:cs="宋体" w:eastAsia="宋体" w:hAnsi="宋体" w:hint="eastAsia"/>
          <w:color w:val="000000"/>
          <w:szCs w:val="21"/>
        </w:rPr>
        <w:t>：</w:t>
      </w:r>
      <w:r>
        <w:rPr>
          <w:rFonts w:ascii="宋体" w:cs="宋体" w:eastAsia="宋体" w:hAnsi="宋体" w:hint="eastAsia"/>
          <w:color w:val="000000"/>
          <w:szCs w:val="21"/>
        </w:rPr>
        <w:t>行政活动应当遵循法定的方式、方法、步骤、顺序和时限。</w:t>
      </w:r>
    </w:p>
    <w:p w14:paraId="72164C65">
      <w:pPr>
        <w:pStyle w:val="style0"/>
        <w:ind w:firstLine="420" w:firstLineChars="200"/>
        <w:rPr>
          <w:rFonts w:ascii="宋体" w:cs="宋体" w:eastAsia="宋体" w:hAnsi="宋体" w:hint="eastAsia"/>
          <w:color w:val="000000"/>
          <w:szCs w:val="21"/>
        </w:rPr>
      </w:pPr>
      <w:r>
        <w:rPr>
          <w:rFonts w:ascii="宋体" w:cs="宋体" w:eastAsia="宋体" w:hAnsi="宋体" w:hint="eastAsia"/>
          <w:color w:val="000000"/>
          <w:szCs w:val="21"/>
        </w:rPr>
        <w:t>4</w:t>
      </w:r>
      <w:r>
        <w:rPr>
          <w:rFonts w:ascii="宋体" w:cs="宋体" w:eastAsia="宋体" w:hAnsi="宋体"/>
          <w:color w:val="000000"/>
          <w:szCs w:val="21"/>
        </w:rPr>
        <w:t>．</w:t>
      </w:r>
      <w:r>
        <w:rPr>
          <w:rFonts w:ascii="宋体" w:cs="宋体" w:eastAsia="宋体" w:hAnsi="宋体" w:hint="eastAsia"/>
          <w:color w:val="000000"/>
          <w:szCs w:val="21"/>
        </w:rPr>
        <w:t>不得超越职权</w:t>
      </w:r>
      <w:r>
        <w:rPr>
          <w:rFonts w:ascii="宋体" w:cs="宋体" w:eastAsia="宋体" w:hAnsi="宋体" w:hint="eastAsia"/>
          <w:color w:val="000000"/>
          <w:szCs w:val="21"/>
        </w:rPr>
        <w:t>：</w:t>
      </w:r>
      <w:r>
        <w:rPr>
          <w:rFonts w:ascii="宋体" w:cs="宋体" w:eastAsia="宋体" w:hAnsi="宋体" w:hint="eastAsia"/>
          <w:color w:val="000000"/>
          <w:szCs w:val="21"/>
        </w:rPr>
        <w:t>行政机关应当在法律授予的权限以内活动。</w:t>
      </w:r>
    </w:p>
    <w:p w14:paraId="757DD0E5">
      <w:pPr>
        <w:pStyle w:val="style0"/>
        <w:ind w:firstLine="420" w:firstLineChars="200"/>
        <w:rPr>
          <w:rFonts w:ascii="宋体" w:cs="宋体" w:eastAsia="宋体" w:hAnsi="宋体" w:hint="eastAsia"/>
          <w:color w:val="000000"/>
          <w:szCs w:val="21"/>
        </w:rPr>
      </w:pPr>
      <w:r>
        <w:rPr>
          <w:rFonts w:ascii="宋体" w:cs="宋体" w:eastAsia="宋体" w:hAnsi="宋体" w:hint="eastAsia"/>
          <w:color w:val="000000"/>
          <w:szCs w:val="21"/>
        </w:rPr>
        <w:t>5</w:t>
      </w:r>
      <w:r>
        <w:rPr>
          <w:rFonts w:ascii="宋体" w:cs="宋体" w:eastAsia="宋体" w:hAnsi="宋体"/>
          <w:color w:val="000000"/>
          <w:szCs w:val="21"/>
        </w:rPr>
        <w:t>．</w:t>
      </w:r>
      <w:r>
        <w:rPr>
          <w:rFonts w:ascii="宋体" w:cs="宋体" w:eastAsia="宋体" w:hAnsi="宋体" w:hint="eastAsia"/>
          <w:color w:val="000000"/>
          <w:szCs w:val="21"/>
        </w:rPr>
        <w:t>不得滥用职权</w:t>
      </w:r>
      <w:r>
        <w:rPr>
          <w:rFonts w:ascii="宋体" w:cs="宋体" w:eastAsia="宋体" w:hAnsi="宋体" w:hint="eastAsia"/>
          <w:color w:val="000000"/>
          <w:szCs w:val="21"/>
        </w:rPr>
        <w:t>：</w:t>
      </w:r>
      <w:r>
        <w:rPr>
          <w:rFonts w:ascii="宋体" w:cs="宋体" w:eastAsia="宋体" w:hAnsi="宋体" w:hint="eastAsia"/>
          <w:color w:val="000000"/>
          <w:szCs w:val="21"/>
        </w:rPr>
        <w:t>行政机关行使行政职权、实施行政行为时主观上应当客观、适度，符合理性，不能任性，不能抱着无所谓的态度，不能恶意。</w:t>
      </w:r>
    </w:p>
    <w:p w14:paraId="508B9564">
      <w:pPr>
        <w:pStyle w:val="style0"/>
        <w:ind w:firstLine="420" w:firstLineChars="200"/>
        <w:rPr>
          <w:rFonts w:ascii="宋体" w:cs="宋体" w:eastAsia="宋体" w:hAnsi="宋体" w:hint="eastAsia"/>
          <w:color w:val="000000"/>
          <w:szCs w:val="21"/>
        </w:rPr>
      </w:pPr>
      <w:r>
        <w:rPr>
          <w:rFonts w:ascii="宋体" w:cs="宋体" w:eastAsia="宋体" w:hAnsi="宋体" w:hint="eastAsia"/>
          <w:color w:val="000000"/>
          <w:szCs w:val="21"/>
        </w:rPr>
        <w:t>6</w:t>
      </w:r>
      <w:r>
        <w:rPr>
          <w:rFonts w:ascii="宋体" w:cs="宋体" w:eastAsia="宋体" w:hAnsi="宋体"/>
          <w:color w:val="000000"/>
          <w:szCs w:val="21"/>
        </w:rPr>
        <w:t>．</w:t>
      </w:r>
      <w:r>
        <w:rPr>
          <w:rFonts w:ascii="宋体" w:cs="宋体" w:eastAsia="宋体" w:hAnsi="宋体" w:hint="eastAsia"/>
          <w:color w:val="000000"/>
          <w:szCs w:val="21"/>
        </w:rPr>
        <w:t>不得明显不当</w:t>
      </w:r>
      <w:r>
        <w:rPr>
          <w:rFonts w:ascii="宋体" w:cs="宋体" w:eastAsia="宋体" w:hAnsi="宋体" w:hint="eastAsia"/>
          <w:color w:val="000000"/>
          <w:szCs w:val="21"/>
        </w:rPr>
        <w:t>：</w:t>
      </w:r>
      <w:r>
        <w:rPr>
          <w:rFonts w:ascii="宋体" w:cs="宋体" w:eastAsia="宋体" w:hAnsi="宋体" w:hint="eastAsia"/>
          <w:color w:val="000000"/>
          <w:szCs w:val="21"/>
        </w:rPr>
        <w:t>行使行政职权、给予行政相对人的最终处理在结果上不能明显不合理、明显不公正，要过罚相当，否则量变引起质变，等同于违法。</w:t>
      </w:r>
    </w:p>
    <w:p w14:paraId="723EB8DA">
      <w:pPr>
        <w:pStyle w:val="style0"/>
        <w:rPr>
          <w:rFonts w:ascii="宋体" w:eastAsia="宋体" w:hAnsi="宋体" w:hint="eastAsia"/>
          <w:szCs w:val="21"/>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001010101"/>
    <w:charset w:val="86"/>
    <w:family w:val="auto"/>
    <w:pitch w:val="variable"/>
    <w:sig w:usb0="A00002BF" w:usb1="38CF7CFA" w:usb2="00000016" w:usb3="00000000" w:csb0="0004000F"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宋体">
    <w:altName w:val="SimSun"/>
    <w:panose1 w:val="02010600030001010101"/>
    <w:charset w:val="86"/>
    <w:family w:val="auto"/>
    <w:pitch w:val="variable"/>
    <w:sig w:usb0="00000203" w:usb1="288F0000" w:usb2="00000016" w:usb3="00000000" w:csb0="00040001" w:csb1="00000000"/>
  </w:font>
  <w:font w:name="汉仪大宋简">
    <w:altName w:val="微软雅黑"/>
    <w:panose1 w:val="00000000000000000000"/>
    <w:charset w:val="86"/>
    <w:family w:val="modern"/>
    <w:pitch w:val="fixed"/>
    <w:sig w:usb0="00000001" w:usb1="080E0800" w:usb2="00000012" w:usb3="00000000" w:csb0="00040000" w:csb1="00000000"/>
  </w:font>
  <w:font w:name="汉仪书宋二简">
    <w:altName w:val="微软雅黑"/>
    <w:panose1 w:val="00000000000000000000"/>
    <w:charset w:val="86"/>
    <w:family w:val="modern"/>
    <w:pitch w:val="fixed"/>
    <w:sig w:usb0="00000001" w:usb1="080E0800" w:usb2="00000012" w:usb3="00000000" w:csb0="00040000" w:csb1="00000000"/>
  </w:font>
  <w:font w:name="汉仪中黑简">
    <w:altName w:val="微软雅黑"/>
    <w:panose1 w:val="00000000000000000000"/>
    <w:charset w:val="86"/>
    <w:family w:val="modern"/>
    <w:pitch w:val="fixed"/>
    <w:sig w:usb0="00000001" w:usb1="080E0800" w:usb2="00000012" w:usb3="00000000" w:csb0="00040000" w:csb1="00000000"/>
  </w:font>
  <w:font w:name="仿宋">
    <w:altName w:val="仿宋"/>
    <w:panose1 w:val="02010609060001010101"/>
    <w:charset w:val="86"/>
    <w:family w:val="modern"/>
    <w:pitch w:val="fixed"/>
    <w:sig w:usb0="800002BF" w:usb1="38CF7CFA" w:usb2="00000016" w:usb3="00000000" w:csb0="00040001" w:csb1="00000000"/>
  </w:font>
  <w:font w:name="Arial Unicode MS">
    <w:altName w:val="Arial Unicode MS"/>
    <w:panose1 w:val="020b0604020002020204"/>
    <w:charset w:val="80"/>
    <w:family w:val="swiss"/>
    <w:pitch w:val="variable"/>
    <w:sig w:usb0="F7FFAFFF" w:usb1="E9DFFFFF" w:usb2="0000003F" w:usb3="00000000" w:csb0="003F01FF" w:csb1="00000000"/>
  </w:font>
  <w:font w:name="华康娃娃体W5">
    <w:altName w:val="微软雅黑"/>
    <w:panose1 w:val="00000000000000000000"/>
    <w:charset w:val="86"/>
    <w:family w:val="decorative"/>
    <w:pitch w:val="fixed"/>
    <w:sig w:usb0="00000001" w:usb1="080F0000" w:usb2="00000012" w:usb3="00000000" w:csb0="00040000" w:csb1="00000000"/>
  </w:font>
  <w:font w:name="Courier New">
    <w:altName w:val="Courier New"/>
    <w:panose1 w:val="02070309020002020404"/>
    <w:charset w:val="00"/>
    <w:family w:val="modern"/>
    <w:pitch w:val="fixed"/>
    <w:sig w:usb0="E0002EFF" w:usb1="C0007843" w:usb2="00000009" w:usb3="00000000" w:csb0="000001FF" w:csb1="00000000"/>
  </w:font>
  <w:font w:name="楷体">
    <w:altName w:val="楷体"/>
    <w:panose1 w:val="020106090600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paragraph" w:styleId="style1">
    <w:name w:val="heading 1"/>
    <w:basedOn w:val="style0"/>
    <w:next w:val="style0"/>
    <w:link w:val="style4097"/>
    <w:qFormat/>
    <w:uiPriority w:val="9"/>
    <w:pPr>
      <w:keepNext/>
      <w:keepLines/>
      <w:spacing w:before="480" w:after="80"/>
      <w:outlineLvl w:val="0"/>
    </w:pPr>
    <w:rPr>
      <w:rFonts w:ascii="等线 Light" w:cs="宋体" w:eastAsia="等线 Light" w:hAnsi="等线 Light"/>
      <w:color w:val="0f4761"/>
      <w:sz w:val="48"/>
      <w:szCs w:val="48"/>
    </w:rPr>
  </w:style>
  <w:style w:type="paragraph" w:styleId="style2">
    <w:name w:val="heading 2"/>
    <w:basedOn w:val="style0"/>
    <w:next w:val="style0"/>
    <w:link w:val="style4098"/>
    <w:qFormat/>
    <w:uiPriority w:val="9"/>
    <w:pPr>
      <w:keepNext/>
      <w:keepLines/>
      <w:spacing w:before="160" w:after="80"/>
      <w:outlineLvl w:val="1"/>
    </w:pPr>
    <w:rPr>
      <w:rFonts w:ascii="等线 Light" w:cs="宋体" w:eastAsia="等线 Light" w:hAnsi="等线 Light"/>
      <w:color w:val="0f4761"/>
      <w:sz w:val="40"/>
      <w:szCs w:val="40"/>
    </w:rPr>
  </w:style>
  <w:style w:type="paragraph" w:styleId="style3">
    <w:name w:val="heading 3"/>
    <w:basedOn w:val="style0"/>
    <w:next w:val="style0"/>
    <w:link w:val="style4099"/>
    <w:qFormat/>
    <w:uiPriority w:val="9"/>
    <w:pPr>
      <w:keepNext/>
      <w:keepLines/>
      <w:spacing w:before="160" w:after="80"/>
      <w:outlineLvl w:val="2"/>
    </w:pPr>
    <w:rPr>
      <w:rFonts w:ascii="等线 Light" w:cs="宋体" w:eastAsia="等线 Light" w:hAnsi="等线 Light"/>
      <w:color w:val="0f4761"/>
      <w:sz w:val="32"/>
      <w:szCs w:val="32"/>
    </w:rPr>
  </w:style>
  <w:style w:type="paragraph" w:styleId="style4">
    <w:name w:val="heading 4"/>
    <w:basedOn w:val="style0"/>
    <w:next w:val="style0"/>
    <w:link w:val="style4100"/>
    <w:qFormat/>
    <w:uiPriority w:val="9"/>
    <w:pPr>
      <w:keepNext/>
      <w:keepLines/>
      <w:spacing w:before="80" w:after="40"/>
      <w:outlineLvl w:val="3"/>
    </w:pPr>
    <w:rPr>
      <w:rFonts w:cs="宋体"/>
      <w:color w:val="0f4761"/>
      <w:sz w:val="28"/>
      <w:szCs w:val="28"/>
    </w:rPr>
  </w:style>
  <w:style w:type="paragraph" w:styleId="style5">
    <w:name w:val="heading 5"/>
    <w:basedOn w:val="style0"/>
    <w:next w:val="style0"/>
    <w:link w:val="style4101"/>
    <w:qFormat/>
    <w:uiPriority w:val="9"/>
    <w:pPr>
      <w:keepNext/>
      <w:keepLines/>
      <w:spacing w:before="80" w:after="40"/>
      <w:outlineLvl w:val="4"/>
    </w:pPr>
    <w:rPr>
      <w:rFonts w:cs="宋体"/>
      <w:color w:val="0f4761"/>
      <w:sz w:val="24"/>
      <w:szCs w:val="24"/>
    </w:rPr>
  </w:style>
  <w:style w:type="paragraph" w:styleId="style6">
    <w:name w:val="heading 6"/>
    <w:basedOn w:val="style0"/>
    <w:next w:val="style0"/>
    <w:link w:val="style4102"/>
    <w:qFormat/>
    <w:uiPriority w:val="9"/>
    <w:pPr>
      <w:keepNext/>
      <w:keepLines/>
      <w:spacing w:before="40"/>
      <w:outlineLvl w:val="5"/>
    </w:pPr>
    <w:rPr>
      <w:rFonts w:cs="宋体"/>
      <w:b/>
      <w:bCs/>
      <w:color w:val="0f4761"/>
    </w:rPr>
  </w:style>
  <w:style w:type="paragraph" w:styleId="style7">
    <w:name w:val="heading 7"/>
    <w:basedOn w:val="style0"/>
    <w:next w:val="style0"/>
    <w:link w:val="style4103"/>
    <w:qFormat/>
    <w:uiPriority w:val="9"/>
    <w:pPr>
      <w:keepNext/>
      <w:keepLines/>
      <w:spacing w:before="40"/>
      <w:outlineLvl w:val="6"/>
    </w:pPr>
    <w:rPr>
      <w:rFonts w:cs="宋体"/>
      <w:b/>
      <w:bCs/>
      <w:color w:val="595959"/>
    </w:rPr>
  </w:style>
  <w:style w:type="paragraph" w:styleId="style8">
    <w:name w:val="heading 8"/>
    <w:basedOn w:val="style0"/>
    <w:next w:val="style0"/>
    <w:link w:val="style4104"/>
    <w:qFormat/>
    <w:uiPriority w:val="9"/>
    <w:pPr>
      <w:keepNext/>
      <w:keepLines/>
      <w:outlineLvl w:val="7"/>
    </w:pPr>
    <w:rPr>
      <w:rFonts w:cs="宋体"/>
      <w:color w:val="595959"/>
    </w:rPr>
  </w:style>
  <w:style w:type="paragraph" w:styleId="style9">
    <w:name w:val="heading 9"/>
    <w:basedOn w:val="style0"/>
    <w:next w:val="style0"/>
    <w:link w:val="style4105"/>
    <w:qFormat/>
    <w:uiPriority w:val="9"/>
    <w:pPr>
      <w:keepNext/>
      <w:keepLines/>
      <w:outlineLvl w:val="8"/>
    </w:pPr>
    <w:rPr>
      <w:rFonts w:cs="宋体" w:eastAsia="等线 Light"/>
      <w:color w:val="595959"/>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字符"/>
    <w:basedOn w:val="style65"/>
    <w:next w:val="style4097"/>
    <w:link w:val="style1"/>
    <w:uiPriority w:val="9"/>
    <w:rPr>
      <w:rFonts w:ascii="等线 Light" w:cs="宋体" w:eastAsia="等线 Light" w:hAnsi="等线 Light"/>
      <w:color w:val="0f4761"/>
      <w:sz w:val="48"/>
      <w:szCs w:val="48"/>
    </w:rPr>
  </w:style>
  <w:style w:type="character" w:customStyle="1" w:styleId="style4098">
    <w:name w:val="标题 2 字符"/>
    <w:basedOn w:val="style65"/>
    <w:next w:val="style4098"/>
    <w:link w:val="style2"/>
    <w:uiPriority w:val="9"/>
    <w:rPr>
      <w:rFonts w:ascii="等线 Light" w:cs="宋体" w:eastAsia="等线 Light" w:hAnsi="等线 Light"/>
      <w:color w:val="0f4761"/>
      <w:sz w:val="40"/>
      <w:szCs w:val="40"/>
    </w:rPr>
  </w:style>
  <w:style w:type="character" w:customStyle="1" w:styleId="style4099">
    <w:name w:val="标题 3 字符"/>
    <w:basedOn w:val="style65"/>
    <w:next w:val="style4099"/>
    <w:link w:val="style3"/>
    <w:uiPriority w:val="9"/>
    <w:rPr>
      <w:rFonts w:ascii="等线 Light" w:cs="宋体" w:eastAsia="等线 Light" w:hAnsi="等线 Light"/>
      <w:color w:val="0f4761"/>
      <w:sz w:val="32"/>
      <w:szCs w:val="32"/>
    </w:rPr>
  </w:style>
  <w:style w:type="character" w:customStyle="1" w:styleId="style4100">
    <w:name w:val="标题 4 字符"/>
    <w:basedOn w:val="style65"/>
    <w:next w:val="style4100"/>
    <w:link w:val="style4"/>
    <w:uiPriority w:val="9"/>
    <w:rPr>
      <w:rFonts w:cs="宋体"/>
      <w:color w:val="0f4761"/>
      <w:sz w:val="28"/>
      <w:szCs w:val="28"/>
    </w:rPr>
  </w:style>
  <w:style w:type="character" w:customStyle="1" w:styleId="style4101">
    <w:name w:val="标题 5 字符"/>
    <w:basedOn w:val="style65"/>
    <w:next w:val="style4101"/>
    <w:link w:val="style5"/>
    <w:uiPriority w:val="9"/>
    <w:rPr>
      <w:rFonts w:cs="宋体"/>
      <w:color w:val="0f4761"/>
      <w:sz w:val="24"/>
      <w:szCs w:val="24"/>
    </w:rPr>
  </w:style>
  <w:style w:type="character" w:customStyle="1" w:styleId="style4102">
    <w:name w:val="标题 6 字符"/>
    <w:basedOn w:val="style65"/>
    <w:next w:val="style4102"/>
    <w:link w:val="style6"/>
    <w:uiPriority w:val="9"/>
    <w:rPr>
      <w:rFonts w:cs="宋体"/>
      <w:b/>
      <w:bCs/>
      <w:color w:val="0f4761"/>
    </w:rPr>
  </w:style>
  <w:style w:type="character" w:customStyle="1" w:styleId="style4103">
    <w:name w:val="标题 7 字符"/>
    <w:basedOn w:val="style65"/>
    <w:next w:val="style4103"/>
    <w:link w:val="style7"/>
    <w:uiPriority w:val="9"/>
    <w:rPr>
      <w:rFonts w:cs="宋体"/>
      <w:b/>
      <w:bCs/>
      <w:color w:val="595959"/>
    </w:rPr>
  </w:style>
  <w:style w:type="character" w:customStyle="1" w:styleId="style4104">
    <w:name w:val="标题 8 字符"/>
    <w:basedOn w:val="style65"/>
    <w:next w:val="style4104"/>
    <w:link w:val="style8"/>
    <w:uiPriority w:val="9"/>
    <w:rPr>
      <w:rFonts w:cs="宋体"/>
      <w:color w:val="595959"/>
    </w:rPr>
  </w:style>
  <w:style w:type="character" w:customStyle="1" w:styleId="style4105">
    <w:name w:val="标题 9 字符"/>
    <w:basedOn w:val="style65"/>
    <w:next w:val="style4105"/>
    <w:link w:val="style9"/>
    <w:uiPriority w:val="9"/>
    <w:rPr>
      <w:rFonts w:cs="宋体" w:eastAsia="等线 Light"/>
      <w:color w:val="595959"/>
    </w:rPr>
  </w:style>
  <w:style w:type="paragraph" w:styleId="style62">
    <w:name w:val="Title"/>
    <w:basedOn w:val="style0"/>
    <w:next w:val="style0"/>
    <w:link w:val="style4106"/>
    <w:qFormat/>
    <w:uiPriority w:val="10"/>
    <w:pPr>
      <w:spacing w:after="80"/>
      <w:jc w:val="center"/>
      <w:contextualSpacing/>
    </w:pPr>
    <w:rPr>
      <w:rFonts w:ascii="等线 Light" w:cs="宋体" w:eastAsia="等线 Light" w:hAnsi="等线 Light"/>
      <w:spacing w:val="-10"/>
      <w:kern w:val="28"/>
      <w:sz w:val="56"/>
      <w:szCs w:val="56"/>
    </w:rPr>
  </w:style>
  <w:style w:type="character" w:customStyle="1" w:styleId="style4106">
    <w:name w:val="标题 字符"/>
    <w:basedOn w:val="style65"/>
    <w:next w:val="style4106"/>
    <w:link w:val="style62"/>
    <w:uiPriority w:val="10"/>
    <w:rPr>
      <w:rFonts w:ascii="等线 Light" w:cs="宋体" w:eastAsia="等线 Light" w:hAnsi="等线 Light"/>
      <w:spacing w:val="-10"/>
      <w:kern w:val="28"/>
      <w:sz w:val="56"/>
      <w:szCs w:val="56"/>
    </w:rPr>
  </w:style>
  <w:style w:type="paragraph" w:styleId="style74">
    <w:name w:val="Subtitle"/>
    <w:basedOn w:val="style0"/>
    <w:next w:val="style0"/>
    <w:link w:val="style4107"/>
    <w:qFormat/>
    <w:uiPriority w:val="11"/>
    <w:pPr>
      <w:numPr>
        <w:ilvl w:val="1"/>
        <w:numId w:val="0"/>
      </w:numPr>
      <w:spacing w:after="160"/>
      <w:jc w:val="center"/>
    </w:pPr>
    <w:rPr>
      <w:rFonts w:ascii="等线 Light" w:cs="宋体" w:eastAsia="等线 Light" w:hAnsi="等线 Light"/>
      <w:color w:val="595959"/>
      <w:spacing w:val="15"/>
      <w:sz w:val="28"/>
      <w:szCs w:val="28"/>
    </w:rPr>
  </w:style>
  <w:style w:type="character" w:customStyle="1" w:styleId="style4107">
    <w:name w:val="副标题 字符"/>
    <w:basedOn w:val="style65"/>
    <w:next w:val="style4107"/>
    <w:link w:val="style74"/>
    <w:uiPriority w:val="11"/>
    <w:rPr>
      <w:rFonts w:ascii="等线 Light" w:cs="宋体" w:eastAsia="等线 Light" w:hAnsi="等线 Light"/>
      <w:color w:val="595959"/>
      <w:spacing w:val="15"/>
      <w:sz w:val="28"/>
      <w:szCs w:val="28"/>
    </w:rPr>
  </w:style>
  <w:style w:type="paragraph" w:styleId="style180">
    <w:name w:val="Quote"/>
    <w:basedOn w:val="style0"/>
    <w:next w:val="style0"/>
    <w:link w:val="style4108"/>
    <w:qFormat/>
    <w:uiPriority w:val="29"/>
    <w:pPr>
      <w:spacing w:before="160" w:after="160"/>
      <w:jc w:val="center"/>
    </w:pPr>
    <w:rPr>
      <w:i/>
      <w:iCs/>
      <w:color w:val="404040"/>
    </w:rPr>
  </w:style>
  <w:style w:type="character" w:customStyle="1" w:styleId="style4108">
    <w:name w:val="引用 字符"/>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明显引用 字符"/>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Words>5097</Words>
  <Pages>7</Pages>
  <Characters>5134</Characters>
  <Application>WPS Office</Application>
  <DocSecurity>0</DocSecurity>
  <Paragraphs>143</Paragraphs>
  <ScaleCrop>false</ScaleCrop>
  <LinksUpToDate>false</LinksUpToDate>
  <CharactersWithSpaces>5152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2025-08-08T13:15:00Z</dcterms:created>
  <dc:creator>binyang wang</dc:creator>
  <lastModifiedBy>SM-S9110</lastModifiedBy>
  <dcterms:modified xsi:type="dcterms:W3CDTF">2025-08-08T14:45:03Z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107485dd795e4eceae0bd8821d18c8df_23</vt:lpwstr>
  </property>
</Properties>
</file>