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B7AB8">
      <w:pPr>
        <w:pStyle w:val="4"/>
        <w:spacing w:line="400" w:lineRule="exact"/>
        <w:jc w:val="center"/>
        <w:rPr>
          <w:rFonts w:hint="eastAsia" w:eastAsia="宋体"/>
          <w:b/>
          <w:color w:val="auto"/>
          <w:lang w:eastAsia="zh-CN"/>
        </w:rPr>
      </w:pPr>
      <w:bookmarkStart w:id="0" w:name="_Toc19686"/>
      <w:bookmarkStart w:id="1" w:name="_Toc4792104"/>
      <w:r>
        <w:rPr>
          <w:rFonts w:hint="eastAsia" w:ascii="宋体" w:hAnsi="宋体"/>
          <w:color w:val="auto"/>
          <w:sz w:val="36"/>
          <w:szCs w:val="36"/>
          <w:lang w:val="en-US" w:eastAsia="zh-CN"/>
        </w:rPr>
        <w:t>专题四</w:t>
      </w:r>
      <w:r>
        <w:rPr>
          <w:rFonts w:hint="eastAsia" w:ascii="宋体" w:hAnsi="宋体" w:eastAsia="宋体"/>
          <w:color w:val="auto"/>
          <w:sz w:val="36"/>
          <w:szCs w:val="36"/>
        </w:rPr>
        <w:t xml:space="preserve"> </w:t>
      </w:r>
      <w:r>
        <w:rPr>
          <w:rFonts w:ascii="宋体" w:hAnsi="宋体" w:eastAsia="宋体"/>
          <w:color w:val="auto"/>
          <w:sz w:val="36"/>
          <w:szCs w:val="36"/>
        </w:rPr>
        <w:t xml:space="preserve"> </w:t>
      </w:r>
      <w:r>
        <w:rPr>
          <w:rFonts w:hint="eastAsia" w:ascii="宋体" w:hAnsi="宋体" w:eastAsia="宋体"/>
          <w:color w:val="auto"/>
          <w:sz w:val="36"/>
          <w:szCs w:val="36"/>
        </w:rPr>
        <w:t>证明责任</w:t>
      </w:r>
      <w:bookmarkEnd w:id="0"/>
      <w:bookmarkEnd w:id="1"/>
      <w:r>
        <w:rPr>
          <w:rFonts w:hint="eastAsia" w:ascii="宋体" w:hAnsi="宋体" w:eastAsia="宋体"/>
          <w:color w:val="auto"/>
          <w:sz w:val="36"/>
          <w:szCs w:val="36"/>
        </w:rPr>
        <w:t>与证明标准</w:t>
      </w:r>
    </w:p>
    <w:p w14:paraId="5AC98772">
      <w:pPr>
        <w:spacing w:line="400" w:lineRule="exact"/>
        <w:ind w:firstLine="430"/>
        <w:rPr>
          <w:b/>
          <w:color w:val="auto"/>
        </w:rPr>
      </w:pPr>
      <w:r>
        <w:rPr>
          <w:rFonts w:hint="eastAsia"/>
          <w:b/>
          <w:color w:val="auto"/>
        </w:rPr>
        <w:t>一、证明责任基本原理</w:t>
      </w:r>
    </w:p>
    <w:p w14:paraId="12C69504">
      <w:pPr>
        <w:spacing w:line="400" w:lineRule="exact"/>
        <w:ind w:firstLine="430"/>
        <w:rPr>
          <w:color w:val="auto"/>
        </w:rPr>
      </w:pPr>
      <w:r>
        <w:rPr>
          <w:rFonts w:hint="eastAsia"/>
          <w:color w:val="auto"/>
        </w:rPr>
        <w:t>（一）基本内涵</w:t>
      </w:r>
    </w:p>
    <w:p w14:paraId="661B72D6">
      <w:pPr>
        <w:spacing w:line="400" w:lineRule="exact"/>
        <w:ind w:firstLine="430"/>
        <w:rPr>
          <w:rFonts w:hint="eastAsia"/>
          <w:color w:val="auto"/>
        </w:rPr>
      </w:pPr>
      <w:r>
        <w:rPr>
          <w:rFonts w:hint="eastAsia"/>
          <w:color w:val="auto"/>
        </w:rPr>
        <w:t>一是行为意义上的证明责任</w:t>
      </w:r>
      <w:r>
        <w:rPr>
          <w:rFonts w:hint="eastAsia"/>
          <w:color w:val="FF0000"/>
          <w:lang w:eastAsia="zh-CN"/>
        </w:rPr>
        <w:t>（</w:t>
      </w:r>
      <w:r>
        <w:rPr>
          <w:rFonts w:hint="eastAsia"/>
          <w:color w:val="FF0000"/>
          <w:lang w:val="en-US" w:eastAsia="zh-CN"/>
        </w:rPr>
        <w:t>提出证据</w:t>
      </w:r>
      <w:r>
        <w:rPr>
          <w:rFonts w:hint="eastAsia"/>
          <w:color w:val="FF0000"/>
          <w:lang w:eastAsia="zh-CN"/>
        </w:rPr>
        <w:t>）</w:t>
      </w:r>
      <w:r>
        <w:rPr>
          <w:rFonts w:hint="eastAsia"/>
          <w:color w:val="auto"/>
        </w:rPr>
        <w:t>，是指当事人对自己</w:t>
      </w:r>
      <w:r>
        <w:rPr>
          <w:rFonts w:hint="eastAsia"/>
          <w:color w:val="FF0000"/>
        </w:rPr>
        <w:t>的主张有责任提供证据证明</w:t>
      </w:r>
      <w:r>
        <w:rPr>
          <w:rFonts w:hint="eastAsia"/>
          <w:color w:val="auto"/>
        </w:rPr>
        <w:t>，通俗说是“谁主张、谁举证”；二是结果意义上的证明责任，是指当事人穷尽证明手段后，要件事实仍处于真伪不明的状态，</w:t>
      </w:r>
      <w:r>
        <w:rPr>
          <w:rFonts w:hint="eastAsia"/>
          <w:color w:val="FF0000"/>
        </w:rPr>
        <w:t>由负担证明责任一方承担败诉的不利后果的责任</w:t>
      </w:r>
      <w:r>
        <w:rPr>
          <w:rFonts w:hint="eastAsia"/>
          <w:color w:val="auto"/>
        </w:rPr>
        <w:t>。</w:t>
      </w:r>
    </w:p>
    <w:p w14:paraId="1FB41890">
      <w:pPr>
        <w:spacing w:line="400" w:lineRule="exact"/>
        <w:ind w:firstLine="430"/>
        <w:rPr>
          <w:rFonts w:hint="eastAsia"/>
          <w:color w:val="auto"/>
        </w:rPr>
      </w:pPr>
      <w:r>
        <w:rPr>
          <w:rFonts w:hint="eastAsia" w:ascii="汉仪书宋二简" w:eastAsia="汉仪书宋二简"/>
        </w:rPr>
        <w:t>证明责任虽然有双重含义，但客观证明责任才是证明责任的本质属性。</w:t>
      </w:r>
    </w:p>
    <w:p w14:paraId="67674309">
      <w:pPr>
        <w:spacing w:line="400" w:lineRule="exact"/>
        <w:ind w:firstLine="430"/>
        <w:rPr>
          <w:rFonts w:hint="eastAsia" w:eastAsia="宋体"/>
          <w:color w:val="auto"/>
          <w:lang w:eastAsia="zh-CN"/>
        </w:rPr>
      </w:pPr>
      <w:r>
        <w:rPr>
          <w:rFonts w:hint="eastAsia"/>
          <w:color w:val="auto"/>
        </w:rPr>
        <w:t>（二）理论阐释</w:t>
      </w:r>
      <w:r>
        <w:rPr>
          <w:rFonts w:hint="eastAsia"/>
          <w:color w:val="FF0000"/>
          <w:lang w:eastAsia="zh-CN"/>
        </w:rPr>
        <w:t>（</w:t>
      </w:r>
      <w:r>
        <w:rPr>
          <w:rFonts w:hint="eastAsia"/>
          <w:color w:val="FF0000"/>
          <w:lang w:val="en-US" w:eastAsia="zh-CN"/>
        </w:rPr>
        <w:t>指的是结果意义上的证明责任</w:t>
      </w:r>
      <w:r>
        <w:rPr>
          <w:rFonts w:hint="eastAsia"/>
          <w:color w:val="FF0000"/>
          <w:lang w:eastAsia="zh-CN"/>
        </w:rPr>
        <w:t>）</w:t>
      </w:r>
    </w:p>
    <w:p w14:paraId="61F34FF3">
      <w:pPr>
        <w:spacing w:line="400" w:lineRule="exact"/>
        <w:ind w:firstLine="430"/>
        <w:rPr>
          <w:rFonts w:hint="eastAsia"/>
          <w:color w:val="FF0000"/>
          <w:lang w:val="en-US" w:eastAsia="zh-CN"/>
        </w:rPr>
      </w:pPr>
      <w:r>
        <w:rPr>
          <w:rFonts w:hint="eastAsia"/>
          <w:color w:val="auto"/>
        </w:rPr>
        <w:t>1.要件事实真伪不明是适用证明责任的前提；</w:t>
      </w:r>
      <w:r>
        <w:rPr>
          <w:rFonts w:hint="eastAsia"/>
          <w:color w:val="FF0000"/>
          <w:lang w:val="en-US" w:eastAsia="zh-CN"/>
        </w:rPr>
        <w:t>要件事实如侵权的四要件；间接事实：证明要件事实的事实；辅助事实确定证明力、证据能力的事实</w:t>
      </w:r>
    </w:p>
    <w:p w14:paraId="703CF01E">
      <w:pPr>
        <w:spacing w:line="384" w:lineRule="exact"/>
        <w:ind w:firstLine="430"/>
        <w:rPr>
          <w:rFonts w:hint="eastAsia" w:ascii="宋体" w:hAnsi="宋体" w:eastAsia="汉仪书宋二简" w:cs="宋体"/>
          <w:color w:val="000000"/>
          <w:szCs w:val="21"/>
        </w:rPr>
      </w:pPr>
      <w:r>
        <w:rPr>
          <w:rFonts w:hint="eastAsia" w:ascii="宋体" w:hAnsi="宋体" w:eastAsia="汉仪书宋二简" w:cs="宋体"/>
          <w:color w:val="0000C7"/>
          <w:szCs w:val="21"/>
        </w:rPr>
        <w:t>要件事实真伪不明</w:t>
      </w:r>
      <w:r>
        <w:rPr>
          <w:rFonts w:hint="eastAsia" w:ascii="宋体" w:hAnsi="宋体" w:eastAsia="汉仪书宋二简" w:cs="宋体"/>
          <w:color w:val="000000"/>
          <w:szCs w:val="21"/>
        </w:rPr>
        <w:t>是适用证明责任的前提条件。当要件事实被证明为真或者为假时，均不需要运用证明责任作判决。</w:t>
      </w:r>
      <w:r>
        <w:rPr>
          <w:rFonts w:hint="eastAsia" w:ascii="宋体" w:hAnsi="宋体" w:eastAsia="汉仪中黑简" w:cs="宋体"/>
          <w:color w:val="FF0000"/>
          <w:szCs w:val="21"/>
        </w:rPr>
        <w:t>间接事实、辅助事实和程序法事实真伪不明时，不适用证明责任</w:t>
      </w:r>
      <w:r>
        <w:rPr>
          <w:rFonts w:hint="eastAsia" w:ascii="宋体" w:hAnsi="宋体" w:eastAsia="汉仪书宋二简" w:cs="宋体"/>
          <w:color w:val="000000"/>
          <w:szCs w:val="21"/>
        </w:rPr>
        <w:t>。</w:t>
      </w:r>
    </w:p>
    <w:p w14:paraId="28D1D047">
      <w:pPr>
        <w:spacing w:line="384" w:lineRule="exact"/>
        <w:ind w:firstLine="420" w:firstLineChars="200"/>
        <w:rPr>
          <w:rFonts w:hint="eastAsia" w:ascii="宋体" w:hAnsi="宋体" w:eastAsia="汉仪书宋二简" w:cs="宋体"/>
          <w:color w:val="000000"/>
          <w:szCs w:val="21"/>
        </w:rPr>
      </w:pPr>
      <w:r>
        <w:rPr>
          <w:rFonts w:hint="eastAsia" w:ascii="汉仪书宋二简" w:eastAsia="汉仪书宋二简"/>
        </w:rPr>
        <w:t>主要事实是指构成法律要件的事实。例如甲起诉乙要求清偿借款，双方之间存在借贷合同关系以及款项已完成交付即为主要事实。证明主要事实的事实称为间接事实。例如，通过一方多次催促对方还款的事实，可以推定款项已交付的主要事实。用于证明证据能力或证明力的事实称为辅助事实。例如，能证明该案的证人是本案当事人的好友或者亲戚的事实。</w:t>
      </w:r>
    </w:p>
    <w:p w14:paraId="1628B382">
      <w:pPr>
        <w:spacing w:line="384" w:lineRule="exact"/>
        <w:ind w:firstLine="430"/>
        <w:rPr>
          <w:rFonts w:hint="default"/>
          <w:color w:val="FF0000"/>
          <w:lang w:val="en-US" w:eastAsia="zh-CN"/>
        </w:rPr>
      </w:pPr>
      <w:r>
        <w:rPr>
          <w:rFonts w:hint="eastAsia" w:ascii="宋体" w:hAnsi="宋体" w:eastAsia="汉仪书宋二简" w:cs="宋体"/>
          <w:color w:val="000000"/>
          <w:szCs w:val="21"/>
        </w:rPr>
        <w:t>对要件事实的认定、证据采信，法官采</w:t>
      </w:r>
      <w:r>
        <w:rPr>
          <w:rFonts w:hint="eastAsia" w:ascii="宋体" w:hAnsi="宋体" w:eastAsia="汉仪书宋二简" w:cs="宋体"/>
          <w:color w:val="0000FF"/>
          <w:szCs w:val="21"/>
        </w:rPr>
        <w:t>用自由心证方式。</w:t>
      </w:r>
      <w:r>
        <w:rPr>
          <w:rFonts w:hint="eastAsia" w:ascii="宋体" w:hAnsi="宋体" w:eastAsia="汉仪书宋二简" w:cs="宋体"/>
          <w:color w:val="000000"/>
          <w:szCs w:val="21"/>
        </w:rPr>
        <w:t>所谓自由心证，是指对于证据的取舍、评价以及事实的认定，法律原则上不预先规定，而是交给法官自由判断的原则或者制度。</w:t>
      </w:r>
    </w:p>
    <w:p w14:paraId="100051F0">
      <w:pPr>
        <w:numPr>
          <w:ilvl w:val="0"/>
          <w:numId w:val="1"/>
        </w:numPr>
        <w:spacing w:line="400" w:lineRule="exact"/>
        <w:ind w:firstLine="430"/>
        <w:rPr>
          <w:rFonts w:hint="eastAsia"/>
          <w:color w:val="auto"/>
          <w:lang w:eastAsia="zh-CN"/>
        </w:rPr>
      </w:pPr>
      <w:r>
        <w:rPr>
          <w:rFonts w:hint="eastAsia"/>
          <w:color w:val="auto"/>
        </w:rPr>
        <w:t>证明责任是一种拟制或假定；</w:t>
      </w:r>
      <w:r>
        <w:rPr>
          <w:rFonts w:hint="eastAsia"/>
          <w:color w:val="auto"/>
          <w:lang w:eastAsia="zh-CN"/>
        </w:rPr>
        <w:t>（</w:t>
      </w:r>
      <w:r>
        <w:rPr>
          <w:rFonts w:hint="eastAsia"/>
          <w:color w:val="auto"/>
          <w:lang w:val="en-US" w:eastAsia="zh-CN"/>
        </w:rPr>
        <w:t>真伪不明时假定</w:t>
      </w:r>
      <w:r>
        <w:rPr>
          <w:rFonts w:hint="eastAsia"/>
          <w:color w:val="auto"/>
          <w:lang w:eastAsia="zh-CN"/>
        </w:rPr>
        <w:t>）</w:t>
      </w:r>
    </w:p>
    <w:p w14:paraId="6A7E041D">
      <w:pPr>
        <w:numPr>
          <w:numId w:val="0"/>
        </w:numPr>
        <w:spacing w:line="400" w:lineRule="exact"/>
        <w:ind w:firstLine="420" w:firstLineChars="200"/>
        <w:rPr>
          <w:rFonts w:hint="eastAsia"/>
          <w:color w:val="auto"/>
          <w:lang w:eastAsia="zh-CN"/>
        </w:rPr>
      </w:pPr>
      <w:r>
        <w:rPr>
          <w:rFonts w:hint="eastAsia" w:ascii="汉仪书宋二简" w:eastAsia="汉仪书宋二简"/>
        </w:rPr>
        <w:t>只能是法官穷尽了所有的证明方法之后，仍然不能形成该事实存在与否的判断时，方可适用证明责任作出判决。</w:t>
      </w:r>
    </w:p>
    <w:p w14:paraId="6A6A2B7F">
      <w:pPr>
        <w:spacing w:line="400" w:lineRule="exact"/>
        <w:ind w:firstLine="430"/>
        <w:rPr>
          <w:rFonts w:hint="default" w:eastAsia="宋体"/>
          <w:color w:val="auto"/>
          <w:lang w:val="en-US" w:eastAsia="zh-CN"/>
        </w:rPr>
      </w:pPr>
      <w:r>
        <w:rPr>
          <w:rFonts w:hint="eastAsia"/>
          <w:color w:val="auto"/>
        </w:rPr>
        <w:t>3.证明责任的承担主体是一方当事人；</w:t>
      </w:r>
      <w:r>
        <w:rPr>
          <w:rFonts w:hint="eastAsia"/>
          <w:color w:val="auto"/>
          <w:lang w:val="en-US" w:eastAsia="zh-CN"/>
        </w:rPr>
        <w:t>法院不承担</w:t>
      </w:r>
    </w:p>
    <w:p w14:paraId="5920D3AF">
      <w:pPr>
        <w:spacing w:line="384" w:lineRule="exact"/>
        <w:ind w:firstLine="430"/>
        <w:rPr>
          <w:rFonts w:hint="eastAsia" w:ascii="汉仪中黑简" w:hAnsi="宋体" w:eastAsia="汉仪中黑简" w:cs="宋体"/>
          <w:color w:val="0000C7"/>
          <w:sz w:val="22"/>
          <w:lang w:eastAsia="zh-CN"/>
        </w:rPr>
      </w:pPr>
      <w:r>
        <w:rPr>
          <w:rFonts w:hint="eastAsia"/>
          <w:color w:val="auto"/>
        </w:rPr>
        <w:t>4.证明责任由法律、司法解释等预先确定；</w:t>
      </w:r>
      <w:r>
        <w:rPr>
          <w:rFonts w:hint="eastAsia"/>
          <w:color w:val="FF0000"/>
          <w:lang w:eastAsia="zh-CN"/>
        </w:rPr>
        <w:t>（</w:t>
      </w:r>
      <w:r>
        <w:rPr>
          <w:rFonts w:hint="eastAsia"/>
          <w:color w:val="FF0000"/>
          <w:lang w:val="en-US" w:eastAsia="zh-CN"/>
        </w:rPr>
        <w:t>法院不能确定</w:t>
      </w:r>
      <w:r>
        <w:rPr>
          <w:rFonts w:hint="eastAsia"/>
          <w:color w:val="FF0000"/>
          <w:lang w:eastAsia="zh-CN"/>
        </w:rPr>
        <w:t>）</w:t>
      </w:r>
      <w:r>
        <w:rPr>
          <w:rFonts w:hint="eastAsia"/>
          <w:color w:val="auto"/>
          <w:lang w:val="en-US" w:eastAsia="zh-CN"/>
        </w:rPr>
        <w:t xml:space="preserve">  </w:t>
      </w:r>
      <w:r>
        <w:rPr>
          <w:rFonts w:hint="eastAsia" w:ascii="汉仪中黑简" w:hAnsi="宋体" w:eastAsia="汉仪中黑简" w:cs="宋体"/>
          <w:color w:val="0000C7"/>
          <w:sz w:val="22"/>
          <w:lang w:eastAsia="zh-CN"/>
        </w:rPr>
        <w:t>（</w:t>
      </w:r>
      <w:r>
        <w:rPr>
          <w:rFonts w:hint="eastAsia" w:ascii="汉仪中黑简" w:hAnsi="宋体" w:eastAsia="汉仪中黑简" w:cs="宋体"/>
          <w:color w:val="0000C7"/>
          <w:sz w:val="22"/>
          <w:lang w:val="en-US" w:eastAsia="zh-CN"/>
        </w:rPr>
        <w:t>没有规定的就适用民诉解释91条</w:t>
      </w:r>
      <w:r>
        <w:rPr>
          <w:rFonts w:hint="eastAsia" w:ascii="汉仪中黑简" w:hAnsi="宋体" w:eastAsia="汉仪中黑简" w:cs="宋体"/>
          <w:color w:val="0000C7"/>
          <w:sz w:val="22"/>
          <w:lang w:eastAsia="zh-CN"/>
        </w:rPr>
        <w:t>）</w:t>
      </w:r>
    </w:p>
    <w:p w14:paraId="029CF986">
      <w:pPr>
        <w:spacing w:line="384" w:lineRule="exact"/>
        <w:ind w:firstLine="430"/>
        <w:rPr>
          <w:rFonts w:hint="default" w:ascii="汉仪中黑简" w:hAnsi="宋体" w:eastAsia="汉仪中黑简" w:cs="宋体"/>
          <w:color w:val="0000C7"/>
          <w:sz w:val="22"/>
          <w:lang w:val="en-US" w:eastAsia="zh-CN"/>
        </w:rPr>
      </w:pPr>
      <w:r>
        <w:rPr>
          <w:rFonts w:hint="eastAsia" w:ascii="汉仪中黑简" w:eastAsia="汉仪中黑简" w:cs="宋体"/>
          <w:color w:val="0000C7"/>
          <w:sz w:val="22"/>
          <w:lang w:val="en-US" w:eastAsia="zh-CN"/>
        </w:rPr>
        <w:t>抽象地确定，不因个案当事人的具体状况而有所差异，对事不对人</w:t>
      </w:r>
    </w:p>
    <w:p w14:paraId="7AE01690">
      <w:pPr>
        <w:spacing w:line="384" w:lineRule="exact"/>
        <w:ind w:firstLine="430"/>
        <w:rPr>
          <w:rFonts w:hint="default" w:ascii="汉仪中黑简" w:hAnsi="宋体" w:eastAsia="汉仪中黑简" w:cs="宋体"/>
          <w:color w:val="0000C7"/>
          <w:sz w:val="22"/>
          <w:lang w:val="en-US" w:eastAsia="zh-CN"/>
        </w:rPr>
      </w:pPr>
      <w:r>
        <w:rPr>
          <w:rFonts w:hint="eastAsia" w:ascii="汉仪中黑简" w:eastAsia="汉仪中黑简" w:cs="宋体"/>
          <w:color w:val="0000C7"/>
          <w:sz w:val="22"/>
          <w:lang w:val="en-US" w:eastAsia="zh-CN"/>
        </w:rPr>
        <w:t>举证责任就是证明责任</w:t>
      </w:r>
    </w:p>
    <w:p w14:paraId="7F3D8662">
      <w:pPr>
        <w:spacing w:line="400" w:lineRule="exact"/>
        <w:ind w:firstLine="430"/>
        <w:rPr>
          <w:color w:val="auto"/>
        </w:rPr>
      </w:pPr>
      <w:r>
        <w:rPr>
          <w:rFonts w:hint="eastAsia"/>
          <w:color w:val="auto"/>
        </w:rPr>
        <w:t>5.证明责任分配不会在诉讼过程中移转</w:t>
      </w:r>
      <w:r>
        <w:rPr>
          <w:rFonts w:hint="eastAsia" w:ascii="汉仪中黑简" w:hAnsi="宋体" w:eastAsia="汉仪中黑简" w:cs="宋体"/>
          <w:color w:val="000000"/>
          <w:sz w:val="22"/>
          <w:lang w:eastAsia="zh-CN"/>
        </w:rPr>
        <w:t>（</w:t>
      </w:r>
      <w:r>
        <w:rPr>
          <w:rFonts w:hint="eastAsia" w:ascii="汉仪中黑简" w:hAnsi="宋体" w:eastAsia="汉仪中黑简" w:cs="宋体"/>
          <w:color w:val="0000C7"/>
          <w:sz w:val="22"/>
          <w:lang w:val="en-US" w:eastAsia="zh-CN"/>
        </w:rPr>
        <w:t>行为意义上证明责任会移转</w:t>
      </w:r>
      <w:r>
        <w:rPr>
          <w:rFonts w:hint="eastAsia" w:ascii="汉仪中黑简" w:hAnsi="宋体" w:eastAsia="汉仪中黑简" w:cs="宋体"/>
          <w:color w:val="000000"/>
          <w:sz w:val="22"/>
          <w:lang w:eastAsia="zh-CN"/>
        </w:rPr>
        <w:t>）</w:t>
      </w:r>
      <w:r>
        <w:rPr>
          <w:rFonts w:hint="eastAsia"/>
          <w:color w:val="auto"/>
        </w:rPr>
        <w:t>。</w:t>
      </w:r>
    </w:p>
    <w:p w14:paraId="70153784">
      <w:pPr>
        <w:spacing w:line="400" w:lineRule="exact"/>
        <w:ind w:firstLine="430"/>
        <w:rPr>
          <w:b/>
          <w:color w:val="auto"/>
        </w:rPr>
      </w:pPr>
      <w:r>
        <w:rPr>
          <w:rFonts w:hint="eastAsia"/>
          <w:b/>
          <w:color w:val="auto"/>
        </w:rPr>
        <w:t>二、证明责任分配的一般规则</w:t>
      </w:r>
    </w:p>
    <w:p w14:paraId="7A8CB16B">
      <w:pPr>
        <w:spacing w:line="400" w:lineRule="exact"/>
        <w:ind w:firstLine="430"/>
        <w:rPr>
          <w:rFonts w:hint="eastAsia" w:eastAsia="宋体"/>
          <w:color w:val="auto"/>
          <w:lang w:eastAsia="zh-CN"/>
        </w:rPr>
      </w:pPr>
      <w:r>
        <w:rPr>
          <w:rFonts w:hint="eastAsia"/>
          <w:color w:val="auto"/>
        </w:rPr>
        <w:t>1.证明责任分配一般原理</w:t>
      </w:r>
    </w:p>
    <w:p w14:paraId="56B728E6">
      <w:pPr>
        <w:spacing w:line="400" w:lineRule="exact"/>
        <w:ind w:firstLine="430"/>
        <w:rPr>
          <w:rFonts w:hint="eastAsia"/>
          <w:color w:val="auto"/>
          <w:lang w:val="en-US" w:eastAsia="zh-CN"/>
        </w:rPr>
      </w:pPr>
      <w:r>
        <w:rPr>
          <w:rFonts w:hint="eastAsia"/>
          <w:color w:val="auto"/>
          <w:lang w:val="en-US" w:eastAsia="zh-CN"/>
        </w:rPr>
        <w:t>规范说</w:t>
      </w:r>
    </w:p>
    <w:p w14:paraId="346EDFC0">
      <w:pPr>
        <w:spacing w:line="400" w:lineRule="exact"/>
        <w:ind w:firstLine="430"/>
        <w:rPr>
          <w:rFonts w:hint="eastAsia" w:ascii="汉仪书宋二简" w:eastAsia="汉仪书宋二简"/>
        </w:rPr>
      </w:pPr>
      <w:r>
        <w:rPr>
          <w:rFonts w:hint="eastAsia" w:ascii="汉仪书宋二简" w:eastAsia="汉仪书宋二简"/>
        </w:rPr>
        <w:t>民事实体法规范分为两大类：一为权利发生规范，也即基本规范，是指能够引起权利发生的法律规范，如合同订立、订立遗嘱、存在侵权行为等；二为对立规范，包括权利妨碍规范，即在权利发生开始时妨碍权利发生的效果，使权利不能发生的法律规范，如欠缺行为能力等；权利消灭规范，即在权利发生之后使已经存在的权利归于消灭的法律规范，如债的清偿、免除等；权利限制规范，即在权利发生之后，权利人欲行使权利时，能够使权利的效果予以遏制或消除，从而使权利不能实现的法律规范，如诉讼时效等。在上述对实体法规范分类的基础上，规范说认为，凡主张权利存在的当事人应当对权利发生的法律要件存在的事实负证明责任，否认权利存在的当事人应当就权利妨碍法律要件、权利消灭法律要件或者权利限制法律要件存在的事实负证明责任。</w:t>
      </w:r>
    </w:p>
    <w:p w14:paraId="03E128BE">
      <w:pPr>
        <w:spacing w:line="400" w:lineRule="exact"/>
        <w:ind w:firstLine="430"/>
        <w:rPr>
          <w:rFonts w:hint="default" w:ascii="汉仪书宋二简" w:eastAsia="汉仪书宋二简"/>
          <w:lang w:val="en-US" w:eastAsia="zh-CN"/>
        </w:rPr>
      </w:pPr>
      <w:r>
        <w:rPr>
          <w:rFonts w:hint="eastAsia" w:ascii="汉仪书宋二简" w:eastAsia="汉仪书宋二简"/>
          <w:lang w:val="en-US" w:eastAsia="zh-CN"/>
        </w:rPr>
        <w:t>我国规定：</w:t>
      </w:r>
    </w:p>
    <w:p w14:paraId="1154ADFF">
      <w:pPr>
        <w:spacing w:line="400" w:lineRule="exact"/>
        <w:ind w:firstLine="430"/>
        <w:rPr>
          <w:color w:val="auto"/>
        </w:rPr>
      </w:pPr>
      <w:r>
        <w:rPr>
          <w:rFonts w:hint="eastAsia"/>
          <w:color w:val="auto"/>
        </w:rPr>
        <w:t>（1）主张法律关系</w:t>
      </w:r>
      <w:r>
        <w:rPr>
          <w:rFonts w:hint="eastAsia"/>
          <w:color w:val="FF0000"/>
        </w:rPr>
        <w:t>存在</w:t>
      </w:r>
      <w:r>
        <w:rPr>
          <w:rFonts w:hint="eastAsia"/>
          <w:color w:val="auto"/>
        </w:rPr>
        <w:t>的当事人，应对</w:t>
      </w:r>
      <w:r>
        <w:rPr>
          <w:rFonts w:hint="eastAsia"/>
          <w:color w:val="FF0000"/>
        </w:rPr>
        <w:t>产生该法律关系的基本事实</w:t>
      </w:r>
      <w:r>
        <w:rPr>
          <w:rFonts w:hint="eastAsia"/>
          <w:color w:val="auto"/>
        </w:rPr>
        <w:t>承担举证证明责任；</w:t>
      </w:r>
    </w:p>
    <w:p w14:paraId="58425E85">
      <w:pPr>
        <w:spacing w:line="384" w:lineRule="exact"/>
        <w:ind w:firstLine="430"/>
        <w:rPr>
          <w:rFonts w:hint="eastAsia"/>
          <w:color w:val="auto"/>
        </w:rPr>
      </w:pPr>
      <w:r>
        <w:rPr>
          <w:rFonts w:hint="eastAsia"/>
          <w:color w:val="auto"/>
        </w:rPr>
        <w:t>（2）主张法律关系变更、消灭或者权利受到妨害的当事人，应当对该</w:t>
      </w:r>
      <w:r>
        <w:rPr>
          <w:rFonts w:hint="eastAsia"/>
          <w:color w:val="FF0000"/>
        </w:rPr>
        <w:t>法律关系变更、消灭或者权利受到妨害的基本事实</w:t>
      </w:r>
      <w:r>
        <w:rPr>
          <w:rFonts w:hint="eastAsia"/>
          <w:color w:val="FF0000"/>
          <w:lang w:val="en-US" w:eastAsia="zh-CN"/>
        </w:rPr>
        <w:t>(都是抗辩事实）</w:t>
      </w:r>
      <w:r>
        <w:rPr>
          <w:rFonts w:hint="eastAsia"/>
          <w:color w:val="FF0000"/>
        </w:rPr>
        <w:t>承</w:t>
      </w:r>
      <w:r>
        <w:rPr>
          <w:rFonts w:hint="eastAsia"/>
          <w:color w:val="auto"/>
        </w:rPr>
        <w:t>担举证证明责任。</w:t>
      </w:r>
    </w:p>
    <w:p w14:paraId="4684BFF9">
      <w:pPr>
        <w:spacing w:line="384" w:lineRule="exact"/>
        <w:ind w:firstLine="430"/>
        <w:rPr>
          <w:b/>
          <w:bCs/>
          <w:color w:val="auto"/>
        </w:rPr>
      </w:pPr>
      <w:r>
        <w:rPr>
          <w:rFonts w:hint="eastAsia" w:ascii="汉仪书宋二简" w:hAnsi="宋体" w:eastAsia="汉仪书宋二简" w:cs="宋体"/>
          <w:color w:val="0000C7"/>
          <w:szCs w:val="21"/>
          <w:lang w:val="en-US" w:eastAsia="zh-CN"/>
        </w:rPr>
        <w:t>抗辩需要承担证明责任</w:t>
      </w:r>
    </w:p>
    <w:p w14:paraId="2C56CC56">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w:t>
      </w:r>
      <w:r>
        <w:rPr>
          <w:rFonts w:hint="eastAsia" w:ascii="汉仪大宋简" w:hAnsi="汉仪大宋简" w:eastAsia="汉仪大宋简" w:cs="汉仪大宋简"/>
          <w:bCs/>
          <w:color w:val="auto"/>
          <w:sz w:val="24"/>
          <w:szCs w:val="24"/>
          <w:lang w:val="en-US" w:eastAsia="zh-CN"/>
        </w:rPr>
        <w:t>二</w:t>
      </w:r>
      <w:r>
        <w:rPr>
          <w:rFonts w:hint="eastAsia" w:ascii="汉仪大宋简" w:hAnsi="汉仪大宋简" w:eastAsia="汉仪大宋简" w:cs="汉仪大宋简"/>
          <w:bCs/>
          <w:color w:val="auto"/>
          <w:sz w:val="24"/>
          <w:szCs w:val="24"/>
        </w:rPr>
        <w:t>）常见民事纠纷的证明责任分配</w:t>
      </w:r>
    </w:p>
    <w:p w14:paraId="18E9D4AA">
      <w:pPr>
        <w:spacing w:line="384" w:lineRule="exact"/>
        <w:ind w:firstLine="440" w:firstLineChars="200"/>
        <w:jc w:val="left"/>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1．合同纠纷案件</w:t>
      </w:r>
    </w:p>
    <w:p w14:paraId="5D9033EE">
      <w:pPr>
        <w:spacing w:line="384" w:lineRule="exact"/>
        <w:ind w:firstLine="420" w:firstLineChars="200"/>
        <w:rPr>
          <w:rFonts w:hint="eastAsia" w:ascii="汉仪书宋二简" w:eastAsia="汉仪书宋二简"/>
        </w:rPr>
      </w:pPr>
      <w:r>
        <w:rPr>
          <w:rFonts w:hint="eastAsia" w:ascii="汉仪书宋二简" w:eastAsia="汉仪书宋二简"/>
        </w:rPr>
        <w:t>在合同纠纷案件中，主张合同关系成立并生效的一方当事人对合同订立和生效的事实承担举证责任；主张合同关系变更、解除、终止、撤销的一方当事人对引起合同关系变动的事实承担举证责任。</w:t>
      </w:r>
    </w:p>
    <w:p w14:paraId="002517D1">
      <w:pPr>
        <w:spacing w:line="384" w:lineRule="exact"/>
        <w:ind w:firstLine="440" w:firstLineChars="200"/>
        <w:jc w:val="left"/>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2．侵权纠纷案件</w:t>
      </w:r>
    </w:p>
    <w:p w14:paraId="2A0F650C">
      <w:pPr>
        <w:spacing w:line="384" w:lineRule="exact"/>
        <w:ind w:firstLine="420" w:firstLineChars="200"/>
        <w:rPr>
          <w:rFonts w:hint="eastAsia" w:ascii="汉仪书宋二简" w:eastAsia="汉仪书宋二简"/>
        </w:rPr>
      </w:pPr>
      <w:r>
        <w:rPr>
          <w:rFonts w:hint="eastAsia" w:ascii="汉仪书宋二简" w:eastAsia="汉仪书宋二简"/>
        </w:rPr>
        <w:t>根据证明责任分配的一般原理，主张侵权行为成立和存在免责事由均属于积极事实，相关主张者应承担证明责任。</w:t>
      </w:r>
      <w:r>
        <w:rPr>
          <w:rFonts w:hint="eastAsia"/>
          <w:color w:val="FF0000"/>
          <w:lang w:val="en-US" w:eastAsia="zh-CN"/>
        </w:rPr>
        <w:t>具体而言，受害方应当就存在侵权行为、侵权造成的损害后果、行为和结果之间存在因果关系以及加害方有过错（无过错原则除外，</w:t>
      </w:r>
      <w:r>
        <w:rPr>
          <w:rFonts w:hint="eastAsia"/>
          <w:color w:val="FF0000"/>
          <w:lang w:val="en-US" w:eastAsia="zh-CN"/>
        </w:rPr>
        <w:t>无过错责任过错不是责任要件）等要件事实承担证明责任；而加害方则应当就存在免责事由承担证明责任。</w:t>
      </w:r>
      <w:r>
        <w:rPr>
          <w:rFonts w:hint="eastAsia" w:ascii="汉仪书宋二简" w:eastAsia="汉仪书宋二简"/>
        </w:rPr>
        <w:t>如果法律规定适用过错推定原则，则被告方应对过错要件（被告须证明自己无过错）承担证明责任。</w:t>
      </w:r>
    </w:p>
    <w:p w14:paraId="0DEC1253">
      <w:pPr>
        <w:spacing w:line="384" w:lineRule="exact"/>
        <w:ind w:firstLine="440" w:firstLineChars="200"/>
        <w:jc w:val="left"/>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3．民间借贷纠纷案件</w:t>
      </w:r>
    </w:p>
    <w:p w14:paraId="3487C5AE">
      <w:pPr>
        <w:spacing w:line="384" w:lineRule="exact"/>
        <w:ind w:firstLine="420" w:firstLineChars="200"/>
        <w:rPr>
          <w:rFonts w:hint="eastAsia" w:ascii="汉仪书宋二简" w:eastAsia="汉仪书宋二简"/>
          <w:color w:val="0000FF"/>
          <w:lang w:eastAsia="zh-CN"/>
        </w:rPr>
      </w:pPr>
      <w:r>
        <w:rPr>
          <w:rFonts w:hint="eastAsia" w:ascii="汉仪书宋二简" w:eastAsia="汉仪书宋二简"/>
        </w:rPr>
        <w:t>（1）出借人应就双方之间存在借贷法律关系承担证明责任。出借人向法院提起民间借贷诉讼时，应当提</w:t>
      </w:r>
      <w:r>
        <w:rPr>
          <w:rFonts w:hint="eastAsia" w:ascii="汉仪书宋二简" w:eastAsia="汉仪书宋二简"/>
          <w:color w:val="0000FF"/>
        </w:rPr>
        <w:t>供借据、收据、欠条等债权凭证以及其他能够证明借贷法律关</w:t>
      </w:r>
      <w:r>
        <w:rPr>
          <w:rFonts w:hint="eastAsia" w:ascii="汉仪书宋二简" w:eastAsia="汉仪书宋二简"/>
        </w:rPr>
        <w:t>系存在的证据。</w:t>
      </w:r>
      <w:r>
        <w:rPr>
          <w:rFonts w:hint="eastAsia" w:ascii="汉仪书宋二简" w:eastAsia="汉仪书宋二简"/>
          <w:color w:val="0000FF"/>
          <w:lang w:eastAsia="zh-CN"/>
        </w:rPr>
        <w:t>（</w:t>
      </w:r>
      <w:r>
        <w:rPr>
          <w:rFonts w:hint="eastAsia" w:ascii="汉仪书宋二简" w:eastAsia="汉仪书宋二简"/>
          <w:color w:val="0000FF"/>
          <w:lang w:val="en-US" w:eastAsia="zh-CN"/>
        </w:rPr>
        <w:t>借条+转账记录</w:t>
      </w:r>
      <w:r>
        <w:rPr>
          <w:rFonts w:hint="eastAsia" w:ascii="汉仪书宋二简" w:eastAsia="汉仪书宋二简"/>
          <w:color w:val="0000FF"/>
          <w:lang w:eastAsia="zh-CN"/>
        </w:rPr>
        <w:t>）</w:t>
      </w:r>
    </w:p>
    <w:p w14:paraId="57B781A5">
      <w:pPr>
        <w:spacing w:line="384" w:lineRule="exact"/>
        <w:ind w:firstLine="420" w:firstLineChars="200"/>
        <w:rPr>
          <w:rFonts w:hint="eastAsia" w:ascii="汉仪书宋二简" w:eastAsia="汉仪书宋二简"/>
        </w:rPr>
      </w:pPr>
      <w:r>
        <w:rPr>
          <w:rFonts w:hint="eastAsia" w:ascii="汉仪书宋二简" w:eastAsia="汉仪书宋二简"/>
        </w:rPr>
        <w:t>（2）原告应对借贷行为实际发生（款项已经交付），承担证明责任。被告抗辩借贷行为尚未实际发生并能作出合理说明，法院应当结合借贷金额、款项交付、当事人的经济能力、当地或者当事人之间的交易方式、交易习惯、当事人财产变动情况以及证人证言等事实和因素，综合判断查证借贷事实是否发生。</w:t>
      </w:r>
    </w:p>
    <w:p w14:paraId="35F58430">
      <w:pPr>
        <w:spacing w:line="384" w:lineRule="exact"/>
        <w:ind w:firstLine="420" w:firstLineChars="200"/>
        <w:rPr>
          <w:rFonts w:hint="eastAsia" w:ascii="汉仪书宋二简" w:eastAsia="汉仪书宋二简"/>
        </w:rPr>
      </w:pPr>
      <w:r>
        <w:rPr>
          <w:rFonts w:hint="eastAsia" w:ascii="汉仪书宋二简" w:eastAsia="汉仪书宋二简"/>
        </w:rPr>
        <w:t>（3）被告对原告债权人的主体资格有异议的，承担证明责任。当事人持有的借据、收据、欠条等债权凭证没有载明债权人，持有债权凭证的当事人提起民间借贷诉讼的，人民法院应予受理。</w:t>
      </w:r>
      <w:r>
        <w:rPr>
          <w:rFonts w:hint="eastAsia" w:ascii="汉仪书宋二简" w:eastAsia="汉仪书宋二简"/>
          <w:color w:val="0000FF"/>
        </w:rPr>
        <w:t>被告对原告的债权人资格提出有事实依据的抗辩，法院经审理认为原告不具有债权人资格的，裁定驳回起诉</w:t>
      </w:r>
      <w:r>
        <w:rPr>
          <w:rFonts w:hint="eastAsia" w:ascii="汉仪书宋二简" w:eastAsia="汉仪书宋二简"/>
        </w:rPr>
        <w:t>。</w:t>
      </w:r>
    </w:p>
    <w:p w14:paraId="26DCF8D6">
      <w:pPr>
        <w:spacing w:line="384" w:lineRule="exact"/>
        <w:ind w:firstLine="420" w:firstLineChars="200"/>
        <w:rPr>
          <w:rFonts w:hint="eastAsia" w:ascii="汉仪书宋二简" w:eastAsia="汉仪书宋二简"/>
        </w:rPr>
      </w:pPr>
      <w:r>
        <w:rPr>
          <w:rFonts w:hint="eastAsia" w:ascii="汉仪书宋二简" w:eastAsia="汉仪书宋二简"/>
        </w:rPr>
        <w:t>（4）</w:t>
      </w:r>
      <w:r>
        <w:rPr>
          <w:rFonts w:hint="eastAsia" w:ascii="汉仪书宋二简" w:eastAsia="汉仪书宋二简"/>
          <w:color w:val="0000FF"/>
        </w:rPr>
        <w:t>被告对已经偿还借款的事实，承担证明责任</w:t>
      </w:r>
      <w:r>
        <w:rPr>
          <w:rFonts w:hint="eastAsia" w:ascii="汉仪书宋二简" w:eastAsia="汉仪书宋二简"/>
        </w:rPr>
        <w:t>。原告仅依据借据、收据、欠条等债权凭证提起民间借贷诉讼，被告抗辩已经偿还借款，被告应当对其主张提供证据证明。被告提供相应证据证明其主张后，原告仍应就借贷关系的存续承担举证证明责任。</w:t>
      </w:r>
    </w:p>
    <w:p w14:paraId="0642E397">
      <w:pPr>
        <w:spacing w:line="384" w:lineRule="exact"/>
        <w:ind w:firstLine="408" w:firstLineChars="200"/>
        <w:rPr>
          <w:rFonts w:hint="eastAsia" w:ascii="汉仪书宋二简" w:eastAsia="汉仪书宋二简"/>
          <w:spacing w:val="-3"/>
        </w:rPr>
      </w:pPr>
      <w:r>
        <w:rPr>
          <w:rFonts w:hint="eastAsia" w:ascii="汉仪书宋二简" w:eastAsia="汉仪书宋二简"/>
          <w:spacing w:val="-3"/>
        </w:rPr>
        <w:t>（5）被告对转账系偿还双方之前借款或其他债务的主张，承担证明责任。原告仅依据金融机构的转账凭证提起民间借贷诉讼，被告抗辩转账系偿还双方之前借款或其他债务，被告应当对其主张提供证据证明。被告提供相应证据证明其主张后，原告仍应就借贷关系的成立承担举证责任。</w:t>
      </w:r>
    </w:p>
    <w:p w14:paraId="4F21D406">
      <w:pPr>
        <w:spacing w:line="384" w:lineRule="exact"/>
        <w:ind w:firstLine="420" w:firstLineChars="200"/>
        <w:rPr>
          <w:rFonts w:hint="eastAsia" w:ascii="汉仪书宋二简" w:eastAsia="汉仪书宋二简"/>
        </w:rPr>
      </w:pPr>
      <w:r>
        <w:rPr>
          <w:rFonts w:hint="eastAsia" w:ascii="汉仪书宋二简" w:eastAsia="汉仪书宋二简"/>
        </w:rPr>
        <w:t>（6）</w:t>
      </w:r>
      <w:r>
        <w:rPr>
          <w:rFonts w:hint="eastAsia" w:ascii="汉仪书宋二简" w:eastAsia="汉仪书宋二简"/>
          <w:color w:val="0000FF"/>
        </w:rPr>
        <w:t>被告对民间借贷的债权债务纠纷不是基于民间借贷行为引起的，应承担证明责任</w:t>
      </w:r>
      <w:r>
        <w:rPr>
          <w:rFonts w:hint="eastAsia" w:ascii="汉仪书宋二简" w:eastAsia="汉仪书宋二简"/>
        </w:rPr>
        <w:t>。原告以借据、收据、欠条等债权凭证为依据提起民间借贷诉讼，被告依据基础法律关系提出抗辩或者反诉，并提供证据证明债权纠纷非民间借贷行为引起的，法院应当依据查明的案件事实，按照基础法律关系审理。</w:t>
      </w:r>
    </w:p>
    <w:p w14:paraId="5FCFBE8C">
      <w:pPr>
        <w:spacing w:line="384" w:lineRule="exact"/>
        <w:ind w:firstLine="422" w:firstLineChars="200"/>
        <w:rPr>
          <w:rFonts w:hint="eastAsia" w:ascii="汉仪书宋二简" w:eastAsia="汉仪书宋二简" w:cstheme="minorBidi"/>
          <w:b/>
        </w:rPr>
      </w:pPr>
    </w:p>
    <w:p w14:paraId="3FCDEEEE">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三、证明责任的特殊分配规则</w:t>
      </w:r>
    </w:p>
    <w:p w14:paraId="5A53F3C8">
      <w:pPr>
        <w:spacing w:line="384" w:lineRule="exact"/>
        <w:ind w:firstLine="422" w:firstLineChars="200"/>
        <w:rPr>
          <w:rFonts w:hint="eastAsia" w:ascii="汉仪书宋二简" w:eastAsia="汉仪书宋二简"/>
          <w:b/>
        </w:rPr>
      </w:pPr>
    </w:p>
    <w:p w14:paraId="61BC18E5">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（一）“证明责任倒置”内涵</w:t>
      </w:r>
    </w:p>
    <w:p w14:paraId="503E4545">
      <w:pPr>
        <w:spacing w:line="384" w:lineRule="exact"/>
        <w:ind w:firstLine="420" w:firstLineChars="200"/>
        <w:rPr>
          <w:rFonts w:hint="eastAsia" w:ascii="汉仪书宋二简" w:eastAsia="汉仪书宋二简"/>
        </w:rPr>
      </w:pPr>
      <w:r>
        <w:rPr>
          <w:rFonts w:hint="eastAsia" w:ascii="汉仪书宋二简" w:eastAsia="汉仪书宋二简"/>
        </w:rPr>
        <w:t>所谓证明责任的特殊分配，是指在某些特殊类型的案件中，根据法律规定免除了原告对其主张事实的证明责任，转而由被告承担证明责任。</w:t>
      </w:r>
    </w:p>
    <w:p w14:paraId="0813EFD9">
      <w:pPr>
        <w:spacing w:line="384" w:lineRule="exact"/>
        <w:ind w:firstLine="420" w:firstLineChars="200"/>
        <w:rPr>
          <w:rFonts w:hint="eastAsia" w:ascii="汉仪书宋二简" w:eastAsia="汉仪书宋二简"/>
        </w:rPr>
      </w:pPr>
      <w:r>
        <w:rPr>
          <w:rFonts w:hint="eastAsia" w:ascii="汉仪书宋二简" w:eastAsia="汉仪书宋二简"/>
          <w:color w:val="0000FF"/>
        </w:rPr>
        <w:t>证明责任倒置，不是全部案件事实的倒置，而是部分要件事实的倒置</w:t>
      </w:r>
      <w:r>
        <w:rPr>
          <w:rFonts w:hint="eastAsia" w:ascii="汉仪书宋二简" w:eastAsia="汉仪书宋二简"/>
        </w:rPr>
        <w:t>。具体倒置情况，应由法律或者司法解释作出明确规定。</w:t>
      </w:r>
    </w:p>
    <w:p w14:paraId="3B807D6E">
      <w:pPr>
        <w:spacing w:line="37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（二）具体适用情形</w:t>
      </w:r>
    </w:p>
    <w:p w14:paraId="283F0E71">
      <w:pPr>
        <w:spacing w:line="374" w:lineRule="exact"/>
        <w:ind w:firstLine="420" w:firstLineChars="200"/>
        <w:rPr>
          <w:rFonts w:hint="eastAsia" w:ascii="汉仪书宋二简" w:eastAsia="汉仪书宋二简"/>
        </w:rPr>
      </w:pPr>
      <w:r>
        <w:rPr>
          <w:rFonts w:hint="eastAsia" w:ascii="汉仪书宋二简" w:eastAsia="汉仪书宋二简"/>
        </w:rPr>
        <w:t>1．因环境污染引起的损害赔偿诉讼，由加害人就法律规定的免责事由及其行为与损害结果之间不存在因果关系承担举证责任</w:t>
      </w:r>
    </w:p>
    <w:p w14:paraId="75F0CBE2">
      <w:pPr>
        <w:spacing w:line="374" w:lineRule="exact"/>
        <w:ind w:firstLine="420" w:firstLineChars="200"/>
        <w:rPr>
          <w:rFonts w:hint="eastAsia" w:ascii="汉仪书宋二简" w:eastAsia="汉仪书宋二简"/>
          <w:lang w:eastAsia="zh-CN"/>
        </w:rPr>
      </w:pPr>
      <w:r>
        <w:rPr>
          <w:rFonts w:hint="eastAsia" w:ascii="汉仪书宋二简" w:eastAsia="汉仪书宋二简"/>
        </w:rPr>
        <w:t>2．建筑物或者其他设施以及建筑物上的搁置物、悬挂物发生倒塌、脱落、坠落致人损害的侵权诉讼，由所有人或者管理人对其无过错承担举证责任</w:t>
      </w:r>
      <w:r>
        <w:rPr>
          <w:rFonts w:hint="eastAsia" w:ascii="汉仪书宋二简" w:eastAsia="汉仪书宋二简"/>
          <w:lang w:eastAsia="zh-CN"/>
        </w:rPr>
        <w:t>（</w:t>
      </w:r>
      <w:r>
        <w:rPr>
          <w:rFonts w:hint="eastAsia" w:ascii="汉仪书宋二简" w:eastAsia="汉仪书宋二简"/>
          <w:color w:val="0000FF"/>
          <w:lang w:val="en-US" w:eastAsia="zh-CN"/>
        </w:rPr>
        <w:t>过错推定责任</w:t>
      </w:r>
      <w:r>
        <w:rPr>
          <w:rFonts w:hint="eastAsia" w:ascii="汉仪书宋二简" w:eastAsia="汉仪书宋二简"/>
          <w:lang w:eastAsia="zh-CN"/>
        </w:rPr>
        <w:t>）</w:t>
      </w:r>
    </w:p>
    <w:p w14:paraId="3D02CBCB">
      <w:pPr>
        <w:spacing w:line="384" w:lineRule="exact"/>
        <w:ind w:firstLine="420" w:firstLineChars="200"/>
        <w:rPr>
          <w:rFonts w:hint="default" w:ascii="汉仪书宋二简" w:eastAsia="汉仪书宋二简"/>
          <w:color w:val="0000FF"/>
          <w:lang w:val="en-US" w:eastAsia="zh-CN"/>
        </w:rPr>
      </w:pPr>
      <w:r>
        <w:rPr>
          <w:rFonts w:hint="eastAsia" w:ascii="汉仪书宋二简" w:eastAsia="汉仪书宋二简"/>
        </w:rPr>
        <w:t>3．一人有限责任公司的股东不能证明公司财产独立于股东自己的财产的，应当对公司债务承担连带责任。</w:t>
      </w:r>
      <w:r>
        <w:rPr>
          <w:rFonts w:hint="eastAsia" w:ascii="汉仪书宋二简" w:eastAsia="汉仪书宋二简"/>
          <w:color w:val="0000FF"/>
          <w:lang w:val="en-US" w:eastAsia="zh-CN"/>
        </w:rPr>
        <w:t>其他公司债权人承担证明责任</w:t>
      </w:r>
    </w:p>
    <w:p w14:paraId="7D403875">
      <w:pPr>
        <w:spacing w:line="384" w:lineRule="exact"/>
        <w:ind w:firstLine="420" w:firstLineChars="200"/>
        <w:rPr>
          <w:rFonts w:hint="eastAsia" w:ascii="汉仪书宋二简" w:eastAsia="汉仪书宋二简"/>
        </w:rPr>
      </w:pPr>
      <w:r>
        <w:rPr>
          <w:rFonts w:hint="eastAsia" w:ascii="汉仪书宋二简" w:eastAsia="汉仪书宋二简"/>
        </w:rPr>
        <w:t>4．经营者提供的机动车、计算机、电视机、电冰箱、空调器、洗衣机等耐用商品或者装饰装修等服务，消费者自接受商品或者服务之日起6个月内发现瑕疵，发生争议的，由经营者承担有关瑕疵的举证责任。据此，</w:t>
      </w:r>
      <w:r>
        <w:rPr>
          <w:rFonts w:hint="eastAsia" w:ascii="汉仪书宋二简" w:eastAsia="汉仪书宋二简"/>
          <w:color w:val="0000FF"/>
        </w:rPr>
        <w:t>此类案件中，瑕疵的证明责任倒置给被告承担</w:t>
      </w:r>
      <w:r>
        <w:rPr>
          <w:rFonts w:hint="eastAsia" w:ascii="汉仪书宋二简" w:eastAsia="汉仪书宋二简"/>
        </w:rPr>
        <w:t>。</w:t>
      </w:r>
    </w:p>
    <w:p w14:paraId="23C2D9E4">
      <w:pPr>
        <w:spacing w:line="384" w:lineRule="exact"/>
        <w:ind w:firstLine="420" w:firstLineChars="200"/>
        <w:rPr>
          <w:rFonts w:hint="eastAsia" w:ascii="汉仪书宋二简" w:eastAsia="汉仪书宋二简"/>
        </w:rPr>
      </w:pPr>
      <w:r>
        <w:rPr>
          <w:rFonts w:hint="eastAsia" w:ascii="汉仪书宋二简" w:eastAsia="汉仪书宋二简"/>
        </w:rPr>
        <w:t>5．在案件审理过程中，金融消费者应当对</w:t>
      </w:r>
      <w:r>
        <w:rPr>
          <w:rFonts w:hint="eastAsia" w:ascii="汉仪书宋二简" w:eastAsia="汉仪中黑简"/>
          <w:color w:val="FF0000"/>
        </w:rPr>
        <w:t>购买产品（或者接受服务）</w:t>
      </w:r>
      <w:r>
        <w:rPr>
          <w:rFonts w:hint="eastAsia" w:ascii="汉仪书宋二简" w:eastAsia="汉仪书宋二简"/>
        </w:rPr>
        <w:t>、</w:t>
      </w:r>
      <w:r>
        <w:rPr>
          <w:rFonts w:hint="eastAsia" w:ascii="汉仪书宋二简" w:eastAsia="汉仪中黑简"/>
          <w:color w:val="FF0000"/>
        </w:rPr>
        <w:t>遭受的损失</w:t>
      </w:r>
      <w:r>
        <w:rPr>
          <w:rFonts w:hint="eastAsia" w:ascii="汉仪书宋二简" w:eastAsia="汉仪书宋二简"/>
        </w:rPr>
        <w:t>等事实承担举证责任。卖方机构对其</w:t>
      </w:r>
      <w:r>
        <w:rPr>
          <w:rFonts w:hint="eastAsia" w:ascii="汉仪书宋二简" w:eastAsia="汉仪中黑简"/>
          <w:color w:val="FF0000"/>
        </w:rPr>
        <w:t>是否履行了适当性义务</w:t>
      </w:r>
      <w:r>
        <w:rPr>
          <w:rFonts w:hint="eastAsia" w:ascii="汉仪书宋二简" w:eastAsia="汉仪书宋二简"/>
        </w:rPr>
        <w:t>承担举证责任。卖方机构不能提供其已经建立了金融产品（或者服务）的风险评估及相应管理制度、对金融消费者的风险认知、风险偏好和风险承受能力进行了测试、向金融消费者告知产品（或者服务）的收益和主要风险因素等相关证据的，应当承担举证不能的法律后果。</w:t>
      </w:r>
    </w:p>
    <w:p w14:paraId="052DBD33">
      <w:pPr>
        <w:spacing w:line="384" w:lineRule="exact"/>
        <w:ind w:firstLine="420" w:firstLineChars="200"/>
        <w:rPr>
          <w:rFonts w:hint="eastAsia" w:ascii="汉仪书宋二简" w:eastAsia="汉仪书宋二简"/>
        </w:rPr>
      </w:pPr>
      <w:r>
        <w:rPr>
          <w:rFonts w:hint="eastAsia" w:ascii="汉仪书宋二简" w:eastAsia="汉仪书宋二简"/>
        </w:rPr>
        <w:t>6．资产管理产品的委托人以受托人未履行勤勉尽责、公平对待客户等义务损害其合法权益为由，请求受托人承担损害赔偿责任的，应当由受托人举证证明其已经履行了义务。受托人不能举证证明，委托人请求其承担相应赔偿责任的，人民法院依法予以支持。</w:t>
      </w:r>
    </w:p>
    <w:p w14:paraId="2CE76939">
      <w:pPr>
        <w:spacing w:line="384" w:lineRule="exact"/>
        <w:ind w:firstLine="420" w:firstLineChars="200"/>
        <w:rPr>
          <w:rFonts w:hint="eastAsia" w:ascii="汉仪书宋二简" w:eastAsia="汉仪书宋二简"/>
        </w:rPr>
      </w:pPr>
    </w:p>
    <w:p w14:paraId="5FBB10F8">
      <w:pPr>
        <w:spacing w:line="384" w:lineRule="exact"/>
        <w:ind w:firstLine="723" w:firstLineChars="200"/>
        <w:jc w:val="center"/>
        <w:rPr>
          <w:rFonts w:hint="eastAsia" w:ascii="宋体" w:hAnsi="宋体" w:eastAsia="宋体" w:cs="Times New Roman"/>
          <w:b/>
          <w:bCs/>
          <w:color w:val="auto"/>
          <w:kern w:val="2"/>
          <w:sz w:val="36"/>
          <w:szCs w:val="36"/>
          <w:lang w:val="en-US" w:eastAsia="zh-CN" w:bidi="ar-SA"/>
        </w:rPr>
      </w:pPr>
      <w:r>
        <w:rPr>
          <w:rFonts w:hint="eastAsia" w:ascii="宋体" w:hAnsi="宋体" w:eastAsia="宋体" w:cs="Times New Roman"/>
          <w:b/>
          <w:bCs/>
          <w:color w:val="auto"/>
          <w:kern w:val="2"/>
          <w:sz w:val="36"/>
          <w:szCs w:val="36"/>
          <w:lang w:val="en-US" w:eastAsia="zh-CN" w:bidi="ar-SA"/>
        </w:rPr>
        <w:t>专题五 第二审程序</w:t>
      </w:r>
    </w:p>
    <w:p w14:paraId="50340538">
      <w:pPr>
        <w:spacing w:line="384" w:lineRule="exact"/>
        <w:jc w:val="left"/>
        <w:rPr>
          <w:rFonts w:ascii="汉仪书宋二简" w:eastAsia="汉仪书宋二简"/>
        </w:rPr>
      </w:pPr>
      <w:r>
        <w:rPr>
          <w:rFonts w:hint="eastAsia" w:ascii="汉仪大宋简" w:hAnsi="汉仪大宋简" w:eastAsia="汉仪大宋简" w:cs="汉仪大宋简"/>
          <w:bCs/>
          <w:color w:val="auto"/>
          <w:sz w:val="26"/>
          <w:szCs w:val="24"/>
        </w:rPr>
        <w:t>一、提起上诉的条件</w:t>
      </w:r>
    </w:p>
    <w:p w14:paraId="4C5F03CD">
      <w:pPr>
        <w:pStyle w:val="2"/>
        <w:keepNext/>
        <w:keepLines/>
        <w:pageBreakBefore w:val="0"/>
        <w:widowControl w:val="0"/>
        <w:kinsoku/>
        <w:wordWrap/>
        <w:overflowPunct/>
        <w:topLinePunct w:val="0"/>
        <w:autoSpaceDE/>
        <w:autoSpaceDN/>
        <w:bidi w:val="0"/>
        <w:adjustRightInd/>
        <w:snapToGrid/>
        <w:spacing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（一）有法定的上诉对象</w:t>
      </w:r>
    </w:p>
    <w:p w14:paraId="5B0ED21D">
      <w:pPr>
        <w:spacing w:line="384" w:lineRule="exact"/>
        <w:ind w:firstLine="420"/>
        <w:jc w:val="left"/>
        <w:rPr>
          <w:rFonts w:ascii="楷体" w:hAnsi="楷体" w:eastAsia="楷体" w:cs="宋体"/>
          <w:szCs w:val="21"/>
        </w:rPr>
      </w:pPr>
      <w:r>
        <w:rPr>
          <w:rFonts w:hint="eastAsia" w:ascii="楷体" w:hAnsi="楷体" w:eastAsia="楷体" w:cs="宋体"/>
          <w:szCs w:val="21"/>
        </w:rPr>
        <w:t>不可上诉的对象包括：（1）最高法院作出的一审判决、裁定；（2）小额诉讼程序的判决以及驳回起诉、管辖权异议裁定；（3）适用特别程序、督促程序、公示催告程序作出的判决、裁定、支付令；（4）除不予受理、驳回起诉、管辖权异议之外的其他裁定；（5）各级法院制作的调解书；（6）各级法院作出的决定书。</w:t>
      </w:r>
    </w:p>
    <w:p w14:paraId="1C423A85">
      <w:pPr>
        <w:spacing w:line="384" w:lineRule="exact"/>
        <w:ind w:firstLine="420"/>
        <w:jc w:val="left"/>
        <w:rPr>
          <w:rFonts w:hint="default" w:ascii="汉仪书宋二简" w:hAnsi="宋体" w:eastAsia="汉仪书宋二简" w:cs="宋体"/>
          <w:color w:val="0000C7"/>
          <w:szCs w:val="21"/>
          <w:lang w:val="en-US" w:eastAsia="zh-CN"/>
        </w:rPr>
      </w:pPr>
      <w:r>
        <w:rPr>
          <w:rFonts w:hint="eastAsia" w:ascii="汉仪书宋二简" w:hAnsi="宋体" w:eastAsia="汉仪书宋二简" w:cs="宋体"/>
          <w:color w:val="0000C7"/>
          <w:szCs w:val="21"/>
          <w:lang w:val="en-US" w:eastAsia="zh-CN"/>
        </w:rPr>
        <w:t>其余的都可以上诉</w:t>
      </w:r>
    </w:p>
    <w:p w14:paraId="465750DC">
      <w:pPr>
        <w:pStyle w:val="2"/>
        <w:keepNext/>
        <w:keepLines/>
        <w:pageBreakBefore w:val="0"/>
        <w:widowControl w:val="0"/>
        <w:kinsoku/>
        <w:wordWrap/>
        <w:overflowPunct/>
        <w:topLinePunct w:val="0"/>
        <w:autoSpaceDE/>
        <w:autoSpaceDN/>
        <w:bidi w:val="0"/>
        <w:adjustRightInd/>
        <w:snapToGrid/>
        <w:spacing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（二）有合法的上诉人和被上诉人</w:t>
      </w:r>
    </w:p>
    <w:p w14:paraId="27D6161A">
      <w:pPr>
        <w:spacing w:line="384" w:lineRule="exact"/>
        <w:ind w:firstLine="420"/>
        <w:jc w:val="left"/>
        <w:rPr>
          <w:rFonts w:ascii="宋体" w:hAnsi="宋体" w:eastAsia="汉仪书宋二简" w:cs="宋体"/>
          <w:szCs w:val="21"/>
        </w:rPr>
      </w:pPr>
      <w:r>
        <w:rPr>
          <w:rFonts w:hint="eastAsia" w:ascii="宋体" w:hAnsi="宋体" w:eastAsia="汉仪书宋二简" w:cs="宋体"/>
          <w:szCs w:val="21"/>
        </w:rPr>
        <w:t>上诉人和被上诉人必须是参加第一审程序的诉讼当事人，包括：原告、被告、有独立请求权第三人、一审判决承担民事责任的无独立请求权第三人</w:t>
      </w:r>
      <w:r>
        <w:rPr>
          <w:rFonts w:hint="eastAsia" w:ascii="宋体" w:hAnsi="宋体" w:eastAsia="汉仪书宋二简" w:cs="宋体"/>
          <w:szCs w:val="21"/>
          <w:lang w:eastAsia="zh-CN"/>
        </w:rPr>
        <w:t>（</w:t>
      </w:r>
      <w:r>
        <w:rPr>
          <w:rFonts w:hint="eastAsia" w:ascii="宋体" w:hAnsi="宋体" w:eastAsia="汉仪书宋二简" w:cs="宋体"/>
          <w:color w:val="0000C7"/>
          <w:szCs w:val="21"/>
          <w:lang w:val="en-US" w:eastAsia="zh-CN"/>
        </w:rPr>
        <w:t>都可以成为上诉人和被上诉人</w:t>
      </w:r>
      <w:r>
        <w:rPr>
          <w:rFonts w:hint="eastAsia" w:ascii="宋体" w:hAnsi="宋体" w:eastAsia="汉仪书宋二简" w:cs="宋体"/>
          <w:szCs w:val="21"/>
          <w:lang w:eastAsia="zh-CN"/>
        </w:rPr>
        <w:t>）</w:t>
      </w:r>
      <w:r>
        <w:rPr>
          <w:rFonts w:hint="eastAsia" w:ascii="宋体" w:hAnsi="宋体" w:eastAsia="汉仪书宋二简" w:cs="宋体"/>
          <w:szCs w:val="21"/>
        </w:rPr>
        <w:t>。</w:t>
      </w:r>
    </w:p>
    <w:p w14:paraId="407AFB90">
      <w:pPr>
        <w:spacing w:line="384" w:lineRule="exact"/>
        <w:ind w:firstLine="420"/>
        <w:rPr>
          <w:rFonts w:ascii="宋体" w:hAnsi="宋体" w:eastAsia="汉仪书宋二简" w:cs="宋体"/>
          <w:color w:val="0000C7"/>
          <w:szCs w:val="21"/>
        </w:rPr>
      </w:pPr>
      <w:r>
        <w:rPr>
          <w:rFonts w:hint="eastAsia" w:ascii="宋体" w:hAnsi="宋体" w:eastAsia="汉仪粗黑简" w:cs="宋体"/>
          <w:color w:val="FF0000"/>
          <w:szCs w:val="21"/>
        </w:rPr>
        <w:t>特别提醒：</w:t>
      </w:r>
      <w:r>
        <w:rPr>
          <w:rFonts w:hint="eastAsia" w:ascii="仿宋" w:hAnsi="仿宋" w:eastAsia="楷体" w:cs="宋体"/>
          <w:szCs w:val="21"/>
        </w:rPr>
        <w:t>无民事行为能力人、限制民事行为能力人的法定代理人，可以代理当事人提起上诉。经过特别授权的委托代理人，有权代为提起上诉。</w:t>
      </w:r>
      <w:r>
        <w:rPr>
          <w:rFonts w:hint="eastAsia" w:ascii="仿宋" w:hAnsi="仿宋" w:eastAsia="楷体" w:cs="宋体"/>
          <w:color w:val="0000C7"/>
          <w:szCs w:val="21"/>
        </w:rPr>
        <w:t>此时的上诉人仍然是当事人，而非诉讼代理人。</w:t>
      </w:r>
    </w:p>
    <w:p w14:paraId="276F6AD6">
      <w:pPr>
        <w:spacing w:line="384" w:lineRule="exact"/>
        <w:ind w:firstLine="420"/>
        <w:jc w:val="left"/>
        <w:rPr>
          <w:rFonts w:ascii="宋体" w:hAnsi="宋体" w:eastAsia="汉仪书宋二简" w:cs="宋体"/>
          <w:szCs w:val="21"/>
        </w:rPr>
      </w:pPr>
      <w:r>
        <w:rPr>
          <w:rFonts w:hint="eastAsia" w:ascii="宋体" w:hAnsi="宋体" w:eastAsia="汉仪书宋二简" w:cs="宋体"/>
          <w:szCs w:val="21"/>
        </w:rPr>
        <w:t>二审程序中当事人诉讼地位的确定规则：提起上诉者是上诉人，上诉请求指向的对象是被上诉人，</w:t>
      </w:r>
      <w:r>
        <w:rPr>
          <w:rFonts w:hint="eastAsia" w:ascii="宋体" w:hAnsi="宋体" w:eastAsia="汉仪书宋二简" w:cs="宋体"/>
          <w:color w:val="0000C7"/>
          <w:szCs w:val="21"/>
        </w:rPr>
        <w:t>其余当事人依原审地位列明</w:t>
      </w:r>
      <w:r>
        <w:rPr>
          <w:rFonts w:hint="eastAsia" w:ascii="宋体" w:hAnsi="宋体" w:eastAsia="汉仪书宋二简" w:cs="宋体"/>
          <w:szCs w:val="21"/>
        </w:rPr>
        <w:t>。</w:t>
      </w:r>
    </w:p>
    <w:p w14:paraId="3DE074BB">
      <w:pPr>
        <w:spacing w:line="384" w:lineRule="exact"/>
        <w:ind w:firstLine="420"/>
        <w:jc w:val="left"/>
        <w:rPr>
          <w:rFonts w:hint="default" w:ascii="宋体" w:hAnsi="宋体" w:eastAsia="汉仪书宋二简" w:cs="宋体"/>
          <w:color w:val="0000C7"/>
          <w:szCs w:val="21"/>
          <w:lang w:val="en-US" w:eastAsia="zh-CN"/>
        </w:rPr>
      </w:pPr>
      <w:r>
        <w:rPr>
          <w:rFonts w:hint="eastAsia" w:ascii="宋体" w:hAnsi="宋体" w:eastAsia="汉仪书宋二简" w:cs="宋体"/>
          <w:color w:val="0000C7"/>
          <w:szCs w:val="21"/>
          <w:lang w:val="en-US" w:eastAsia="zh-CN"/>
        </w:rPr>
        <w:t>必要共同诉讼二审地位确定</w:t>
      </w:r>
    </w:p>
    <w:p w14:paraId="5A1524CB">
      <w:pPr>
        <w:spacing w:line="384" w:lineRule="exact"/>
        <w:ind w:firstLine="420"/>
        <w:jc w:val="left"/>
        <w:rPr>
          <w:rFonts w:hint="default" w:ascii="宋体" w:hAnsi="宋体" w:eastAsia="汉仪书宋二简" w:cs="宋体"/>
          <w:color w:val="0000C7"/>
          <w:szCs w:val="21"/>
          <w:lang w:val="en-US" w:eastAsia="zh-CN"/>
        </w:rPr>
      </w:pPr>
      <w:r>
        <w:rPr>
          <w:rFonts w:hint="default" w:ascii="宋体" w:hAnsi="宋体" w:eastAsia="汉仪书宋二简" w:cs="宋体"/>
          <w:color w:val="0000C7"/>
          <w:szCs w:val="21"/>
          <w:lang w:val="en-US" w:eastAsia="zh-CN"/>
        </w:rPr>
        <w:t>（一）上诉仅对与对方当事人之间权利义务分担有意见，不涉及其他共同诉讼人利益的，对方当事人为被上诉人，未上诉的同一方当事人依原审诉讼地位列明；（二）上诉仅对共同诉讼人之间权利义务分担有意见，不涉及对方当事人利益的，未上诉的同一方当事人为被上诉人，对方当事人依原审诉讼地位列明；（三）上诉对双方当事人之间以及共同诉讼人之间权利义务承担有意见的，未提起上诉的其他当事人均为被上诉人。</w:t>
      </w:r>
    </w:p>
    <w:p w14:paraId="55627905">
      <w:pPr>
        <w:pStyle w:val="2"/>
        <w:keepNext/>
        <w:keepLines/>
        <w:pageBreakBefore w:val="0"/>
        <w:widowControl w:val="0"/>
        <w:kinsoku/>
        <w:wordWrap/>
        <w:overflowPunct/>
        <w:topLinePunct w:val="0"/>
        <w:autoSpaceDE/>
        <w:autoSpaceDN/>
        <w:bidi w:val="0"/>
        <w:adjustRightInd/>
        <w:snapToGrid/>
        <w:spacing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（三）在法定期间内提起上诉</w:t>
      </w:r>
    </w:p>
    <w:p w14:paraId="49E513D8">
      <w:pPr>
        <w:spacing w:line="384" w:lineRule="exact"/>
        <w:ind w:firstLine="420"/>
        <w:jc w:val="left"/>
        <w:rPr>
          <w:rFonts w:hint="eastAsia" w:ascii="汉仪书宋二简" w:hAnsi="宋体" w:eastAsia="汉仪书宋二简" w:cs="宋体"/>
          <w:szCs w:val="21"/>
        </w:rPr>
      </w:pPr>
      <w:r>
        <w:rPr>
          <w:rFonts w:hint="eastAsia" w:ascii="汉仪书宋二简" w:hAnsi="宋体" w:eastAsia="汉仪书宋二简" w:cs="宋体"/>
          <w:szCs w:val="21"/>
        </w:rPr>
        <w:t>判决15日，裁定10日。</w:t>
      </w:r>
    </w:p>
    <w:p w14:paraId="78C84D1D">
      <w:pPr>
        <w:spacing w:line="384" w:lineRule="exact"/>
        <w:ind w:firstLine="420"/>
        <w:jc w:val="left"/>
        <w:rPr>
          <w:rFonts w:hint="eastAsia" w:ascii="汉仪书宋二简" w:hAnsi="宋体" w:eastAsia="汉仪书宋二简" w:cs="宋体"/>
          <w:color w:val="0000C7"/>
          <w:szCs w:val="21"/>
          <w:lang w:val="en-US" w:eastAsia="zh-CN"/>
        </w:rPr>
      </w:pPr>
      <w:r>
        <w:rPr>
          <w:rFonts w:hint="eastAsia" w:ascii="汉仪书宋二简" w:hAnsi="宋体" w:eastAsia="汉仪书宋二简" w:cs="宋体"/>
          <w:color w:val="0000C7"/>
          <w:szCs w:val="21"/>
          <w:lang w:val="en-US" w:eastAsia="zh-CN"/>
        </w:rPr>
        <w:t>不同当事人上诉期分别计算</w:t>
      </w:r>
    </w:p>
    <w:p w14:paraId="6BE2A09C">
      <w:pPr>
        <w:spacing w:line="384" w:lineRule="exact"/>
        <w:ind w:firstLine="420"/>
        <w:jc w:val="left"/>
        <w:rPr>
          <w:rFonts w:hint="default" w:ascii="汉仪书宋二简" w:hAnsi="宋体" w:eastAsia="汉仪书宋二简" w:cs="宋体"/>
          <w:color w:val="0000C7"/>
          <w:szCs w:val="21"/>
          <w:lang w:val="en-US" w:eastAsia="zh-CN"/>
        </w:rPr>
      </w:pPr>
      <w:r>
        <w:rPr>
          <w:rFonts w:hint="eastAsia" w:ascii="汉仪书宋二简" w:hAnsi="宋体" w:eastAsia="汉仪书宋二简" w:cs="宋体"/>
          <w:color w:val="0000C7"/>
          <w:szCs w:val="21"/>
          <w:lang w:val="en-US" w:eastAsia="zh-CN"/>
        </w:rPr>
        <w:t>一审判决生效于最后一个上诉期届满</w:t>
      </w:r>
    </w:p>
    <w:p w14:paraId="2CDE01D8">
      <w:pPr>
        <w:pStyle w:val="2"/>
        <w:keepNext/>
        <w:keepLines/>
        <w:pageBreakBefore w:val="0"/>
        <w:widowControl w:val="0"/>
        <w:kinsoku/>
        <w:wordWrap/>
        <w:overflowPunct/>
        <w:topLinePunct w:val="0"/>
        <w:autoSpaceDE/>
        <w:autoSpaceDN/>
        <w:bidi w:val="0"/>
        <w:adjustRightInd/>
        <w:snapToGrid/>
        <w:spacing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（四）必须提交上诉状</w:t>
      </w:r>
    </w:p>
    <w:p w14:paraId="79FD4C2D">
      <w:pPr>
        <w:spacing w:line="384" w:lineRule="exact"/>
        <w:ind w:firstLine="420"/>
        <w:jc w:val="left"/>
        <w:rPr>
          <w:rFonts w:ascii="宋体" w:hAnsi="宋体" w:eastAsia="汉仪书宋二简" w:cs="宋体"/>
          <w:color w:val="000000"/>
          <w:szCs w:val="21"/>
        </w:rPr>
      </w:pPr>
      <w:r>
        <w:rPr>
          <w:rFonts w:hint="eastAsia" w:ascii="宋体" w:hAnsi="宋体" w:eastAsia="汉仪书宋二简" w:cs="宋体"/>
          <w:color w:val="000000"/>
          <w:szCs w:val="21"/>
          <w:lang w:val="en-US" w:eastAsia="zh-CN"/>
        </w:rPr>
        <w:t>不能口头上诉</w:t>
      </w:r>
      <w:r>
        <w:rPr>
          <w:rFonts w:hint="eastAsia" w:ascii="宋体" w:hAnsi="宋体" w:eastAsia="汉仪书宋二简" w:cs="宋体"/>
          <w:color w:val="000000"/>
          <w:szCs w:val="21"/>
        </w:rPr>
        <w:t>。</w:t>
      </w:r>
    </w:p>
    <w:p w14:paraId="77EB3934">
      <w:pPr>
        <w:spacing w:line="384" w:lineRule="exact"/>
        <w:ind w:firstLine="420"/>
        <w:jc w:val="left"/>
        <w:rPr>
          <w:rFonts w:ascii="仿宋" w:hAnsi="仿宋" w:eastAsia="楷体" w:cs="宋体"/>
          <w:bCs/>
          <w:color w:val="000000"/>
          <w:szCs w:val="21"/>
        </w:rPr>
      </w:pPr>
      <w:r>
        <w:rPr>
          <w:rFonts w:hint="eastAsia" w:ascii="宋体" w:hAnsi="宋体" w:eastAsia="汉仪粗黑简" w:cs="宋体"/>
          <w:bCs/>
          <w:color w:val="FF0000"/>
          <w:szCs w:val="21"/>
        </w:rPr>
        <w:t>特别提醒：</w:t>
      </w:r>
      <w:r>
        <w:rPr>
          <w:rFonts w:hint="eastAsia" w:ascii="仿宋" w:hAnsi="仿宋" w:eastAsia="楷体" w:cs="宋体"/>
          <w:bCs/>
          <w:color w:val="000000"/>
          <w:szCs w:val="21"/>
        </w:rPr>
        <w:t>一审法院对当事人</w:t>
      </w:r>
      <w:r>
        <w:rPr>
          <w:rFonts w:hint="eastAsia" w:ascii="仿宋" w:hAnsi="仿宋" w:eastAsia="楷体" w:cs="宋体"/>
          <w:bCs/>
          <w:color w:val="0000C7"/>
          <w:szCs w:val="21"/>
        </w:rPr>
        <w:t>的上诉不进行审查，上诉的立案审查权为第二审法院所享有</w:t>
      </w:r>
      <w:r>
        <w:rPr>
          <w:rFonts w:hint="eastAsia" w:ascii="仿宋" w:hAnsi="仿宋" w:eastAsia="楷体" w:cs="宋体"/>
          <w:bCs/>
          <w:color w:val="000000"/>
          <w:szCs w:val="21"/>
        </w:rPr>
        <w:t>。</w:t>
      </w:r>
    </w:p>
    <w:p w14:paraId="5A15DCFA">
      <w:pPr>
        <w:spacing w:line="384" w:lineRule="exact"/>
        <w:jc w:val="left"/>
        <w:rPr>
          <w:rFonts w:hint="default" w:ascii="汉仪书宋二简" w:eastAsia="汉仪书宋二简"/>
          <w:lang w:val="en-US" w:eastAsia="zh-CN"/>
        </w:rPr>
      </w:pPr>
      <w:r>
        <w:rPr>
          <w:rFonts w:hint="eastAsia" w:ascii="汉仪书宋二简" w:eastAsia="汉仪书宋二简"/>
          <w:lang w:val="en-US" w:eastAsia="zh-CN"/>
        </w:rPr>
        <w:t xml:space="preserve">    上诉利益：如果一审诉讼请求全部支持  没有上诉利益</w:t>
      </w:r>
    </w:p>
    <w:p w14:paraId="23A31E99">
      <w:pPr>
        <w:spacing w:line="384" w:lineRule="exact"/>
        <w:jc w:val="left"/>
        <w:rPr>
          <w:rFonts w:ascii="汉仪书宋二简" w:eastAsia="汉仪书宋二简"/>
        </w:rPr>
      </w:pPr>
      <w:r>
        <w:rPr>
          <w:rFonts w:hint="eastAsia" w:ascii="汉仪大宋简" w:hAnsi="汉仪大宋简" w:eastAsia="汉仪大宋简" w:cs="汉仪大宋简"/>
          <w:bCs/>
          <w:color w:val="auto"/>
          <w:sz w:val="26"/>
          <w:szCs w:val="24"/>
        </w:rPr>
        <w:t>二、上诉案件的审理</w:t>
      </w:r>
    </w:p>
    <w:p w14:paraId="749017E9">
      <w:pPr>
        <w:spacing w:line="384" w:lineRule="exact"/>
        <w:ind w:firstLine="312" w:firstLineChars="130"/>
        <w:rPr>
          <w:rFonts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（一）审判组织：由审判员组成的合议庭审理</w:t>
      </w:r>
    </w:p>
    <w:p w14:paraId="7DC9AF10">
      <w:pPr>
        <w:spacing w:line="384" w:lineRule="exact"/>
        <w:ind w:firstLine="420" w:firstLineChars="200"/>
        <w:rPr>
          <w:rFonts w:ascii="汉仪书宋二简" w:eastAsia="汉仪书宋二简"/>
        </w:rPr>
      </w:pPr>
      <w:r>
        <w:rPr>
          <w:rFonts w:hint="eastAsia" w:ascii="汉仪书宋二简" w:eastAsia="汉仪粗黑简"/>
          <w:bCs/>
          <w:color w:val="B00824"/>
        </w:rPr>
        <w:t>例外：</w:t>
      </w:r>
      <w:r>
        <w:rPr>
          <w:rFonts w:hint="eastAsia" w:ascii="汉仪书宋二简" w:eastAsia="汉仪书宋二简"/>
        </w:rPr>
        <w:t>中级法院对</w:t>
      </w:r>
      <w:r>
        <w:rPr>
          <w:rFonts w:hint="eastAsia" w:ascii="汉仪书宋二简" w:eastAsia="汉仪中黑简"/>
          <w:color w:val="B00824"/>
        </w:rPr>
        <w:t>第一审适用简易程序审结</w:t>
      </w:r>
      <w:r>
        <w:rPr>
          <w:rFonts w:hint="eastAsia" w:ascii="汉仪书宋二简" w:eastAsia="汉仪书宋二简"/>
        </w:rPr>
        <w:t>或者</w:t>
      </w:r>
      <w:r>
        <w:rPr>
          <w:rFonts w:hint="eastAsia" w:ascii="汉仪书宋二简" w:eastAsia="汉仪中黑简"/>
          <w:color w:val="B00824"/>
        </w:rPr>
        <w:t>不服裁定提起上诉</w:t>
      </w:r>
      <w:r>
        <w:rPr>
          <w:rFonts w:hint="eastAsia" w:ascii="汉仪书宋二简" w:eastAsia="汉仪书宋二简"/>
        </w:rPr>
        <w:t>的第二审民事案件，</w:t>
      </w:r>
      <w:r>
        <w:rPr>
          <w:rFonts w:hint="eastAsia" w:ascii="汉仪书宋二简" w:eastAsia="汉仪中黑简"/>
          <w:color w:val="B00824"/>
        </w:rPr>
        <w:t>事实清楚、权利义务关系明确</w:t>
      </w:r>
      <w:r>
        <w:rPr>
          <w:rFonts w:hint="eastAsia" w:ascii="汉仪书宋二简" w:eastAsia="汉仪书宋二简"/>
        </w:rPr>
        <w:t>的，经</w:t>
      </w:r>
      <w:r>
        <w:rPr>
          <w:rFonts w:hint="eastAsia" w:ascii="汉仪书宋二简" w:eastAsia="汉仪中黑简"/>
          <w:color w:val="B00824"/>
        </w:rPr>
        <w:t>双方当事人同意</w:t>
      </w:r>
      <w:r>
        <w:rPr>
          <w:rFonts w:hint="eastAsia" w:ascii="汉仪书宋二简" w:eastAsia="汉仪书宋二简"/>
        </w:rPr>
        <w:t>，可以由审判员一人独任审理。</w:t>
      </w:r>
    </w:p>
    <w:p w14:paraId="55AE2656">
      <w:pPr>
        <w:spacing w:line="384" w:lineRule="exact"/>
        <w:ind w:firstLine="312" w:firstLineChars="130"/>
        <w:rPr>
          <w:rFonts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（二）二审程序的审理范围</w:t>
      </w:r>
    </w:p>
    <w:p w14:paraId="37EC1CA9">
      <w:pPr>
        <w:spacing w:line="384" w:lineRule="exact"/>
        <w:ind w:firstLine="420" w:firstLineChars="200"/>
        <w:rPr>
          <w:rFonts w:hint="eastAsia" w:ascii="汉仪书宋二简" w:eastAsia="汉仪书宋二简"/>
          <w:lang w:eastAsia="zh-CN"/>
        </w:rPr>
      </w:pPr>
      <w:r>
        <w:rPr>
          <w:rFonts w:hint="eastAsia" w:ascii="汉仪书宋二简" w:eastAsia="汉仪书宋二简"/>
          <w:lang w:val="en-US" w:eastAsia="zh-CN"/>
        </w:rPr>
        <w:t>1.</w:t>
      </w:r>
      <w:r>
        <w:rPr>
          <w:rFonts w:hint="eastAsia" w:ascii="汉仪书宋二简" w:eastAsia="汉仪书宋二简"/>
        </w:rPr>
        <w:t>二审法院“应当对上诉请求的有关事实和适用法律进行审查”</w:t>
      </w:r>
      <w:r>
        <w:rPr>
          <w:rFonts w:hint="eastAsia" w:ascii="汉仪书宋二简" w:eastAsia="汉仪书宋二简"/>
          <w:lang w:eastAsia="zh-CN"/>
        </w:rPr>
        <w:t>（</w:t>
      </w:r>
      <w:r>
        <w:rPr>
          <w:rFonts w:hint="eastAsia" w:ascii="汉仪书宋二简" w:eastAsia="汉仪书宋二简"/>
          <w:color w:val="0000FF"/>
          <w:lang w:val="en-US" w:eastAsia="zh-CN"/>
        </w:rPr>
        <w:t>有限审查</w:t>
      </w:r>
      <w:r>
        <w:rPr>
          <w:rFonts w:hint="eastAsia" w:ascii="汉仪书宋二简" w:eastAsia="汉仪书宋二简"/>
          <w:lang w:eastAsia="zh-CN"/>
        </w:rPr>
        <w:t>）</w:t>
      </w:r>
    </w:p>
    <w:p w14:paraId="4C57DFAE">
      <w:pPr>
        <w:spacing w:line="384" w:lineRule="exact"/>
        <w:ind w:firstLine="420" w:firstLineChars="200"/>
        <w:rPr>
          <w:rFonts w:hint="eastAsia" w:ascii="汉仪书宋二简" w:eastAsia="汉仪书宋二简"/>
          <w:lang w:eastAsia="zh-CN"/>
        </w:rPr>
      </w:pPr>
      <w:r>
        <w:rPr>
          <w:rFonts w:hint="eastAsia" w:ascii="汉仪书宋二简" w:eastAsia="汉仪书宋二简"/>
          <w:color w:val="0000FF"/>
          <w:lang w:val="en-US" w:eastAsia="zh-CN"/>
        </w:rPr>
        <w:t>2.</w:t>
      </w:r>
      <w:r>
        <w:rPr>
          <w:rFonts w:hint="eastAsia" w:ascii="汉仪书宋二简" w:eastAsia="汉仪书宋二简"/>
          <w:color w:val="0000FF"/>
        </w:rPr>
        <w:t>只有一审判决违反法律禁止性规定，或者损害国家利益社会公共利益、他人合法权益的，二审才可依职权进行审</w:t>
      </w:r>
      <w:r>
        <w:rPr>
          <w:rFonts w:hint="eastAsia" w:ascii="汉仪书宋二简" w:eastAsia="汉仪书宋二简"/>
        </w:rPr>
        <w:t>理。</w:t>
      </w:r>
      <w:r>
        <w:rPr>
          <w:rFonts w:hint="eastAsia" w:ascii="汉仪书宋二简" w:eastAsia="汉仪书宋二简"/>
          <w:lang w:eastAsia="zh-CN"/>
        </w:rPr>
        <w:t>（</w:t>
      </w:r>
      <w:r>
        <w:rPr>
          <w:rFonts w:hint="eastAsia" w:ascii="汉仪书宋二简" w:eastAsia="汉仪书宋二简"/>
          <w:color w:val="0000FF"/>
          <w:lang w:val="en-US" w:eastAsia="zh-CN"/>
        </w:rPr>
        <w:t>突破有限审查</w:t>
      </w:r>
      <w:r>
        <w:rPr>
          <w:rFonts w:hint="eastAsia" w:ascii="汉仪书宋二简" w:eastAsia="汉仪书宋二简"/>
          <w:lang w:eastAsia="zh-CN"/>
        </w:rPr>
        <w:t>）</w:t>
      </w:r>
    </w:p>
    <w:p w14:paraId="2C767833">
      <w:pPr>
        <w:spacing w:line="384" w:lineRule="exact"/>
        <w:ind w:firstLine="420" w:firstLineChars="200"/>
        <w:rPr>
          <w:rFonts w:hint="eastAsia" w:ascii="汉仪书宋二简" w:eastAsia="汉仪书宋二简"/>
          <w:lang w:eastAsia="zh-CN"/>
        </w:rPr>
      </w:pPr>
      <w:r>
        <w:rPr>
          <w:rFonts w:hint="eastAsia" w:ascii="汉仪书宋二简" w:eastAsia="汉仪书宋二简"/>
        </w:rPr>
        <w:t>为了尽量平衡当事人的处分权与二审纠错之间的紧张或冲突，2015年《民诉法解释》第321条第2款规定，只有一审判决违反法律禁止性规定，或者损害国家利益社会公共利益、他人合法权益的，二审才可依职权进行审理。该款意在限定例外的适用空间：只有违反法律禁止性规定以及损害案外人利益的，才可突破上诉请求的拘束。由此不难得出推论，如果原审裁判的错误仅涉及双方权利义务的或者违反的是法律许可性、倡导性规定，只要当事人未合法提起上诉请求改判或撤销，二审法院不予审理裁判。</w:t>
      </w:r>
    </w:p>
    <w:p w14:paraId="0D059B26">
      <w:pPr>
        <w:spacing w:line="384" w:lineRule="exact"/>
        <w:ind w:firstLine="420" w:firstLineChars="200"/>
        <w:rPr>
          <w:rFonts w:hint="eastAsia" w:ascii="汉仪书宋二简" w:eastAsia="汉仪书宋二简"/>
          <w:lang w:val="en-US" w:eastAsia="zh-CN"/>
        </w:rPr>
      </w:pPr>
      <w:r>
        <w:rPr>
          <w:rFonts w:hint="eastAsia" w:ascii="汉仪书宋二简" w:eastAsia="汉仪书宋二简"/>
          <w:lang w:val="en-US" w:eastAsia="zh-CN"/>
        </w:rPr>
        <w:t>3.</w:t>
      </w:r>
      <w:r>
        <w:rPr>
          <w:rFonts w:hint="eastAsia" w:ascii="汉仪书宋二简" w:eastAsia="汉仪书宋二简"/>
        </w:rPr>
        <w:t>禁止上诉不利变更”是指，在只有一方当事人提起上诉的情况下，二</w:t>
      </w:r>
      <w:r>
        <w:rPr>
          <w:rFonts w:hint="eastAsia" w:ascii="汉仪书宋二简" w:eastAsia="汉仪书宋二简"/>
          <w:color w:val="0000FF"/>
        </w:rPr>
        <w:t>审法院不能超出上诉人的上诉请求范围对该当事人作出比一审判决更不利的判决</w:t>
      </w:r>
      <w:r>
        <w:rPr>
          <w:rFonts w:hint="eastAsia" w:ascii="汉仪书宋二简" w:eastAsia="汉仪书宋二简"/>
        </w:rPr>
        <w:t>。</w:t>
      </w:r>
      <w:r>
        <w:rPr>
          <w:rFonts w:hint="eastAsia" w:ascii="汉仪书宋二简" w:eastAsia="汉仪书宋二简"/>
          <w:lang w:val="en-US" w:eastAsia="zh-CN"/>
        </w:rPr>
        <w:t xml:space="preserve"> 除非可以突破有限审查情形，可以对上诉人不利变更</w:t>
      </w:r>
    </w:p>
    <w:p w14:paraId="55696D7A">
      <w:pPr>
        <w:spacing w:line="384" w:lineRule="exact"/>
        <w:ind w:firstLine="420" w:firstLineChars="200"/>
        <w:rPr>
          <w:rFonts w:hint="eastAsia" w:ascii="汉仪书宋二简" w:eastAsia="汉仪书宋二简"/>
        </w:rPr>
      </w:pPr>
      <w:r>
        <w:rPr>
          <w:rFonts w:hint="eastAsia" w:ascii="汉仪书宋二简" w:eastAsia="汉仪书宋二简"/>
          <w:lang w:val="en-US" w:eastAsia="zh-CN"/>
        </w:rPr>
        <w:t>4.</w:t>
      </w:r>
      <w:r>
        <w:rPr>
          <w:rFonts w:hint="eastAsia" w:ascii="汉仪书宋二简" w:eastAsia="汉仪书宋二简"/>
        </w:rPr>
        <w:t>二审法院可以就原审原告增加的诉讼请求或者原审被告提出的反诉进行调解，并根据需要制作调解书。调解不成的，二审法院只能告知当事人另行起诉而不得直接判决。如果各方当事人均同意由二审法院对新诉讼请求一并审理，即同意放弃审级利益的，二审法院也可以一并裁判</w:t>
      </w:r>
      <w:r>
        <w:rPr>
          <w:rFonts w:hint="eastAsia" w:ascii="汉仪书宋二简" w:eastAsia="汉仪书宋二简"/>
          <w:lang w:eastAsia="zh-CN"/>
        </w:rPr>
        <w:t>（</w:t>
      </w:r>
      <w:r>
        <w:rPr>
          <w:rFonts w:hint="eastAsia" w:ascii="汉仪书宋二简" w:eastAsia="汉仪书宋二简"/>
          <w:color w:val="0000FF"/>
          <w:lang w:val="en-US" w:eastAsia="zh-CN"/>
        </w:rPr>
        <w:t>程序利益可以放弃</w:t>
      </w:r>
      <w:r>
        <w:rPr>
          <w:rFonts w:hint="eastAsia" w:ascii="汉仪书宋二简" w:eastAsia="汉仪书宋二简"/>
          <w:lang w:eastAsia="zh-CN"/>
        </w:rPr>
        <w:t>）</w:t>
      </w:r>
      <w:r>
        <w:rPr>
          <w:rFonts w:hint="eastAsia" w:ascii="汉仪书宋二简" w:eastAsia="汉仪书宋二简"/>
        </w:rPr>
        <w:t>。</w:t>
      </w:r>
    </w:p>
    <w:p w14:paraId="34865AC8">
      <w:pPr>
        <w:spacing w:line="384" w:lineRule="exact"/>
        <w:ind w:firstLine="420" w:firstLineChars="200"/>
        <w:rPr>
          <w:rFonts w:hint="default" w:ascii="汉仪书宋二简" w:eastAsia="汉仪书宋二简"/>
          <w:color w:val="0000FF"/>
          <w:lang w:val="en-US" w:eastAsia="zh-CN"/>
        </w:rPr>
      </w:pPr>
      <w:r>
        <w:rPr>
          <w:rFonts w:hint="eastAsia" w:ascii="汉仪书宋二简" w:eastAsia="汉仪书宋二简"/>
          <w:color w:val="0000FF"/>
          <w:lang w:val="en-US" w:eastAsia="zh-CN"/>
        </w:rPr>
        <w:t>变更诉讼请求是一种特殊的增加</w:t>
      </w:r>
    </w:p>
    <w:p w14:paraId="600EE23D">
      <w:pPr>
        <w:spacing w:line="384" w:lineRule="exact"/>
        <w:ind w:firstLine="420" w:firstLineChars="200"/>
        <w:rPr>
          <w:rFonts w:ascii="汉仪书宋二简" w:eastAsia="汉仪书宋二简"/>
        </w:rPr>
      </w:pPr>
      <w:r>
        <w:rPr>
          <w:rFonts w:hint="eastAsia" w:ascii="汉仪书宋二简" w:eastAsia="汉仪书宋二简"/>
          <w:lang w:val="en-US" w:eastAsia="zh-CN"/>
        </w:rPr>
        <w:t>5.</w:t>
      </w:r>
      <w:r>
        <w:rPr>
          <w:rFonts w:hint="eastAsia" w:ascii="汉仪书宋二简" w:eastAsia="汉仪书宋二简"/>
        </w:rPr>
        <w:t>二审法院对于一审程序违法或错误的</w:t>
      </w:r>
      <w:r>
        <w:rPr>
          <w:rFonts w:hint="eastAsia" w:ascii="汉仪书宋二简" w:eastAsia="汉仪书宋二简"/>
          <w:color w:val="0000FF"/>
        </w:rPr>
        <w:t>纠正不受当事人上诉请求理由的限制</w:t>
      </w:r>
      <w:r>
        <w:rPr>
          <w:rFonts w:hint="eastAsia" w:ascii="汉仪书宋二简" w:eastAsia="汉仪书宋二简"/>
        </w:rPr>
        <w:t>，可依职权审查及作出裁定。例如，二审法院认为依法不应由法院受理的，</w:t>
      </w:r>
      <w:r>
        <w:rPr>
          <w:rFonts w:hint="eastAsia" w:ascii="汉仪书宋二简" w:eastAsia="汉仪书宋二简"/>
          <w:color w:val="0000FF"/>
        </w:rPr>
        <w:t>可以直接裁定撤销原裁判，驳回起诉</w:t>
      </w:r>
      <w:r>
        <w:rPr>
          <w:rFonts w:hint="eastAsia" w:ascii="汉仪书宋二简" w:eastAsia="汉仪书宋二简"/>
        </w:rPr>
        <w:t>。</w:t>
      </w:r>
    </w:p>
    <w:p w14:paraId="378C7A18">
      <w:pPr>
        <w:spacing w:line="384" w:lineRule="exact"/>
        <w:ind w:firstLine="312" w:firstLineChars="130"/>
        <w:rPr>
          <w:rFonts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（三）审理方式</w:t>
      </w:r>
    </w:p>
    <w:p w14:paraId="060EE07C">
      <w:pPr>
        <w:spacing w:line="384" w:lineRule="exact"/>
        <w:ind w:firstLine="408" w:firstLineChars="200"/>
        <w:rPr>
          <w:rFonts w:ascii="汉仪书宋二简" w:eastAsia="汉仪书宋二简"/>
          <w:spacing w:val="-3"/>
        </w:rPr>
      </w:pPr>
      <w:r>
        <w:rPr>
          <w:rFonts w:hint="eastAsia" w:ascii="汉仪书宋二简" w:eastAsia="汉仪书宋二简"/>
          <w:spacing w:val="-3"/>
        </w:rPr>
        <w:t>以开庭审理为原则，开庭审理既可以在本院进行，也可以到案件发生地或原审法院所在地进行。</w:t>
      </w:r>
    </w:p>
    <w:p w14:paraId="26C51AA4">
      <w:pPr>
        <w:spacing w:line="384" w:lineRule="exact"/>
        <w:ind w:firstLine="420" w:firstLineChars="200"/>
        <w:rPr>
          <w:rFonts w:hint="default" w:ascii="汉仪书宋二简" w:eastAsia="汉仪书宋二简"/>
          <w:color w:val="0000FF"/>
          <w:lang w:val="en-US" w:eastAsia="zh-CN"/>
        </w:rPr>
      </w:pPr>
      <w:r>
        <w:rPr>
          <w:rFonts w:hint="eastAsia" w:ascii="汉仪书宋二简" w:eastAsia="汉仪书宋二简"/>
          <w:color w:val="0000FF"/>
          <w:lang w:val="en-US" w:eastAsia="zh-CN"/>
        </w:rPr>
        <w:t>一审必须开庭</w:t>
      </w:r>
    </w:p>
    <w:p w14:paraId="7C6058FC">
      <w:pPr>
        <w:spacing w:line="384" w:lineRule="exact"/>
        <w:ind w:firstLine="420" w:firstLineChars="200"/>
        <w:rPr>
          <w:rFonts w:ascii="汉仪书宋二简" w:eastAsia="汉仪书宋二简"/>
        </w:rPr>
      </w:pPr>
      <w:r>
        <w:rPr>
          <w:rFonts w:hint="eastAsia" w:ascii="汉仪书宋二简" w:eastAsia="汉仪书宋二简"/>
        </w:rPr>
        <w:t>在特殊情况下，经合议庭阅卷和调查、询问当事人，对没有提出新的事实、证据或者理由的上诉案件，合议庭认为不需要开庭审理的，二审法院也可以不开庭审理。</w:t>
      </w:r>
    </w:p>
    <w:p w14:paraId="333D00CC">
      <w:pPr>
        <w:spacing w:line="384" w:lineRule="exact"/>
        <w:ind w:firstLine="420" w:firstLineChars="200"/>
        <w:rPr>
          <w:rFonts w:ascii="汉仪书宋二简" w:eastAsia="汉仪书宋二简"/>
        </w:rPr>
      </w:pPr>
      <w:r>
        <w:rPr>
          <w:rFonts w:hint="eastAsia" w:ascii="汉仪书宋二简" w:eastAsia="汉仪书宋二简"/>
        </w:rPr>
        <w:t>二审法院不开庭审理的案件包括：</w:t>
      </w:r>
    </w:p>
    <w:p w14:paraId="0C04235B">
      <w:pPr>
        <w:spacing w:line="384" w:lineRule="exact"/>
        <w:ind w:left="420"/>
        <w:rPr>
          <w:rFonts w:ascii="汉仪书宋二简" w:eastAsia="汉仪书宋二简"/>
        </w:rPr>
      </w:pPr>
      <w:r>
        <w:rPr>
          <w:rFonts w:hint="eastAsia" w:ascii="汉仪书宋二简" w:eastAsia="汉仪书宋二简"/>
        </w:rPr>
        <w:t>1．不服不予受理、驳回起诉和管辖权异议裁定的</w:t>
      </w:r>
    </w:p>
    <w:p w14:paraId="4375325D">
      <w:pPr>
        <w:spacing w:line="384" w:lineRule="exact"/>
        <w:ind w:left="420"/>
        <w:rPr>
          <w:rFonts w:ascii="汉仪书宋二简" w:eastAsia="汉仪书宋二简"/>
        </w:rPr>
      </w:pPr>
      <w:r>
        <w:rPr>
          <w:rFonts w:hint="eastAsia" w:ascii="汉仪书宋二简" w:eastAsia="汉仪书宋二简"/>
        </w:rPr>
        <w:t>2．当事人提出的上诉请求明显不能成立的</w:t>
      </w:r>
    </w:p>
    <w:p w14:paraId="0F0A547F">
      <w:pPr>
        <w:spacing w:line="384" w:lineRule="exact"/>
        <w:ind w:left="420"/>
        <w:rPr>
          <w:rFonts w:ascii="汉仪书宋二简" w:eastAsia="汉仪书宋二简"/>
        </w:rPr>
      </w:pPr>
      <w:r>
        <w:rPr>
          <w:rFonts w:hint="eastAsia" w:ascii="汉仪书宋二简" w:eastAsia="汉仪书宋二简"/>
        </w:rPr>
        <w:t>3．原判决、裁定认定事实清楚、但适用法律错误的</w:t>
      </w:r>
    </w:p>
    <w:p w14:paraId="7B74DB34">
      <w:pPr>
        <w:spacing w:line="384" w:lineRule="exact"/>
        <w:ind w:left="420"/>
        <w:rPr>
          <w:rFonts w:ascii="汉仪书宋二简" w:eastAsia="汉仪书宋二简"/>
        </w:rPr>
      </w:pPr>
      <w:r>
        <w:rPr>
          <w:rFonts w:hint="eastAsia" w:ascii="汉仪书宋二简" w:eastAsia="汉仪书宋二简"/>
        </w:rPr>
        <w:t>4．原判决严重违反法定程序，需要发回重审的</w:t>
      </w:r>
    </w:p>
    <w:p w14:paraId="21CD0C05">
      <w:pPr>
        <w:spacing w:line="384" w:lineRule="exact"/>
        <w:ind w:firstLine="422" w:firstLineChars="200"/>
        <w:rPr>
          <w:rFonts w:ascii="汉仪书宋二简" w:eastAsia="汉仪书宋二简" w:cs="Times New Roman"/>
          <w:b/>
        </w:rPr>
      </w:pPr>
    </w:p>
    <w:p w14:paraId="4484B4FA">
      <w:pPr>
        <w:spacing w:line="384" w:lineRule="exact"/>
        <w:jc w:val="left"/>
        <w:rPr>
          <w:rFonts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三、上诉案件的调解</w:t>
      </w:r>
    </w:p>
    <w:p w14:paraId="70F3ABF4">
      <w:pPr>
        <w:spacing w:line="384" w:lineRule="exact"/>
        <w:ind w:firstLine="422" w:firstLineChars="200"/>
        <w:rPr>
          <w:rFonts w:ascii="汉仪书宋二简" w:eastAsia="汉仪书宋二简"/>
          <w:b/>
        </w:rPr>
      </w:pPr>
    </w:p>
    <w:p w14:paraId="7EE31546">
      <w:pPr>
        <w:spacing w:line="384" w:lineRule="exact"/>
        <w:ind w:firstLine="312" w:firstLineChars="130"/>
        <w:rPr>
          <w:rFonts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（一）二审法院的调解</w:t>
      </w:r>
    </w:p>
    <w:p w14:paraId="1AFA10F8">
      <w:pPr>
        <w:spacing w:line="384" w:lineRule="exact"/>
        <w:ind w:firstLine="420" w:firstLineChars="200"/>
        <w:rPr>
          <w:rFonts w:hint="eastAsia" w:ascii="汉仪书宋二简" w:eastAsia="汉仪书宋二简"/>
          <w:lang w:eastAsia="zh-CN"/>
        </w:rPr>
      </w:pPr>
      <w:r>
        <w:rPr>
          <w:rFonts w:hint="eastAsia" w:ascii="汉仪书宋二简" w:eastAsia="汉仪书宋二简"/>
        </w:rPr>
        <w:t>二审法院审理上诉案件调解达成协议，应当制作调解书。调解书经上诉人、被上诉人双方签收后发生法律效力。</w:t>
      </w:r>
      <w:r>
        <w:rPr>
          <w:rFonts w:hint="eastAsia" w:ascii="汉仪书宋二简" w:eastAsia="汉仪书宋二简"/>
          <w:lang w:eastAsia="zh-CN"/>
        </w:rPr>
        <w:t>（</w:t>
      </w:r>
      <w:r>
        <w:rPr>
          <w:rFonts w:hint="eastAsia" w:ascii="汉仪书宋二简" w:eastAsia="汉仪书宋二简"/>
          <w:color w:val="0000FF"/>
          <w:lang w:val="en-US" w:eastAsia="zh-CN"/>
        </w:rPr>
        <w:t>一审原则制作调解书  不需要执行依据的也可不制作调解书  二审必须制作调解书</w:t>
      </w:r>
      <w:r>
        <w:rPr>
          <w:rFonts w:hint="eastAsia" w:ascii="汉仪书宋二简" w:eastAsia="汉仪书宋二简"/>
          <w:lang w:eastAsia="zh-CN"/>
        </w:rPr>
        <w:t>）</w:t>
      </w:r>
    </w:p>
    <w:p w14:paraId="6BC352A5">
      <w:pPr>
        <w:spacing w:line="384" w:lineRule="exact"/>
        <w:ind w:firstLine="420" w:firstLineChars="200"/>
        <w:rPr>
          <w:rFonts w:ascii="汉仪书宋二简" w:eastAsia="汉仪书宋二简"/>
        </w:rPr>
      </w:pPr>
      <w:r>
        <w:rPr>
          <w:rFonts w:hint="eastAsia" w:ascii="汉仪书宋二简" w:eastAsia="汉仪书宋二简"/>
        </w:rPr>
        <w:t>调解书送达当事人后，一审判决视为撤销</w:t>
      </w:r>
      <w:r>
        <w:rPr>
          <w:rFonts w:hint="eastAsia" w:ascii="汉仪书宋二简" w:eastAsia="汉仪书宋二简"/>
          <w:lang w:eastAsia="zh-CN"/>
        </w:rPr>
        <w:t>（</w:t>
      </w:r>
      <w:r>
        <w:rPr>
          <w:rFonts w:hint="eastAsia" w:ascii="汉仪书宋二简" w:eastAsia="汉仪书宋二简"/>
          <w:color w:val="0000FF"/>
          <w:lang w:val="en-US" w:eastAsia="zh-CN"/>
        </w:rPr>
        <w:t>不需要裁定撤销</w:t>
      </w:r>
      <w:r>
        <w:rPr>
          <w:rFonts w:hint="eastAsia" w:ascii="汉仪书宋二简" w:eastAsia="汉仪书宋二简"/>
          <w:lang w:eastAsia="zh-CN"/>
        </w:rPr>
        <w:t>）</w:t>
      </w:r>
      <w:r>
        <w:rPr>
          <w:rFonts w:hint="eastAsia" w:ascii="汉仪书宋二简" w:eastAsia="汉仪书宋二简"/>
        </w:rPr>
        <w:t>。</w:t>
      </w:r>
    </w:p>
    <w:p w14:paraId="7A307F3A">
      <w:pPr>
        <w:spacing w:line="384" w:lineRule="exact"/>
        <w:ind w:firstLine="420" w:firstLineChars="200"/>
        <w:rPr>
          <w:rFonts w:ascii="楷体" w:hAnsi="楷体" w:eastAsia="楷体" w:cs="仿宋"/>
        </w:rPr>
      </w:pPr>
    </w:p>
    <w:p w14:paraId="02BEDCE9">
      <w:pPr>
        <w:spacing w:line="384" w:lineRule="exact"/>
        <w:ind w:firstLine="312" w:firstLineChars="130"/>
        <w:rPr>
          <w:rFonts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（二）二审中特殊情形的调解适用</w:t>
      </w:r>
    </w:p>
    <w:p w14:paraId="11DF0D7D">
      <w:pPr>
        <w:spacing w:line="384" w:lineRule="exact"/>
        <w:ind w:firstLine="420"/>
        <w:jc w:val="left"/>
        <w:rPr>
          <w:rFonts w:hint="eastAsia" w:ascii="宋体" w:hAnsi="宋体" w:eastAsia="汉仪书宋二简" w:cs="宋体"/>
          <w:color w:val="0000C7"/>
          <w:szCs w:val="21"/>
          <w:lang w:val="en-US" w:eastAsia="zh-CN"/>
        </w:rPr>
      </w:pPr>
      <w:r>
        <w:rPr>
          <w:rFonts w:hint="eastAsia" w:ascii="宋体" w:hAnsi="宋体" w:eastAsia="汉仪书宋二简" w:cs="宋体"/>
          <w:color w:val="0000C7"/>
          <w:szCs w:val="21"/>
          <w:lang w:val="en-US" w:eastAsia="zh-CN"/>
        </w:rPr>
        <w:t>调解不成 谁出错谁负责 法院错调解不成发回重审  当事人错调解不成另行起诉</w:t>
      </w:r>
    </w:p>
    <w:p w14:paraId="13B8EC50">
      <w:pPr>
        <w:spacing w:line="384" w:lineRule="exact"/>
        <w:ind w:firstLine="420" w:firstLineChars="200"/>
        <w:rPr>
          <w:rFonts w:ascii="汉仪书宋二简" w:eastAsia="汉仪书宋二简" w:cs="仿宋"/>
        </w:rPr>
      </w:pPr>
      <w:r>
        <w:rPr>
          <w:rFonts w:hint="eastAsia" w:ascii="宋体" w:hAnsi="宋体" w:eastAsia="汉仪书宋二简" w:cs="宋体"/>
          <w:color w:val="0000C7"/>
          <w:szCs w:val="21"/>
          <w:lang w:val="en-US" w:eastAsia="zh-CN"/>
        </w:rPr>
        <w:t>眼瞎式低级错误不能在二审中一并裁判</w:t>
      </w:r>
    </w:p>
    <w:tbl>
      <w:tblPr>
        <w:tblStyle w:val="6"/>
        <w:tblW w:w="8505"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2175"/>
        <w:gridCol w:w="4057"/>
        <w:gridCol w:w="2273"/>
      </w:tblGrid>
      <w:tr w14:paraId="2278D95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75" w:type="dxa"/>
            <w:noWrap w:val="0"/>
            <w:vAlign w:val="center"/>
          </w:tcPr>
          <w:p w14:paraId="32923DC4">
            <w:pPr>
              <w:pStyle w:val="3"/>
              <w:spacing w:before="42" w:beforeLines="10" w:after="42" w:afterLines="10" w:line="280" w:lineRule="exact"/>
              <w:jc w:val="center"/>
              <w:rPr>
                <w:rFonts w:ascii="汉仪中黑简" w:hAnsi="宋体" w:eastAsia="汉仪中黑简" w:cs="宋体"/>
                <w:bCs/>
                <w:szCs w:val="20"/>
              </w:rPr>
            </w:pPr>
            <w:r>
              <w:rPr>
                <w:rFonts w:hint="eastAsia" w:ascii="汉仪中黑简" w:hAnsi="宋体" w:eastAsia="汉仪中黑简" w:cs="宋体"/>
                <w:bCs/>
                <w:szCs w:val="20"/>
              </w:rPr>
              <w:t>调解不成的处理措施</w:t>
            </w:r>
          </w:p>
        </w:tc>
        <w:tc>
          <w:tcPr>
            <w:tcW w:w="4057" w:type="dxa"/>
            <w:noWrap w:val="0"/>
            <w:vAlign w:val="center"/>
          </w:tcPr>
          <w:p w14:paraId="7582FACE">
            <w:pPr>
              <w:pStyle w:val="3"/>
              <w:spacing w:before="42" w:beforeLines="10" w:after="42" w:afterLines="10" w:line="280" w:lineRule="exact"/>
              <w:jc w:val="center"/>
              <w:rPr>
                <w:rFonts w:ascii="汉仪中黑简" w:hAnsi="宋体" w:eastAsia="汉仪中黑简" w:cs="宋体"/>
                <w:bCs/>
                <w:szCs w:val="20"/>
              </w:rPr>
            </w:pPr>
            <w:r>
              <w:rPr>
                <w:rFonts w:hint="eastAsia" w:ascii="汉仪中黑简" w:hAnsi="宋体" w:eastAsia="汉仪中黑简" w:cs="宋体"/>
                <w:bCs/>
                <w:szCs w:val="20"/>
              </w:rPr>
              <w:t>适用情形</w:t>
            </w:r>
          </w:p>
        </w:tc>
        <w:tc>
          <w:tcPr>
            <w:tcW w:w="2273" w:type="dxa"/>
            <w:noWrap w:val="0"/>
            <w:vAlign w:val="center"/>
          </w:tcPr>
          <w:p w14:paraId="5FF2B055">
            <w:pPr>
              <w:pStyle w:val="3"/>
              <w:spacing w:before="42" w:beforeLines="10" w:after="42" w:afterLines="10" w:line="280" w:lineRule="exact"/>
              <w:jc w:val="center"/>
              <w:rPr>
                <w:rFonts w:ascii="汉仪中黑简" w:hAnsi="宋体" w:eastAsia="汉仪中黑简" w:cs="宋体"/>
                <w:bCs/>
                <w:szCs w:val="20"/>
              </w:rPr>
            </w:pPr>
            <w:r>
              <w:rPr>
                <w:rFonts w:hint="eastAsia" w:ascii="汉仪中黑简" w:hAnsi="宋体" w:eastAsia="汉仪中黑简" w:cs="宋体"/>
                <w:bCs/>
                <w:szCs w:val="20"/>
              </w:rPr>
              <w:t>二审法院能否一并裁判</w:t>
            </w:r>
          </w:p>
        </w:tc>
      </w:tr>
      <w:tr w14:paraId="31A1CAD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75" w:type="dxa"/>
            <w:vMerge w:val="restart"/>
            <w:noWrap w:val="0"/>
            <w:vAlign w:val="center"/>
          </w:tcPr>
          <w:p w14:paraId="6260243D">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发回重审</w:t>
            </w:r>
          </w:p>
        </w:tc>
        <w:tc>
          <w:tcPr>
            <w:tcW w:w="4057" w:type="dxa"/>
            <w:noWrap w:val="0"/>
            <w:vAlign w:val="center"/>
          </w:tcPr>
          <w:p w14:paraId="6F81400F">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一审判决遗漏诉讼请求</w:t>
            </w:r>
          </w:p>
        </w:tc>
        <w:tc>
          <w:tcPr>
            <w:tcW w:w="2273" w:type="dxa"/>
            <w:vMerge w:val="restart"/>
            <w:noWrap w:val="0"/>
            <w:vAlign w:val="center"/>
          </w:tcPr>
          <w:p w14:paraId="63B23065">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不可以一并裁判</w:t>
            </w:r>
          </w:p>
        </w:tc>
      </w:tr>
      <w:tr w14:paraId="1981388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75" w:type="dxa"/>
            <w:vMerge w:val="continue"/>
            <w:noWrap w:val="0"/>
            <w:vAlign w:val="center"/>
          </w:tcPr>
          <w:p w14:paraId="59F23ADA">
            <w:pPr>
              <w:spacing w:before="42" w:beforeLines="10" w:after="42" w:afterLines="10" w:line="280" w:lineRule="exact"/>
              <w:rPr>
                <w:rFonts w:ascii="汉仪书宋一简" w:hAnsi="Times New Roman" w:eastAsia="汉仪书宋一简" w:cs="Times New Roman"/>
                <w:kern w:val="0"/>
                <w:sz w:val="20"/>
                <w:szCs w:val="20"/>
              </w:rPr>
            </w:pPr>
          </w:p>
        </w:tc>
        <w:tc>
          <w:tcPr>
            <w:tcW w:w="4057" w:type="dxa"/>
            <w:noWrap w:val="0"/>
            <w:vAlign w:val="center"/>
          </w:tcPr>
          <w:p w14:paraId="251CDF23">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一审程序遗漏必须参加诉讼的当事人或者有独立请求权第三人</w:t>
            </w:r>
          </w:p>
        </w:tc>
        <w:tc>
          <w:tcPr>
            <w:tcW w:w="2273" w:type="dxa"/>
            <w:vMerge w:val="continue"/>
            <w:noWrap w:val="0"/>
            <w:vAlign w:val="center"/>
          </w:tcPr>
          <w:p w14:paraId="6CA9861F">
            <w:pPr>
              <w:spacing w:before="42" w:beforeLines="10" w:after="42" w:afterLines="10" w:line="280" w:lineRule="exact"/>
              <w:rPr>
                <w:rFonts w:ascii="汉仪书宋一简" w:hAnsi="Times New Roman" w:eastAsia="汉仪书宋一简" w:cs="Times New Roman"/>
                <w:kern w:val="0"/>
                <w:sz w:val="20"/>
                <w:szCs w:val="20"/>
              </w:rPr>
            </w:pPr>
          </w:p>
        </w:tc>
      </w:tr>
      <w:tr w14:paraId="02B5BDF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75" w:type="dxa"/>
            <w:vMerge w:val="continue"/>
            <w:noWrap w:val="0"/>
            <w:vAlign w:val="center"/>
          </w:tcPr>
          <w:p w14:paraId="785834D3">
            <w:pPr>
              <w:spacing w:before="42" w:beforeLines="10" w:after="42" w:afterLines="10" w:line="280" w:lineRule="exact"/>
              <w:rPr>
                <w:rFonts w:ascii="汉仪书宋一简" w:hAnsi="Times New Roman" w:eastAsia="汉仪书宋一简" w:cs="Times New Roman"/>
                <w:kern w:val="0"/>
                <w:sz w:val="20"/>
                <w:szCs w:val="20"/>
              </w:rPr>
            </w:pPr>
          </w:p>
        </w:tc>
        <w:tc>
          <w:tcPr>
            <w:tcW w:w="4057" w:type="dxa"/>
            <w:noWrap w:val="0"/>
            <w:vAlign w:val="center"/>
          </w:tcPr>
          <w:p w14:paraId="2141688A">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一审判决不准离婚的案件，第二审法院认为应当判决离婚</w:t>
            </w:r>
          </w:p>
        </w:tc>
        <w:tc>
          <w:tcPr>
            <w:tcW w:w="2273" w:type="dxa"/>
            <w:vMerge w:val="restart"/>
            <w:noWrap w:val="0"/>
            <w:vAlign w:val="center"/>
          </w:tcPr>
          <w:p w14:paraId="2195BB1F">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当事人同意可以</w:t>
            </w:r>
          </w:p>
          <w:p w14:paraId="13786932">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一并裁判</w:t>
            </w:r>
          </w:p>
        </w:tc>
      </w:tr>
      <w:tr w14:paraId="4514118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75" w:type="dxa"/>
            <w:noWrap w:val="0"/>
            <w:vAlign w:val="center"/>
          </w:tcPr>
          <w:p w14:paraId="09EF10EF">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告知另行起诉</w:t>
            </w:r>
          </w:p>
        </w:tc>
        <w:tc>
          <w:tcPr>
            <w:tcW w:w="4057" w:type="dxa"/>
            <w:noWrap w:val="0"/>
            <w:vAlign w:val="center"/>
          </w:tcPr>
          <w:p w14:paraId="339EE473">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原审原告增加独立的诉讼请求或者原审被告提出反诉</w:t>
            </w:r>
          </w:p>
        </w:tc>
        <w:tc>
          <w:tcPr>
            <w:tcW w:w="2273" w:type="dxa"/>
            <w:vMerge w:val="continue"/>
            <w:noWrap w:val="0"/>
            <w:vAlign w:val="center"/>
          </w:tcPr>
          <w:p w14:paraId="240A75B1">
            <w:pPr>
              <w:spacing w:before="42" w:beforeLines="10" w:after="42" w:afterLines="10" w:line="280" w:lineRule="exact"/>
              <w:rPr>
                <w:rFonts w:ascii="汉仪书宋一简" w:hAnsi="Times New Roman" w:eastAsia="汉仪书宋一简" w:cs="Times New Roman"/>
                <w:kern w:val="0"/>
                <w:sz w:val="20"/>
                <w:szCs w:val="20"/>
              </w:rPr>
            </w:pPr>
          </w:p>
        </w:tc>
      </w:tr>
    </w:tbl>
    <w:p w14:paraId="27770873">
      <w:pPr>
        <w:spacing w:before="42" w:beforeLines="10" w:after="42" w:afterLines="10" w:line="280" w:lineRule="exact"/>
        <w:rPr>
          <w:rFonts w:hint="default" w:ascii="汉仪书宋一简" w:hAnsi="Times New Roman" w:eastAsia="汉仪书宋一简" w:cs="Times New Roman"/>
          <w:color w:val="0000FF"/>
          <w:kern w:val="0"/>
          <w:sz w:val="20"/>
          <w:szCs w:val="20"/>
          <w:lang w:val="en-US" w:eastAsia="zh-CN"/>
        </w:rPr>
      </w:pPr>
      <w:r>
        <w:rPr>
          <w:rFonts w:hint="eastAsia" w:ascii="汉仪书宋一简" w:hAnsi="Times New Roman" w:eastAsia="汉仪书宋一简" w:cs="Times New Roman"/>
          <w:color w:val="0000FF"/>
          <w:kern w:val="0"/>
          <w:sz w:val="20"/>
          <w:szCs w:val="20"/>
          <w:lang w:val="en-US" w:eastAsia="zh-CN"/>
        </w:rPr>
        <w:t>普通共同诉讼  告知另行起诉</w:t>
      </w:r>
    </w:p>
    <w:p w14:paraId="0F82AE2E">
      <w:pPr>
        <w:spacing w:line="384" w:lineRule="exact"/>
        <w:jc w:val="left"/>
        <w:rPr>
          <w:rFonts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lang w:val="en-US" w:eastAsia="zh-CN"/>
        </w:rPr>
        <w:t>四、</w:t>
      </w:r>
      <w:r>
        <w:rPr>
          <w:rFonts w:hint="eastAsia" w:ascii="汉仪大宋简" w:hAnsi="汉仪大宋简" w:eastAsia="汉仪大宋简" w:cs="汉仪大宋简"/>
          <w:bCs/>
          <w:color w:val="auto"/>
          <w:sz w:val="26"/>
          <w:szCs w:val="24"/>
        </w:rPr>
        <w:t>上诉的撤回</w:t>
      </w:r>
    </w:p>
    <w:p w14:paraId="6D99EFB3">
      <w:pPr>
        <w:spacing w:line="280" w:lineRule="exact"/>
        <w:ind w:firstLine="420" w:firstLineChars="200"/>
        <w:rPr>
          <w:rFonts w:ascii="汉仪书宋二简" w:eastAsia="汉仪书宋二简"/>
        </w:rPr>
      </w:pPr>
    </w:p>
    <w:p w14:paraId="2662E9F0">
      <w:pPr>
        <w:pStyle w:val="2"/>
        <w:keepNext/>
        <w:keepLines/>
        <w:pageBreakBefore w:val="0"/>
        <w:widowControl w:val="0"/>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（一）撤回上诉的条件</w:t>
      </w:r>
    </w:p>
    <w:p w14:paraId="7DEB8622">
      <w:pPr>
        <w:spacing w:line="384" w:lineRule="exact"/>
        <w:ind w:firstLine="420"/>
        <w:jc w:val="left"/>
        <w:rPr>
          <w:rFonts w:ascii="汉仪书宋二简" w:hAnsi="宋体" w:eastAsia="汉仪书宋二简" w:cs="宋体"/>
          <w:szCs w:val="21"/>
        </w:rPr>
      </w:pPr>
      <w:r>
        <w:rPr>
          <w:rFonts w:hint="eastAsia" w:ascii="汉仪书宋二简" w:hAnsi="宋体" w:eastAsia="汉仪书宋二简" w:cs="宋体"/>
          <w:szCs w:val="21"/>
        </w:rPr>
        <w:t>1．申请撤回上诉的主体：上诉人、上诉人的法定代理人</w:t>
      </w:r>
    </w:p>
    <w:p w14:paraId="53F14B92">
      <w:pPr>
        <w:spacing w:line="384" w:lineRule="exact"/>
        <w:ind w:firstLine="420"/>
        <w:jc w:val="left"/>
        <w:rPr>
          <w:rFonts w:ascii="汉仪书宋二简" w:hAnsi="宋体" w:eastAsia="汉仪书宋二简" w:cs="宋体"/>
          <w:szCs w:val="21"/>
        </w:rPr>
      </w:pPr>
      <w:r>
        <w:rPr>
          <w:rFonts w:hint="eastAsia" w:ascii="汉仪书宋二简" w:hAnsi="宋体" w:eastAsia="汉仪书宋二简" w:cs="宋体"/>
          <w:szCs w:val="21"/>
        </w:rPr>
        <w:t>2．申请撤回上诉的时间：第二审判决宣告前提出</w:t>
      </w:r>
    </w:p>
    <w:p w14:paraId="353316E3">
      <w:pPr>
        <w:spacing w:line="384" w:lineRule="exact"/>
        <w:ind w:firstLine="420"/>
        <w:jc w:val="left"/>
        <w:rPr>
          <w:rFonts w:ascii="汉仪书宋二简" w:hAnsi="宋体" w:eastAsia="汉仪书宋二简" w:cs="宋体"/>
          <w:szCs w:val="21"/>
        </w:rPr>
      </w:pPr>
      <w:r>
        <w:rPr>
          <w:rFonts w:hint="eastAsia" w:ascii="汉仪书宋二简" w:hAnsi="宋体" w:eastAsia="汉仪书宋二简" w:cs="宋体"/>
          <w:szCs w:val="21"/>
        </w:rPr>
        <w:t>3．撤回上诉必须</w:t>
      </w:r>
      <w:r>
        <w:rPr>
          <w:rFonts w:hint="eastAsia" w:ascii="汉仪书宋二简" w:hAnsi="宋体" w:eastAsia="汉仪书宋二简" w:cs="宋体"/>
          <w:color w:val="0000C7"/>
          <w:szCs w:val="21"/>
        </w:rPr>
        <w:t>取得第二审法院同意</w:t>
      </w:r>
      <w:r>
        <w:rPr>
          <w:rFonts w:hint="eastAsia" w:ascii="汉仪书宋二简" w:hAnsi="宋体" w:eastAsia="汉仪书宋二简" w:cs="宋体"/>
          <w:szCs w:val="21"/>
        </w:rPr>
        <w:t>。</w:t>
      </w:r>
    </w:p>
    <w:p w14:paraId="5E89F4CD">
      <w:pPr>
        <w:pStyle w:val="2"/>
        <w:keepNext/>
        <w:keepLines/>
        <w:pageBreakBefore w:val="0"/>
        <w:widowControl w:val="0"/>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（二）撤回上诉的法律后果</w:t>
      </w:r>
    </w:p>
    <w:p w14:paraId="43B4BB84">
      <w:pPr>
        <w:spacing w:line="384" w:lineRule="exact"/>
        <w:ind w:firstLine="420"/>
        <w:jc w:val="left"/>
        <w:rPr>
          <w:rFonts w:ascii="汉仪书宋二简" w:hAnsi="宋体" w:eastAsia="汉仪书宋二简" w:cs="宋体"/>
          <w:szCs w:val="21"/>
        </w:rPr>
      </w:pPr>
      <w:r>
        <w:rPr>
          <w:rFonts w:hint="eastAsia" w:ascii="汉仪书宋二简" w:hAnsi="宋体" w:eastAsia="汉仪书宋二简" w:cs="宋体"/>
          <w:szCs w:val="21"/>
        </w:rPr>
        <w:t>1．如果对方当事人未上诉，第二审程序终结；</w:t>
      </w:r>
    </w:p>
    <w:p w14:paraId="1784FA42">
      <w:pPr>
        <w:spacing w:line="384" w:lineRule="exact"/>
        <w:ind w:firstLine="420"/>
        <w:jc w:val="left"/>
        <w:rPr>
          <w:rFonts w:hint="default" w:ascii="汉仪书宋二简" w:hAnsi="宋体" w:eastAsia="汉仪书宋二简" w:cs="宋体"/>
          <w:color w:val="0000C7"/>
          <w:szCs w:val="21"/>
          <w:lang w:val="en-US" w:eastAsia="zh-CN"/>
        </w:rPr>
      </w:pPr>
      <w:r>
        <w:rPr>
          <w:rFonts w:hint="eastAsia" w:ascii="汉仪书宋二简" w:hAnsi="宋体" w:eastAsia="汉仪书宋二简" w:cs="宋体"/>
          <w:szCs w:val="21"/>
        </w:rPr>
        <w:t>2．如果</w:t>
      </w:r>
      <w:r>
        <w:rPr>
          <w:rFonts w:hint="eastAsia" w:ascii="汉仪书宋二简" w:hAnsi="宋体" w:eastAsia="汉仪书宋二简" w:cs="宋体"/>
          <w:color w:val="0000C7"/>
          <w:szCs w:val="21"/>
        </w:rPr>
        <w:t>对方当事人未上诉，第一审裁判生效</w:t>
      </w:r>
      <w:r>
        <w:rPr>
          <w:rFonts w:hint="eastAsia" w:ascii="汉仪书宋二简" w:hAnsi="宋体" w:eastAsia="汉仪书宋二简" w:cs="宋体"/>
          <w:szCs w:val="21"/>
        </w:rPr>
        <w:t>；</w:t>
      </w:r>
      <w:r>
        <w:rPr>
          <w:rFonts w:hint="eastAsia" w:ascii="汉仪书宋二简" w:hAnsi="宋体" w:eastAsia="汉仪书宋二简" w:cs="宋体"/>
          <w:color w:val="0000C7"/>
          <w:szCs w:val="21"/>
          <w:lang w:val="en-US" w:eastAsia="zh-CN"/>
        </w:rPr>
        <w:t>上诉撤回后即使还在上诉期内一审判决也生效</w:t>
      </w:r>
    </w:p>
    <w:p w14:paraId="08AB40F3">
      <w:pPr>
        <w:spacing w:line="384" w:lineRule="exact"/>
        <w:ind w:firstLine="420"/>
        <w:jc w:val="left"/>
        <w:rPr>
          <w:rFonts w:ascii="汉仪书宋二简" w:hAnsi="宋体" w:eastAsia="汉仪书宋二简" w:cs="宋体"/>
          <w:szCs w:val="21"/>
        </w:rPr>
      </w:pPr>
      <w:r>
        <w:rPr>
          <w:rFonts w:hint="eastAsia" w:ascii="汉仪书宋二简" w:hAnsi="宋体" w:eastAsia="汉仪书宋二简" w:cs="宋体"/>
          <w:szCs w:val="21"/>
        </w:rPr>
        <w:t>3．撤回上诉的一方承担第二审上诉费用，减半收取。</w:t>
      </w:r>
    </w:p>
    <w:p w14:paraId="2EA3AC91">
      <w:pPr>
        <w:spacing w:line="384" w:lineRule="exact"/>
        <w:ind w:firstLine="420" w:firstLineChars="200"/>
        <w:rPr>
          <w:rFonts w:hint="eastAsia" w:ascii="仿宋" w:hAnsi="仿宋" w:eastAsia="楷体" w:cs="宋体"/>
          <w:color w:val="000000"/>
          <w:szCs w:val="21"/>
        </w:rPr>
      </w:pPr>
      <w:r>
        <w:rPr>
          <w:rFonts w:hint="eastAsia" w:ascii="宋体" w:hAnsi="宋体" w:eastAsia="汉仪粗黑简" w:cs="宋体"/>
          <w:color w:val="FF0000"/>
          <w:szCs w:val="21"/>
        </w:rPr>
        <w:t>特别提醒：</w:t>
      </w:r>
      <w:r>
        <w:rPr>
          <w:rFonts w:hint="eastAsia" w:ascii="仿宋" w:hAnsi="仿宋" w:eastAsia="楷体" w:cs="宋体"/>
          <w:color w:val="000000"/>
          <w:szCs w:val="21"/>
        </w:rPr>
        <w:t>如果对方当事人上诉，二审程序不会因一方上诉人撤回上诉而终结，二审法院应当审理后作出判决，</w:t>
      </w:r>
      <w:r>
        <w:rPr>
          <w:rFonts w:hint="eastAsia" w:ascii="仿宋" w:hAnsi="仿宋" w:eastAsia="楷体" w:cs="宋体"/>
          <w:color w:val="0000C7"/>
          <w:szCs w:val="21"/>
        </w:rPr>
        <w:t>原则上二审判决应围绕未撤回上诉一方的上诉请求作出</w:t>
      </w:r>
      <w:r>
        <w:rPr>
          <w:rFonts w:hint="eastAsia" w:ascii="仿宋" w:hAnsi="仿宋" w:eastAsia="楷体" w:cs="宋体"/>
          <w:color w:val="000000"/>
          <w:szCs w:val="21"/>
        </w:rPr>
        <w:t>。</w:t>
      </w:r>
    </w:p>
    <w:p w14:paraId="4CB74EE3">
      <w:pPr>
        <w:pStyle w:val="2"/>
        <w:keepNext/>
        <w:keepLines/>
        <w:pageBreakBefore w:val="0"/>
        <w:widowControl w:val="0"/>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（三）二审中撤回起诉</w:t>
      </w:r>
    </w:p>
    <w:p w14:paraId="029FAA8E">
      <w:pPr>
        <w:spacing w:line="384" w:lineRule="exact"/>
        <w:ind w:firstLine="420"/>
        <w:jc w:val="left"/>
        <w:rPr>
          <w:rFonts w:ascii="汉仪书宋二简" w:hAnsi="宋体" w:eastAsia="汉仪书宋二简" w:cs="宋体"/>
          <w:szCs w:val="21"/>
        </w:rPr>
      </w:pPr>
      <w:r>
        <w:rPr>
          <w:rFonts w:hint="eastAsia" w:ascii="汉仪书宋二简" w:hAnsi="宋体" w:eastAsia="汉仪书宋二简" w:cs="宋体"/>
          <w:szCs w:val="21"/>
        </w:rPr>
        <w:t>1．申请主体：原审原告</w:t>
      </w:r>
    </w:p>
    <w:p w14:paraId="58F42FF9">
      <w:pPr>
        <w:spacing w:line="384" w:lineRule="exact"/>
        <w:ind w:firstLine="420"/>
        <w:jc w:val="left"/>
        <w:rPr>
          <w:rFonts w:hint="default" w:ascii="汉仪书宋二简" w:hAnsi="宋体" w:eastAsia="汉仪书宋二简" w:cs="宋体"/>
          <w:color w:val="0000FF"/>
          <w:szCs w:val="21"/>
          <w:lang w:val="en-US" w:eastAsia="zh-CN"/>
        </w:rPr>
      </w:pPr>
      <w:r>
        <w:rPr>
          <w:rFonts w:hint="eastAsia" w:ascii="汉仪书宋二简" w:hAnsi="宋体" w:eastAsia="汉仪书宋二简" w:cs="宋体"/>
          <w:szCs w:val="21"/>
        </w:rPr>
        <w:t>2．适用条件：（1）</w:t>
      </w:r>
      <w:r>
        <w:rPr>
          <w:rFonts w:hint="eastAsia" w:ascii="汉仪书宋二简" w:hAnsi="宋体" w:eastAsia="汉仪书宋二简" w:cs="宋体"/>
          <w:color w:val="0000FF"/>
          <w:szCs w:val="21"/>
        </w:rPr>
        <w:t>经其他当事人同意</w:t>
      </w:r>
      <w:r>
        <w:rPr>
          <w:rFonts w:hint="eastAsia" w:ascii="汉仪书宋二简" w:hAnsi="宋体" w:eastAsia="汉仪书宋二简" w:cs="宋体"/>
          <w:szCs w:val="21"/>
        </w:rPr>
        <w:t>；（2）不损害国家利益、社会公共利益、他人合法权益。</w:t>
      </w:r>
      <w:r>
        <w:rPr>
          <w:rFonts w:hint="eastAsia" w:ascii="汉仪书宋二简" w:eastAsia="汉仪书宋二简" w:cs="宋体"/>
          <w:szCs w:val="21"/>
          <w:lang w:val="en-US" w:eastAsia="zh-CN"/>
        </w:rPr>
        <w:t xml:space="preserve"> </w:t>
      </w:r>
      <w:r>
        <w:rPr>
          <w:rFonts w:hint="eastAsia" w:ascii="汉仪书宋二简" w:eastAsia="汉仪书宋二简" w:cs="宋体"/>
          <w:color w:val="0000FF"/>
          <w:szCs w:val="21"/>
          <w:lang w:val="en-US" w:eastAsia="zh-CN"/>
        </w:rPr>
        <w:t>需要法院审查</w:t>
      </w:r>
    </w:p>
    <w:p w14:paraId="6C580E24">
      <w:pPr>
        <w:spacing w:line="384" w:lineRule="exact"/>
        <w:ind w:firstLine="420"/>
        <w:jc w:val="left"/>
        <w:rPr>
          <w:rFonts w:hint="eastAsia" w:ascii="汉仪书宋二简" w:hAnsi="宋体" w:eastAsia="汉仪书宋二简" w:cs="宋体"/>
          <w:szCs w:val="21"/>
        </w:rPr>
      </w:pPr>
      <w:r>
        <w:rPr>
          <w:rFonts w:hint="eastAsia" w:ascii="汉仪书宋二简" w:hAnsi="宋体" w:eastAsia="汉仪书宋二简" w:cs="宋体"/>
          <w:szCs w:val="21"/>
        </w:rPr>
        <w:t>3．法律后果：（1）法院准许撤诉，应当一并裁定撤销一审裁判</w:t>
      </w:r>
      <w:r>
        <w:rPr>
          <w:rFonts w:hint="eastAsia" w:ascii="汉仪书宋二简" w:hAnsi="宋体" w:eastAsia="汉仪书宋二简" w:cs="宋体"/>
          <w:color w:val="0000C7"/>
          <w:szCs w:val="21"/>
          <w:lang w:eastAsia="zh-CN"/>
        </w:rPr>
        <w:t>（</w:t>
      </w:r>
      <w:r>
        <w:rPr>
          <w:rFonts w:hint="eastAsia" w:ascii="汉仪书宋二简" w:hAnsi="宋体" w:eastAsia="汉仪书宋二简" w:cs="宋体"/>
          <w:color w:val="0000C7"/>
          <w:szCs w:val="21"/>
          <w:lang w:val="en-US" w:eastAsia="zh-CN"/>
        </w:rPr>
        <w:t>无诉则无判</w:t>
      </w:r>
      <w:r>
        <w:rPr>
          <w:rFonts w:hint="eastAsia" w:ascii="汉仪书宋二简" w:hAnsi="宋体" w:eastAsia="汉仪书宋二简" w:cs="宋体"/>
          <w:color w:val="0000C7"/>
          <w:szCs w:val="21"/>
          <w:lang w:eastAsia="zh-CN"/>
        </w:rPr>
        <w:t>）</w:t>
      </w:r>
      <w:r>
        <w:rPr>
          <w:rFonts w:hint="eastAsia" w:ascii="汉仪书宋二简" w:hAnsi="宋体" w:eastAsia="汉仪书宋二简" w:cs="宋体"/>
          <w:szCs w:val="21"/>
        </w:rPr>
        <w:t>；（2）原审原告在第二审程序中撤回起诉</w:t>
      </w:r>
      <w:r>
        <w:rPr>
          <w:rFonts w:hint="eastAsia" w:ascii="汉仪书宋二简" w:hAnsi="宋体" w:eastAsia="汉仪书宋二简" w:cs="宋体"/>
          <w:color w:val="0000C7"/>
          <w:szCs w:val="21"/>
        </w:rPr>
        <w:t>后重复起诉，法院不予受理</w:t>
      </w:r>
      <w:r>
        <w:rPr>
          <w:rFonts w:hint="eastAsia" w:ascii="汉仪书宋二简" w:hAnsi="宋体" w:eastAsia="汉仪书宋二简" w:cs="宋体"/>
          <w:szCs w:val="21"/>
        </w:rPr>
        <w:t>。</w:t>
      </w:r>
    </w:p>
    <w:p w14:paraId="6ED0B031">
      <w:pPr>
        <w:spacing w:line="384" w:lineRule="exact"/>
        <w:ind w:firstLine="420"/>
        <w:jc w:val="left"/>
        <w:rPr>
          <w:rFonts w:hint="eastAsia" w:ascii="汉仪书宋二简" w:hAnsi="宋体" w:eastAsia="汉仪书宋二简" w:cs="宋体"/>
          <w:color w:val="0000C7"/>
          <w:szCs w:val="21"/>
          <w:lang w:val="en-US" w:eastAsia="zh-CN"/>
        </w:rPr>
      </w:pPr>
      <w:r>
        <w:rPr>
          <w:rFonts w:hint="eastAsia" w:ascii="汉仪书宋二简" w:hAnsi="宋体" w:eastAsia="汉仪书宋二简" w:cs="宋体"/>
          <w:color w:val="0000C7"/>
          <w:szCs w:val="21"/>
          <w:lang w:val="en-US" w:eastAsia="zh-CN"/>
        </w:rPr>
        <w:t>二审中达成和解协议，可以要求制作调解书 或者等待对方履行  选择撤回起诉后无法再次起诉</w:t>
      </w:r>
    </w:p>
    <w:p w14:paraId="6F0F9B7E">
      <w:pPr>
        <w:spacing w:line="384" w:lineRule="exact"/>
        <w:ind w:firstLine="420" w:firstLineChars="200"/>
        <w:rPr>
          <w:rFonts w:hint="eastAsia" w:ascii="汉仪书宋二简" w:eastAsia="汉仪书宋二简"/>
        </w:rPr>
      </w:pPr>
      <w:r>
        <w:rPr>
          <w:rFonts w:hint="eastAsia" w:ascii="汉仪中黑简" w:eastAsia="汉仪中黑简"/>
          <w:color w:val="FF0000"/>
        </w:rPr>
        <w:t>《九民纪要》44．【履行期届满后达成的以物抵债协议】：</w:t>
      </w:r>
      <w:r>
        <w:rPr>
          <w:rFonts w:hint="eastAsia" w:ascii="汉仪书宋二简" w:eastAsia="汉仪书宋二简"/>
        </w:rPr>
        <w:t>当事人在一审程序中因达成以物抵债协议申请撤回起诉的，人民法院可予准许。</w:t>
      </w:r>
      <w:r>
        <w:rPr>
          <w:rFonts w:hint="eastAsia" w:ascii="汉仪书宋二简" w:eastAsia="汉仪书宋二简"/>
          <w:color w:val="0000FF"/>
        </w:rPr>
        <w:t>当事人在二审程序中申请撤回上诉的，人民法院应当告知其申请撤回起诉。</w:t>
      </w:r>
      <w:r>
        <w:rPr>
          <w:rFonts w:hint="eastAsia" w:ascii="汉仪书宋二简" w:eastAsia="汉仪书宋二简"/>
        </w:rPr>
        <w:t>当事人申请撤回起诉，经审查不损害国家利益、社会公共利益、他人合法权益的，人民法院可予准许。当事人不申请撤回起诉，请求人民法院出具调解书对以物抵债协议予以确认的，因债务人完全可以立即履行该协议，没有必要由人民法院出具调解书，故人民法院不应准许，同时应当继续对原债权债务关系进行审理。</w:t>
      </w:r>
    </w:p>
    <w:p w14:paraId="0B650550">
      <w:pPr>
        <w:spacing w:line="384" w:lineRule="exact"/>
        <w:ind w:firstLine="420"/>
        <w:jc w:val="left"/>
        <w:rPr>
          <w:rFonts w:hint="eastAsia" w:ascii="汉仪书宋二简" w:hAnsi="宋体" w:eastAsia="汉仪书宋二简" w:cs="宋体"/>
          <w:color w:val="0000C7"/>
          <w:szCs w:val="21"/>
          <w:lang w:val="en-US" w:eastAsia="zh-CN"/>
        </w:rPr>
      </w:pPr>
    </w:p>
    <w:p w14:paraId="7B8C4256">
      <w:pPr>
        <w:spacing w:line="384" w:lineRule="exact"/>
        <w:jc w:val="left"/>
        <w:rPr>
          <w:rFonts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lang w:val="en-US" w:eastAsia="zh-CN"/>
        </w:rPr>
        <w:t>五</w:t>
      </w:r>
      <w:r>
        <w:rPr>
          <w:rFonts w:hint="eastAsia" w:ascii="汉仪大宋简" w:hAnsi="汉仪大宋简" w:eastAsia="汉仪大宋简" w:cs="汉仪大宋简"/>
          <w:bCs/>
          <w:color w:val="auto"/>
          <w:sz w:val="26"/>
          <w:szCs w:val="24"/>
        </w:rPr>
        <w:t>、上诉案件的裁判</w:t>
      </w:r>
    </w:p>
    <w:p w14:paraId="1F1A06A6">
      <w:pPr>
        <w:spacing w:line="384" w:lineRule="exact"/>
        <w:ind w:firstLine="422" w:firstLineChars="200"/>
        <w:rPr>
          <w:rFonts w:ascii="汉仪书宋二简" w:eastAsia="汉仪书宋二简"/>
          <w:b/>
        </w:rPr>
      </w:pPr>
    </w:p>
    <w:p w14:paraId="3DFCF35D">
      <w:pPr>
        <w:pStyle w:val="2"/>
        <w:keepNext/>
        <w:keepLines/>
        <w:pageBreakBefore w:val="0"/>
        <w:widowControl w:val="0"/>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（一）对第一审判决提起上诉的裁判</w:t>
      </w:r>
    </w:p>
    <w:p w14:paraId="2E2CCA96"/>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4850"/>
        <w:gridCol w:w="3655"/>
      </w:tblGrid>
      <w:tr w14:paraId="19379DC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850" w:type="dxa"/>
            <w:noWrap w:val="0"/>
            <w:vAlign w:val="center"/>
          </w:tcPr>
          <w:p w14:paraId="02408170">
            <w:pPr>
              <w:spacing w:before="31" w:beforeLines="10" w:after="62"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适用情形</w:t>
            </w:r>
          </w:p>
        </w:tc>
        <w:tc>
          <w:tcPr>
            <w:tcW w:w="3655" w:type="dxa"/>
            <w:noWrap w:val="0"/>
            <w:vAlign w:val="center"/>
          </w:tcPr>
          <w:p w14:paraId="3B9669A8">
            <w:pPr>
              <w:spacing w:before="31" w:beforeLines="10" w:after="62"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处理方式</w:t>
            </w:r>
          </w:p>
        </w:tc>
      </w:tr>
      <w:tr w14:paraId="073546F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850" w:type="dxa"/>
            <w:noWrap w:val="0"/>
            <w:vAlign w:val="center"/>
          </w:tcPr>
          <w:p w14:paraId="46AFE647">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原判决事实认定清楚、法律适用正确</w:t>
            </w:r>
          </w:p>
        </w:tc>
        <w:tc>
          <w:tcPr>
            <w:tcW w:w="3655" w:type="dxa"/>
            <w:noWrap w:val="0"/>
            <w:vAlign w:val="center"/>
          </w:tcPr>
          <w:p w14:paraId="328274CA">
            <w:pPr>
              <w:spacing w:before="31" w:beforeLines="10" w:after="62" w:afterLines="20" w:line="280" w:lineRule="exact"/>
              <w:rPr>
                <w:rFonts w:hint="eastAsia" w:ascii="汉仪书宋一简" w:hAnsi="Times New Roman" w:eastAsia="汉仪书宋一简" w:cs="Times New Roman"/>
                <w:kern w:val="0"/>
                <w:sz w:val="20"/>
                <w:szCs w:val="20"/>
                <w:lang w:eastAsia="zh-CN"/>
              </w:rPr>
            </w:pPr>
            <w:r>
              <w:rPr>
                <w:rFonts w:hint="eastAsia" w:ascii="汉仪书宋一简" w:hAnsi="Times New Roman" w:eastAsia="汉仪书宋一简" w:cs="Times New Roman"/>
                <w:color w:val="0000C7"/>
                <w:kern w:val="0"/>
                <w:sz w:val="20"/>
                <w:szCs w:val="20"/>
              </w:rPr>
              <w:t>判决</w:t>
            </w:r>
            <w:r>
              <w:rPr>
                <w:rFonts w:hint="eastAsia" w:ascii="汉仪书宋一简" w:hAnsi="Times New Roman" w:eastAsia="汉仪书宋一简" w:cs="Times New Roman"/>
                <w:kern w:val="0"/>
                <w:sz w:val="20"/>
                <w:szCs w:val="20"/>
              </w:rPr>
              <w:t>驳回上诉、维持原判</w:t>
            </w:r>
            <w:r>
              <w:rPr>
                <w:rFonts w:hint="eastAsia" w:ascii="汉仪书宋一简" w:hAnsi="Times New Roman" w:eastAsia="汉仪书宋一简" w:cs="Times New Roman"/>
                <w:kern w:val="0"/>
                <w:sz w:val="20"/>
                <w:szCs w:val="20"/>
                <w:lang w:eastAsia="zh-CN"/>
              </w:rPr>
              <w:t>（</w:t>
            </w:r>
            <w:r>
              <w:rPr>
                <w:rFonts w:hint="eastAsia" w:ascii="汉仪书宋一简" w:hAnsi="Times New Roman" w:eastAsia="汉仪书宋一简" w:cs="Times New Roman"/>
                <w:color w:val="0000C7"/>
                <w:kern w:val="0"/>
                <w:sz w:val="20"/>
                <w:szCs w:val="20"/>
                <w:lang w:val="en-US" w:eastAsia="zh-CN"/>
              </w:rPr>
              <w:t>和刑诉不同</w:t>
            </w:r>
            <w:r>
              <w:rPr>
                <w:rFonts w:hint="eastAsia" w:ascii="汉仪书宋一简" w:hAnsi="Times New Roman" w:eastAsia="汉仪书宋一简" w:cs="Times New Roman"/>
                <w:kern w:val="0"/>
                <w:sz w:val="20"/>
                <w:szCs w:val="20"/>
                <w:lang w:eastAsia="zh-CN"/>
              </w:rPr>
              <w:t>）</w:t>
            </w:r>
          </w:p>
        </w:tc>
      </w:tr>
      <w:tr w14:paraId="754FA62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850" w:type="dxa"/>
            <w:noWrap w:val="0"/>
            <w:vAlign w:val="center"/>
          </w:tcPr>
          <w:p w14:paraId="75D0AF18">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原判决事实认定错误</w:t>
            </w:r>
            <w:r>
              <w:rPr>
                <w:rFonts w:hint="eastAsia" w:ascii="汉仪书宋一简" w:hAnsi="Times New Roman" w:eastAsia="汉仪书宋一简" w:cs="Times New Roman"/>
                <w:color w:val="0000C7"/>
                <w:kern w:val="0"/>
                <w:sz w:val="20"/>
                <w:szCs w:val="20"/>
                <w:lang w:eastAsia="zh-CN"/>
              </w:rPr>
              <w:t>（</w:t>
            </w:r>
            <w:r>
              <w:rPr>
                <w:rFonts w:hint="eastAsia" w:ascii="汉仪书宋一简" w:hAnsi="Times New Roman" w:eastAsia="汉仪书宋一简" w:cs="Times New Roman"/>
                <w:color w:val="0000C7"/>
                <w:kern w:val="0"/>
                <w:sz w:val="20"/>
                <w:szCs w:val="20"/>
                <w:lang w:val="en-US" w:eastAsia="zh-CN"/>
              </w:rPr>
              <w:t>不需要证据了</w:t>
            </w:r>
            <w:r>
              <w:rPr>
                <w:rFonts w:hint="eastAsia" w:ascii="汉仪书宋一简" w:hAnsi="Times New Roman" w:eastAsia="汉仪书宋一简" w:cs="Times New Roman"/>
                <w:color w:val="0000C7"/>
                <w:kern w:val="0"/>
                <w:sz w:val="20"/>
                <w:szCs w:val="20"/>
                <w:lang w:eastAsia="zh-CN"/>
              </w:rPr>
              <w:t>）</w:t>
            </w:r>
            <w:r>
              <w:rPr>
                <w:rFonts w:hint="eastAsia" w:ascii="汉仪书宋一简" w:hAnsi="Times New Roman" w:eastAsia="汉仪书宋一简" w:cs="Times New Roman"/>
                <w:kern w:val="0"/>
                <w:sz w:val="20"/>
                <w:szCs w:val="20"/>
              </w:rPr>
              <w:t>或者法律适用错误</w:t>
            </w:r>
          </w:p>
        </w:tc>
        <w:tc>
          <w:tcPr>
            <w:tcW w:w="3655" w:type="dxa"/>
            <w:vMerge w:val="restart"/>
            <w:noWrap w:val="0"/>
            <w:vAlign w:val="center"/>
          </w:tcPr>
          <w:p w14:paraId="63FAC506">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依法改判、撤销或变更原判决</w:t>
            </w:r>
          </w:p>
        </w:tc>
      </w:tr>
      <w:tr w14:paraId="15260A7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850" w:type="dxa"/>
            <w:noWrap w:val="0"/>
            <w:vAlign w:val="center"/>
          </w:tcPr>
          <w:p w14:paraId="5F72442F">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原判决认定的基本事实不清，二审法院查清后</w:t>
            </w:r>
          </w:p>
        </w:tc>
        <w:tc>
          <w:tcPr>
            <w:tcW w:w="3655" w:type="dxa"/>
            <w:vMerge w:val="continue"/>
            <w:noWrap w:val="0"/>
            <w:vAlign w:val="center"/>
          </w:tcPr>
          <w:p w14:paraId="30BF0DE7">
            <w:pPr>
              <w:spacing w:before="31" w:beforeLines="10" w:after="62" w:afterLines="20" w:line="280" w:lineRule="exact"/>
              <w:rPr>
                <w:rFonts w:ascii="汉仪书宋一简" w:hAnsi="Times New Roman" w:eastAsia="汉仪书宋一简" w:cs="Times New Roman"/>
                <w:kern w:val="0"/>
                <w:sz w:val="20"/>
                <w:szCs w:val="20"/>
              </w:rPr>
            </w:pPr>
          </w:p>
        </w:tc>
      </w:tr>
      <w:tr w14:paraId="29BC88A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850" w:type="dxa"/>
            <w:noWrap w:val="0"/>
            <w:vAlign w:val="center"/>
          </w:tcPr>
          <w:p w14:paraId="3FDD7659">
            <w:pPr>
              <w:spacing w:before="31" w:beforeLines="10" w:after="62" w:afterLines="20" w:line="280" w:lineRule="exact"/>
              <w:rPr>
                <w:rFonts w:hint="eastAsia" w:ascii="汉仪书宋一简" w:hAnsi="Times New Roman" w:eastAsia="汉仪书宋一简" w:cs="Times New Roman"/>
                <w:kern w:val="0"/>
                <w:sz w:val="20"/>
                <w:szCs w:val="20"/>
                <w:lang w:eastAsia="zh-CN"/>
              </w:rPr>
            </w:pPr>
            <w:r>
              <w:rPr>
                <w:rFonts w:hint="eastAsia" w:ascii="汉仪书宋一简" w:hAnsi="Times New Roman" w:eastAsia="汉仪书宋一简" w:cs="Times New Roman"/>
                <w:kern w:val="0"/>
                <w:sz w:val="20"/>
                <w:szCs w:val="20"/>
              </w:rPr>
              <w:t>原判决认定基本事实不清</w:t>
            </w:r>
            <w:r>
              <w:rPr>
                <w:rFonts w:hint="eastAsia" w:ascii="汉仪书宋一简" w:hAnsi="Times New Roman" w:eastAsia="汉仪书宋一简" w:cs="Times New Roman"/>
                <w:color w:val="0000C7"/>
                <w:kern w:val="0"/>
                <w:sz w:val="20"/>
                <w:szCs w:val="20"/>
                <w:lang w:eastAsia="zh-CN"/>
              </w:rPr>
              <w:t>（</w:t>
            </w:r>
            <w:r>
              <w:rPr>
                <w:rFonts w:hint="eastAsia" w:ascii="汉仪书宋一简" w:hAnsi="Times New Roman" w:eastAsia="汉仪书宋一简" w:cs="Times New Roman"/>
                <w:color w:val="0000C7"/>
                <w:kern w:val="0"/>
                <w:sz w:val="20"/>
                <w:szCs w:val="20"/>
                <w:lang w:val="en-US" w:eastAsia="zh-CN"/>
              </w:rPr>
              <w:t>需要证据证明案件事实</w:t>
            </w:r>
            <w:r>
              <w:rPr>
                <w:rFonts w:hint="eastAsia" w:ascii="汉仪书宋一简" w:hAnsi="Times New Roman" w:eastAsia="汉仪书宋一简" w:cs="Times New Roman"/>
                <w:color w:val="0000C7"/>
                <w:kern w:val="0"/>
                <w:sz w:val="20"/>
                <w:szCs w:val="20"/>
                <w:lang w:eastAsia="zh-CN"/>
              </w:rPr>
              <w:t>）</w:t>
            </w:r>
          </w:p>
        </w:tc>
        <w:tc>
          <w:tcPr>
            <w:tcW w:w="3655" w:type="dxa"/>
            <w:vMerge w:val="restart"/>
            <w:noWrap w:val="0"/>
            <w:vAlign w:val="center"/>
          </w:tcPr>
          <w:p w14:paraId="3825CE10">
            <w:pPr>
              <w:spacing w:before="31" w:beforeLines="10" w:after="62" w:afterLines="20" w:line="280" w:lineRule="exact"/>
              <w:rPr>
                <w:rFonts w:hint="eastAsia" w:ascii="汉仪书宋一简" w:hAnsi="Times New Roman" w:eastAsia="汉仪书宋一简" w:cs="Times New Roman"/>
                <w:kern w:val="0"/>
                <w:sz w:val="20"/>
                <w:szCs w:val="20"/>
                <w:lang w:eastAsia="zh-CN"/>
              </w:rPr>
            </w:pPr>
            <w:r>
              <w:rPr>
                <w:rFonts w:hint="eastAsia" w:ascii="汉仪书宋一简" w:hAnsi="Times New Roman" w:eastAsia="汉仪书宋一简" w:cs="Times New Roman"/>
                <w:kern w:val="0"/>
                <w:sz w:val="20"/>
                <w:szCs w:val="20"/>
              </w:rPr>
              <w:t>裁定撤销原判、发回重审</w:t>
            </w:r>
            <w:r>
              <w:rPr>
                <w:rFonts w:hint="eastAsia" w:ascii="汉仪书宋一简" w:hAnsi="Times New Roman" w:eastAsia="汉仪书宋一简" w:cs="Times New Roman"/>
                <w:color w:val="0000FF"/>
                <w:kern w:val="0"/>
                <w:sz w:val="20"/>
                <w:szCs w:val="20"/>
                <w:lang w:eastAsia="zh-CN"/>
              </w:rPr>
              <w:t>（</w:t>
            </w:r>
            <w:r>
              <w:rPr>
                <w:rFonts w:hint="eastAsia" w:ascii="汉仪书宋一简" w:hAnsi="Times New Roman" w:eastAsia="汉仪书宋一简" w:cs="Times New Roman"/>
                <w:color w:val="0000FF"/>
                <w:kern w:val="0"/>
                <w:sz w:val="20"/>
                <w:szCs w:val="20"/>
                <w:lang w:val="en-US" w:eastAsia="zh-CN"/>
              </w:rPr>
              <w:t>只能发回一次 避免踢皮球</w:t>
            </w:r>
            <w:r>
              <w:rPr>
                <w:rFonts w:hint="eastAsia" w:ascii="汉仪书宋一简" w:hAnsi="Times New Roman" w:eastAsia="汉仪书宋一简" w:cs="Times New Roman"/>
                <w:color w:val="0000FF"/>
                <w:kern w:val="0"/>
                <w:sz w:val="20"/>
                <w:szCs w:val="20"/>
                <w:lang w:eastAsia="zh-CN"/>
              </w:rPr>
              <w:t>）</w:t>
            </w:r>
          </w:p>
        </w:tc>
      </w:tr>
      <w:tr w14:paraId="65D1D1C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850" w:type="dxa"/>
            <w:noWrap w:val="0"/>
            <w:vAlign w:val="center"/>
          </w:tcPr>
          <w:p w14:paraId="76DF986B">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原判决遗漏当事人</w:t>
            </w:r>
          </w:p>
        </w:tc>
        <w:tc>
          <w:tcPr>
            <w:tcW w:w="3655" w:type="dxa"/>
            <w:vMerge w:val="continue"/>
            <w:noWrap w:val="0"/>
            <w:vAlign w:val="center"/>
          </w:tcPr>
          <w:p w14:paraId="2B325CC3">
            <w:pPr>
              <w:spacing w:before="31" w:beforeLines="10" w:after="62" w:afterLines="20" w:line="280" w:lineRule="exact"/>
              <w:rPr>
                <w:rFonts w:ascii="汉仪书宋一简" w:hAnsi="Times New Roman" w:eastAsia="汉仪书宋一简" w:cs="Times New Roman"/>
                <w:kern w:val="0"/>
                <w:sz w:val="20"/>
                <w:szCs w:val="20"/>
              </w:rPr>
            </w:pPr>
          </w:p>
        </w:tc>
      </w:tr>
      <w:tr w14:paraId="3ACE98F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850" w:type="dxa"/>
            <w:noWrap w:val="0"/>
            <w:vAlign w:val="center"/>
          </w:tcPr>
          <w:p w14:paraId="3B4F1BE1">
            <w:pPr>
              <w:spacing w:before="31" w:beforeLines="10" w:after="62" w:afterLines="20" w:line="280" w:lineRule="exact"/>
              <w:rPr>
                <w:rFonts w:hint="eastAsia"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原判决严重违反法定程序（审判组织的组成不合法、应当回避的审判人员未回避、无诉讼行为能力人未经法定代理人代为诉讼、违法剥夺当事人辩论权利）</w:t>
            </w:r>
          </w:p>
          <w:p w14:paraId="0634C43A">
            <w:pPr>
              <w:spacing w:before="31" w:beforeLines="10" w:after="62" w:afterLines="20" w:line="280" w:lineRule="exact"/>
              <w:rPr>
                <w:rFonts w:hint="default" w:ascii="汉仪书宋一简" w:hAnsi="Times New Roman" w:eastAsia="汉仪书宋一简" w:cs="Times New Roman"/>
                <w:kern w:val="0"/>
                <w:sz w:val="20"/>
                <w:szCs w:val="20"/>
                <w:lang w:val="en-US" w:eastAsia="zh-CN"/>
              </w:rPr>
            </w:pPr>
          </w:p>
        </w:tc>
        <w:tc>
          <w:tcPr>
            <w:tcW w:w="3655" w:type="dxa"/>
            <w:vMerge w:val="continue"/>
            <w:noWrap w:val="0"/>
            <w:vAlign w:val="center"/>
          </w:tcPr>
          <w:p w14:paraId="239CD1B9">
            <w:pPr>
              <w:spacing w:before="31" w:beforeLines="10" w:after="62" w:afterLines="20" w:line="280" w:lineRule="exact"/>
              <w:rPr>
                <w:rFonts w:ascii="汉仪书宋一简" w:hAnsi="Times New Roman" w:eastAsia="汉仪书宋一简" w:cs="Times New Roman"/>
                <w:kern w:val="0"/>
                <w:sz w:val="20"/>
                <w:szCs w:val="20"/>
              </w:rPr>
            </w:pPr>
          </w:p>
        </w:tc>
      </w:tr>
    </w:tbl>
    <w:p w14:paraId="1ED64620">
      <w:pPr>
        <w:pStyle w:val="2"/>
        <w:keepNext/>
        <w:keepLines/>
        <w:pageBreakBefore w:val="0"/>
        <w:widowControl w:val="0"/>
        <w:kinsoku/>
        <w:wordWrap/>
        <w:overflowPunct/>
        <w:topLinePunct w:val="0"/>
        <w:autoSpaceDE/>
        <w:autoSpaceDN/>
        <w:bidi w:val="0"/>
        <w:adjustRightInd/>
        <w:snapToGrid/>
        <w:spacing w:before="0" w:after="0" w:line="240" w:lineRule="auto"/>
        <w:ind w:firstLine="288" w:firstLineChars="120"/>
        <w:textAlignment w:val="auto"/>
        <w:rPr>
          <w:rFonts w:hint="default" w:ascii="汉仪大宋简" w:hAnsi="汉仪大宋简" w:eastAsia="汉仪大宋简" w:cs="汉仪大宋简"/>
          <w:b w:val="0"/>
          <w:bCs/>
          <w:color w:val="0000FF"/>
          <w:kern w:val="2"/>
          <w:sz w:val="24"/>
          <w:szCs w:val="24"/>
          <w:lang w:val="en-US" w:eastAsia="zh-CN" w:bidi="ar-SA"/>
        </w:rPr>
      </w:pPr>
      <w:r>
        <w:rPr>
          <w:rFonts w:hint="eastAsia" w:ascii="汉仪大宋简" w:hAnsi="汉仪大宋简" w:eastAsia="汉仪大宋简" w:cs="汉仪大宋简"/>
          <w:b w:val="0"/>
          <w:bCs/>
          <w:color w:val="0000FF"/>
          <w:kern w:val="2"/>
          <w:sz w:val="24"/>
          <w:szCs w:val="24"/>
          <w:lang w:val="en-US" w:eastAsia="zh-CN" w:bidi="ar-SA"/>
        </w:rPr>
        <w:t>严重程序违法不需要调解 直接发回</w:t>
      </w:r>
    </w:p>
    <w:p w14:paraId="629B6BC5">
      <w:pPr>
        <w:pStyle w:val="2"/>
        <w:keepNext/>
        <w:keepLines/>
        <w:pageBreakBefore w:val="0"/>
        <w:widowControl w:val="0"/>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（二）对第一审裁定提起上诉的裁定</w:t>
      </w:r>
    </w:p>
    <w:p w14:paraId="45E4D156">
      <w:pPr>
        <w:spacing w:line="384" w:lineRule="exact"/>
        <w:ind w:firstLine="420" w:firstLineChars="200"/>
        <w:rPr>
          <w:rFonts w:ascii="汉仪书宋二简" w:hAnsi="宋体" w:eastAsia="汉仪书宋二简" w:cs="宋体"/>
          <w:bCs/>
          <w:color w:val="000000"/>
          <w:szCs w:val="21"/>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3774"/>
        <w:gridCol w:w="4731"/>
      </w:tblGrid>
      <w:tr w14:paraId="0AA498A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774" w:type="dxa"/>
            <w:noWrap w:val="0"/>
            <w:vAlign w:val="center"/>
          </w:tcPr>
          <w:p w14:paraId="15C09EBF">
            <w:pPr>
              <w:spacing w:before="31" w:beforeLines="10" w:after="62"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适用情形</w:t>
            </w:r>
          </w:p>
        </w:tc>
        <w:tc>
          <w:tcPr>
            <w:tcW w:w="4731" w:type="dxa"/>
            <w:noWrap w:val="0"/>
            <w:vAlign w:val="center"/>
          </w:tcPr>
          <w:p w14:paraId="362809C7">
            <w:pPr>
              <w:spacing w:before="31" w:beforeLines="10" w:after="62" w:afterLines="20" w:line="280" w:lineRule="exact"/>
              <w:jc w:val="center"/>
              <w:rPr>
                <w:rFonts w:ascii="汉仪中黑简" w:hAnsi="Times New Roman" w:eastAsia="汉仪中黑简" w:cs="Times New Roman"/>
                <w:bCs/>
                <w:kern w:val="0"/>
                <w:sz w:val="20"/>
                <w:szCs w:val="20"/>
              </w:rPr>
            </w:pPr>
            <w:r>
              <w:rPr>
                <w:rFonts w:hint="eastAsia" w:ascii="汉仪中黑简" w:hAnsi="Times New Roman" w:eastAsia="汉仪中黑简" w:cs="Times New Roman"/>
                <w:bCs/>
                <w:kern w:val="0"/>
                <w:sz w:val="20"/>
                <w:szCs w:val="20"/>
              </w:rPr>
              <w:t>处理方式</w:t>
            </w:r>
          </w:p>
        </w:tc>
      </w:tr>
      <w:tr w14:paraId="039CE57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774" w:type="dxa"/>
            <w:noWrap w:val="0"/>
            <w:vAlign w:val="center"/>
          </w:tcPr>
          <w:p w14:paraId="5725FC4C">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原裁定事实认定清楚、法律适用正确</w:t>
            </w:r>
          </w:p>
        </w:tc>
        <w:tc>
          <w:tcPr>
            <w:tcW w:w="4731" w:type="dxa"/>
            <w:noWrap w:val="0"/>
            <w:vAlign w:val="center"/>
          </w:tcPr>
          <w:p w14:paraId="49C7CFA9">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color w:val="0000C7"/>
                <w:kern w:val="0"/>
                <w:sz w:val="20"/>
                <w:szCs w:val="20"/>
              </w:rPr>
              <w:t>裁定</w:t>
            </w:r>
            <w:r>
              <w:rPr>
                <w:rFonts w:hint="eastAsia" w:ascii="汉仪书宋一简" w:hAnsi="Times New Roman" w:eastAsia="汉仪书宋一简" w:cs="Times New Roman"/>
                <w:kern w:val="0"/>
                <w:sz w:val="20"/>
                <w:szCs w:val="20"/>
              </w:rPr>
              <w:t>驳回上诉、维持原裁定</w:t>
            </w:r>
          </w:p>
        </w:tc>
      </w:tr>
      <w:tr w14:paraId="7C35042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774" w:type="dxa"/>
            <w:noWrap w:val="0"/>
            <w:vAlign w:val="center"/>
          </w:tcPr>
          <w:p w14:paraId="0F7EFF5B">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不予受理裁定错误</w:t>
            </w:r>
          </w:p>
        </w:tc>
        <w:tc>
          <w:tcPr>
            <w:tcW w:w="4731" w:type="dxa"/>
            <w:noWrap w:val="0"/>
            <w:vAlign w:val="center"/>
          </w:tcPr>
          <w:p w14:paraId="5B5F74BA">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撤销原裁定后指令第一审法院立案</w:t>
            </w:r>
          </w:p>
        </w:tc>
      </w:tr>
      <w:tr w14:paraId="3101D0B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774" w:type="dxa"/>
            <w:noWrap w:val="0"/>
            <w:vAlign w:val="center"/>
          </w:tcPr>
          <w:p w14:paraId="65E56A81">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驳回起诉裁定错误</w:t>
            </w:r>
          </w:p>
        </w:tc>
        <w:tc>
          <w:tcPr>
            <w:tcW w:w="4731" w:type="dxa"/>
            <w:noWrap w:val="0"/>
            <w:vAlign w:val="center"/>
          </w:tcPr>
          <w:p w14:paraId="197BB126">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撤销原裁定后指令第一审法院进行审理</w:t>
            </w:r>
          </w:p>
        </w:tc>
      </w:tr>
      <w:tr w14:paraId="1404BE8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774" w:type="dxa"/>
            <w:noWrap w:val="0"/>
            <w:vAlign w:val="center"/>
          </w:tcPr>
          <w:p w14:paraId="46C554A8">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管辖权异议裁定错误</w:t>
            </w:r>
          </w:p>
        </w:tc>
        <w:tc>
          <w:tcPr>
            <w:tcW w:w="4731" w:type="dxa"/>
            <w:noWrap w:val="0"/>
            <w:vAlign w:val="center"/>
          </w:tcPr>
          <w:p w14:paraId="50FE78BF">
            <w:pPr>
              <w:spacing w:before="31" w:beforeLines="10" w:after="62" w:afterLines="2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撤销原裁定后指令第一审法院继续审理或者移送给有管辖权法院进行审理</w:t>
            </w:r>
          </w:p>
        </w:tc>
      </w:tr>
    </w:tbl>
    <w:p w14:paraId="4A3920DF">
      <w:pPr>
        <w:spacing w:line="384" w:lineRule="exact"/>
        <w:ind w:firstLine="420"/>
        <w:jc w:val="left"/>
        <w:rPr>
          <w:rFonts w:ascii="宋体" w:hAnsi="宋体" w:eastAsia="汉仪书宋二简" w:cs="宋体"/>
          <w:szCs w:val="21"/>
        </w:rPr>
      </w:pPr>
    </w:p>
    <w:p w14:paraId="4E003D9D">
      <w:pPr>
        <w:pStyle w:val="2"/>
        <w:keepNext/>
        <w:keepLines/>
        <w:pageBreakBefore w:val="0"/>
        <w:widowControl w:val="0"/>
        <w:kinsoku/>
        <w:wordWrap/>
        <w:overflowPunct/>
        <w:topLinePunct w:val="0"/>
        <w:autoSpaceDE/>
        <w:autoSpaceDN/>
        <w:bidi w:val="0"/>
        <w:adjustRightInd/>
        <w:snapToGrid/>
        <w:spacing w:before="0" w:after="0" w:line="240" w:lineRule="auto"/>
        <w:ind w:firstLine="288" w:firstLineChars="120"/>
        <w:textAlignment w:val="auto"/>
        <w:rPr>
          <w:rFonts w:hint="eastAsia" w:ascii="汉仪大宋简" w:hAnsi="汉仪大宋简" w:eastAsia="汉仪大宋简" w:cs="汉仪大宋简"/>
          <w:b w:val="0"/>
          <w:bCs/>
          <w:color w:val="auto"/>
          <w:kern w:val="2"/>
          <w:sz w:val="24"/>
          <w:szCs w:val="24"/>
          <w:lang w:val="en-US" w:eastAsia="zh-CN" w:bidi="ar-SA"/>
        </w:rPr>
      </w:pPr>
      <w:r>
        <w:rPr>
          <w:rFonts w:hint="eastAsia" w:ascii="汉仪大宋简" w:hAnsi="汉仪大宋简" w:eastAsia="汉仪大宋简" w:cs="汉仪大宋简"/>
          <w:b w:val="0"/>
          <w:bCs/>
          <w:color w:val="auto"/>
          <w:kern w:val="2"/>
          <w:sz w:val="24"/>
          <w:szCs w:val="24"/>
          <w:lang w:val="en-US" w:eastAsia="zh-CN" w:bidi="ar-SA"/>
        </w:rPr>
        <w:t>（三）第二审裁判的效力</w:t>
      </w:r>
    </w:p>
    <w:p w14:paraId="0EA4A277">
      <w:pPr>
        <w:spacing w:line="384" w:lineRule="exact"/>
        <w:ind w:firstLine="420" w:firstLineChars="200"/>
        <w:jc w:val="left"/>
        <w:rPr>
          <w:rFonts w:ascii="汉仪书宋二简" w:hAnsi="宋体" w:eastAsia="汉仪书宋二简" w:cs="宋体"/>
          <w:color w:val="000000"/>
          <w:szCs w:val="21"/>
        </w:rPr>
      </w:pPr>
      <w:r>
        <w:rPr>
          <w:rFonts w:hint="eastAsia" w:ascii="汉仪书宋二简" w:hAnsi="宋体" w:eastAsia="汉仪书宋二简" w:cs="宋体"/>
          <w:color w:val="000000"/>
          <w:szCs w:val="21"/>
        </w:rPr>
        <w:t>1．不得对裁判再行上诉。</w:t>
      </w:r>
    </w:p>
    <w:p w14:paraId="4EA722AB">
      <w:pPr>
        <w:spacing w:line="384" w:lineRule="exact"/>
        <w:ind w:firstLine="420" w:firstLineChars="200"/>
        <w:jc w:val="left"/>
        <w:rPr>
          <w:rFonts w:ascii="汉仪书宋二简" w:hAnsi="宋体" w:eastAsia="汉仪书宋二简" w:cs="宋体"/>
          <w:color w:val="000000"/>
          <w:szCs w:val="21"/>
        </w:rPr>
      </w:pPr>
      <w:r>
        <w:rPr>
          <w:rFonts w:hint="eastAsia" w:ascii="汉仪书宋二简" w:hAnsi="宋体" w:eastAsia="汉仪书宋二简" w:cs="宋体"/>
          <w:color w:val="000000"/>
          <w:szCs w:val="21"/>
        </w:rPr>
        <w:t>2．</w:t>
      </w:r>
      <w:r>
        <w:rPr>
          <w:rFonts w:hint="eastAsia" w:ascii="汉仪书宋二简" w:hAnsi="宋体" w:eastAsia="汉仪书宋二简" w:cs="宋体"/>
          <w:color w:val="0000FF"/>
          <w:szCs w:val="21"/>
        </w:rPr>
        <w:t>不得重新起诉</w:t>
      </w:r>
      <w:r>
        <w:rPr>
          <w:rFonts w:hint="eastAsia" w:ascii="汉仪书宋二简" w:hAnsi="宋体" w:eastAsia="汉仪书宋二简" w:cs="宋体"/>
          <w:color w:val="000000"/>
          <w:szCs w:val="21"/>
        </w:rPr>
        <w:t>。但是判决不准离婚、调解和好的离婚案件以及判决、调解维持收养关系的案件除外。</w:t>
      </w:r>
    </w:p>
    <w:p w14:paraId="74EBF495">
      <w:pPr>
        <w:spacing w:line="384" w:lineRule="exact"/>
        <w:ind w:firstLine="420" w:firstLineChars="200"/>
        <w:jc w:val="left"/>
        <w:rPr>
          <w:rFonts w:ascii="汉仪书宋二简" w:hAnsi="宋体" w:eastAsia="汉仪书宋二简" w:cs="宋体"/>
          <w:color w:val="000000"/>
          <w:szCs w:val="21"/>
        </w:rPr>
      </w:pPr>
      <w:r>
        <w:rPr>
          <w:rFonts w:hint="eastAsia" w:ascii="汉仪书宋二简" w:hAnsi="宋体" w:eastAsia="汉仪书宋二简" w:cs="宋体"/>
          <w:color w:val="000000"/>
          <w:szCs w:val="21"/>
        </w:rPr>
        <w:t>3．具有给付内容的裁判，有强制执行的效力。</w:t>
      </w:r>
    </w:p>
    <w:p w14:paraId="588275AE">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汉仪书宋二简">
    <w:altName w:val="宋体"/>
    <w:panose1 w:val="02010609000101010101"/>
    <w:charset w:val="86"/>
    <w:family w:val="modern"/>
    <w:pitch w:val="default"/>
    <w:sig w:usb0="00000000" w:usb1="00000000" w:usb2="00000012" w:usb3="00000000" w:csb0="00040000" w:csb1="00000000"/>
  </w:font>
  <w:font w:name="汉仪中黑简">
    <w:altName w:val="微软雅黑"/>
    <w:panose1 w:val="02010609000101010101"/>
    <w:charset w:val="86"/>
    <w:family w:val="modern"/>
    <w:pitch w:val="default"/>
    <w:sig w:usb0="00000000" w:usb1="00000000" w:usb2="00000012"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汉仪粗黑简">
    <w:altName w:val="黑体"/>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汉仪书宋二简">
    <w:altName w:val="宋体"/>
    <w:panose1 w:val="00000000000000000000"/>
    <w:charset w:val="00"/>
    <w:family w:val="auto"/>
    <w:pitch w:val="default"/>
    <w:sig w:usb0="00000000" w:usb1="00000000" w:usb2="00000000" w:usb3="00000000" w:csb0="00000000" w:csb1="00000000"/>
  </w:font>
  <w:font w:name="汉仪大宋简">
    <w:altName w:val="微软雅黑"/>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汉仪书宋一简">
    <w:altName w:val="宋体"/>
    <w:panose1 w:val="02010609000101010101"/>
    <w:charset w:val="86"/>
    <w:family w:val="modern"/>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AC35B"/>
    <w:multiLevelType w:val="singleLevel"/>
    <w:tmpl w:val="AF1AC35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414CA"/>
    <w:rsid w:val="32444535"/>
    <w:rsid w:val="3EDB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kern w:val="2"/>
      <w:sz w:val="21"/>
      <w:szCs w:val="21"/>
      <w:lang w:val="en-US" w:eastAsia="zh-CN" w:bidi="ar-SA"/>
    </w:rPr>
  </w:style>
  <w:style w:type="paragraph" w:styleId="2">
    <w:name w:val="heading 4"/>
    <w:basedOn w:val="1"/>
    <w:next w:val="1"/>
    <w:unhideWhenUsed/>
    <w:qFormat/>
    <w:uiPriority w:val="9"/>
    <w:pPr>
      <w:keepNext/>
      <w:keepLines/>
      <w:tabs>
        <w:tab w:val="left" w:pos="420"/>
      </w:tabs>
      <w:spacing w:line="384" w:lineRule="exact"/>
      <w:jc w:val="left"/>
      <w:outlineLvl w:val="3"/>
    </w:pPr>
    <w:rPr>
      <w:rFonts w:ascii="Calibri Light" w:hAnsi="Calibri Light" w:eastAsia="汉仪大宋简" w:cs="Times New Roman"/>
      <w:bCs/>
      <w:color w:val="000000"/>
      <w:sz w:val="24"/>
      <w:szCs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unhideWhenUsed/>
    <w:qFormat/>
    <w:uiPriority w:val="0"/>
    <w:rPr>
      <w:rFonts w:hAnsi="Courier New" w:cs="Courier New"/>
      <w:kern w:val="0"/>
      <w:sz w:val="20"/>
    </w:rPr>
  </w:style>
  <w:style w:type="paragraph" w:styleId="4">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table" w:styleId="6">
    <w:name w:val="Table Grid"/>
    <w:basedOn w:val="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3"/>
    <w:basedOn w:val="5"/>
    <w:qFormat/>
    <w:uiPriority w:val="0"/>
    <w:pPr>
      <w:widowControl w:val="0"/>
      <w:jc w:val="both"/>
    </w:pPr>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2025-07-06T03:27:11Z</dcterms:created>
  <dc:creator>cuplh</dc:creator>
  <cp:lastModifiedBy>韩富鹏</cp:lastModifiedBy>
  <dcterms:modified xsi:type="dcterms:W3CDTF">2025-07-06T03:39:33Z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2A339212DED84B85A6215E488B4ADA15_12</vt:lpwstr>
  </property>
</Properties>
</file>