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5DE81" w14:textId="1C8C49F3" w:rsidR="002208C4" w:rsidRPr="00356327" w:rsidRDefault="002208C4" w:rsidP="002208C4">
      <w:pPr>
        <w:pStyle w:val="1"/>
        <w:tabs>
          <w:tab w:val="left" w:pos="420"/>
        </w:tabs>
        <w:spacing w:before="0" w:after="0" w:line="240" w:lineRule="exact"/>
        <w:jc w:val="center"/>
        <w:rPr>
          <w:rFonts w:ascii="宋体" w:hAnsi="宋体" w:hint="eastAsia"/>
          <w:bCs w:val="0"/>
          <w:sz w:val="18"/>
          <w:szCs w:val="18"/>
        </w:rPr>
      </w:pPr>
      <w:bookmarkStart w:id="0" w:name="_Toc4844132"/>
      <w:bookmarkStart w:id="1" w:name="_Toc16440"/>
      <w:bookmarkStart w:id="2" w:name="_Toc136521780"/>
      <w:bookmarkStart w:id="3" w:name="_Toc11771"/>
      <w:bookmarkStart w:id="4" w:name="_Toc136521781"/>
      <w:bookmarkStart w:id="5" w:name="_Toc4844145"/>
      <w:bookmarkStart w:id="6" w:name="_Toc136521791"/>
      <w:bookmarkStart w:id="7" w:name="_Toc1234"/>
      <w:r w:rsidRPr="00356327">
        <w:rPr>
          <w:rFonts w:ascii="宋体" w:hAnsi="宋体" w:hint="eastAsia"/>
          <w:bCs w:val="0"/>
          <w:sz w:val="18"/>
          <w:szCs w:val="18"/>
        </w:rPr>
        <w:t>考点4</w:t>
      </w:r>
      <w:r w:rsidRPr="00356327">
        <w:rPr>
          <w:rFonts w:ascii="宋体" w:hAnsi="宋体"/>
          <w:bCs w:val="0"/>
          <w:sz w:val="18"/>
          <w:szCs w:val="18"/>
        </w:rPr>
        <w:t>0</w:t>
      </w:r>
      <w:r w:rsidRPr="00356327">
        <w:rPr>
          <w:rFonts w:ascii="宋体" w:hAnsi="宋体" w:hint="eastAsia"/>
          <w:bCs w:val="0"/>
          <w:sz w:val="18"/>
          <w:szCs w:val="18"/>
        </w:rPr>
        <w:t xml:space="preserve">  与监察法的衔接</w:t>
      </w:r>
      <w:bookmarkEnd w:id="0"/>
      <w:bookmarkEnd w:id="1"/>
      <w:bookmarkEnd w:id="2"/>
      <w:r w:rsidRPr="00356327">
        <w:rPr>
          <w:rFonts w:ascii="宋体" w:hAnsi="宋体" w:cs="宋体" w:hint="eastAsia"/>
          <w:bCs w:val="0"/>
          <w:sz w:val="18"/>
          <w:szCs w:val="18"/>
        </w:rPr>
        <w:t>（</w:t>
      </w:r>
      <w:r>
        <w:rPr>
          <w:rFonts w:ascii="宋体" w:hAnsi="宋体" w:cs="宋体" w:hint="eastAsia"/>
          <w:bCs w:val="0"/>
          <w:sz w:val="18"/>
          <w:szCs w:val="18"/>
        </w:rPr>
        <w:t>08</w:t>
      </w:r>
      <w:r w:rsidRPr="00356327">
        <w:rPr>
          <w:rFonts w:ascii="宋体" w:hAnsi="宋体" w:cs="宋体"/>
          <w:bCs w:val="0"/>
          <w:sz w:val="18"/>
          <w:szCs w:val="18"/>
        </w:rPr>
        <w:t>:</w:t>
      </w:r>
      <w:r>
        <w:rPr>
          <w:rFonts w:ascii="宋体" w:hAnsi="宋体" w:cs="宋体" w:hint="eastAsia"/>
          <w:bCs w:val="0"/>
          <w:sz w:val="18"/>
          <w:szCs w:val="18"/>
        </w:rPr>
        <w:t>45</w:t>
      </w:r>
      <w:r w:rsidRPr="00356327">
        <w:rPr>
          <w:rFonts w:ascii="宋体" w:hAnsi="宋体" w:cs="宋体"/>
          <w:bCs w:val="0"/>
          <w:sz w:val="18"/>
          <w:szCs w:val="18"/>
        </w:rPr>
        <w:t>:00-</w:t>
      </w:r>
      <w:r>
        <w:rPr>
          <w:rFonts w:ascii="宋体" w:hAnsi="宋体" w:cs="宋体" w:hint="eastAsia"/>
          <w:bCs w:val="0"/>
          <w:sz w:val="18"/>
          <w:szCs w:val="18"/>
        </w:rPr>
        <w:t>08</w:t>
      </w:r>
      <w:r w:rsidRPr="00356327">
        <w:rPr>
          <w:rFonts w:ascii="宋体" w:hAnsi="宋体" w:cs="宋体"/>
          <w:bCs w:val="0"/>
          <w:sz w:val="18"/>
          <w:szCs w:val="18"/>
        </w:rPr>
        <w:t>:</w:t>
      </w:r>
      <w:r>
        <w:rPr>
          <w:rFonts w:ascii="宋体" w:hAnsi="宋体" w:cs="宋体" w:hint="eastAsia"/>
          <w:bCs w:val="0"/>
          <w:sz w:val="18"/>
          <w:szCs w:val="18"/>
        </w:rPr>
        <w:t>58</w:t>
      </w:r>
      <w:r w:rsidRPr="00356327">
        <w:rPr>
          <w:rFonts w:ascii="宋体" w:hAnsi="宋体" w:cs="宋体"/>
          <w:bCs w:val="0"/>
          <w:sz w:val="18"/>
          <w:szCs w:val="18"/>
        </w:rPr>
        <w:t>:00）</w:t>
      </w:r>
      <w:r>
        <w:rPr>
          <w:rFonts w:ascii="宋体" w:hAnsi="宋体" w:cs="宋体" w:hint="eastAsia"/>
          <w:bCs w:val="0"/>
          <w:sz w:val="18"/>
          <w:szCs w:val="18"/>
        </w:rPr>
        <w:t>【与考点41一起掌握】</w:t>
      </w:r>
    </w:p>
    <w:p w14:paraId="0D15B3AA" w14:textId="77777777" w:rsidR="002208C4" w:rsidRPr="00356327" w:rsidRDefault="002208C4" w:rsidP="002208C4">
      <w:pPr>
        <w:spacing w:line="240" w:lineRule="exact"/>
        <w:ind w:firstLineChars="200" w:firstLine="360"/>
        <w:rPr>
          <w:rFonts w:ascii="宋体" w:eastAsia="宋体" w:hAnsi="宋体" w:cs="Times New Roman" w:hint="eastAsia"/>
          <w:sz w:val="18"/>
          <w:szCs w:val="18"/>
        </w:rPr>
      </w:pPr>
      <w:r w:rsidRPr="00356327">
        <w:rPr>
          <w:rFonts w:ascii="宋体" w:eastAsia="宋体" w:hAnsi="宋体" w:cs="Times New Roman" w:hint="eastAsia"/>
          <w:sz w:val="18"/>
          <w:szCs w:val="18"/>
        </w:rPr>
        <w:t>人民检察院对于监</w:t>
      </w:r>
      <w:r w:rsidRPr="00356327">
        <w:rPr>
          <w:rFonts w:ascii="宋体" w:eastAsia="宋体" w:hAnsi="宋体" w:cs="Times New Roman"/>
          <w:sz w:val="18"/>
          <w:szCs w:val="18"/>
        </w:rPr>
        <w:t>察机关移送起诉的案件，</w:t>
      </w:r>
      <w:r w:rsidRPr="00356327">
        <w:rPr>
          <w:rFonts w:ascii="宋体" w:eastAsia="宋体" w:hAnsi="宋体" w:cs="Times New Roman"/>
          <w:color w:val="B00824"/>
          <w:sz w:val="18"/>
          <w:szCs w:val="18"/>
        </w:rPr>
        <w:t>认为需要补充核实的，应当退回监察机关补充调</w:t>
      </w:r>
      <w:r w:rsidRPr="00356327">
        <w:rPr>
          <w:rFonts w:ascii="宋体" w:eastAsia="宋体" w:hAnsi="宋体" w:cs="微软雅黑" w:hint="eastAsia"/>
          <w:color w:val="B00824"/>
          <w:sz w:val="18"/>
          <w:szCs w:val="18"/>
        </w:rPr>
        <w:t>査</w:t>
      </w:r>
      <w:r w:rsidRPr="00356327">
        <w:rPr>
          <w:rFonts w:ascii="宋体" w:eastAsia="宋体" w:hAnsi="宋体" w:cs="汉仪书宋二简" w:hint="eastAsia"/>
          <w:color w:val="B00824"/>
          <w:sz w:val="18"/>
          <w:szCs w:val="18"/>
        </w:rPr>
        <w:t>，必要时可以自行补充侦查。</w:t>
      </w:r>
      <w:r w:rsidRPr="00EF3D87">
        <w:rPr>
          <w:rFonts w:ascii="宋体" w:eastAsia="宋体" w:hAnsi="宋体" w:cs="Times New Roman" w:hint="eastAsia"/>
          <w:sz w:val="18"/>
          <w:szCs w:val="18"/>
        </w:rPr>
        <w:t>对于监察机关移送起诉的已采取留置措施的案件，人民检察院应当对犯罪嫌疑人先行拘留，留置措施自动解除。人民检察院应当在拘留后的十日以内作出是否逮捕、取保候审或者监视居住的决定。在特殊情况下，</w:t>
      </w:r>
      <w:r w:rsidRPr="00356327">
        <w:rPr>
          <w:rFonts w:ascii="宋体" w:eastAsia="宋体" w:hAnsi="宋体" w:cs="Times New Roman" w:hint="eastAsia"/>
          <w:color w:val="B00824"/>
          <w:sz w:val="18"/>
          <w:szCs w:val="18"/>
        </w:rPr>
        <w:t>决定的时间可以延长一日至四日。</w:t>
      </w:r>
      <w:r w:rsidRPr="00356327">
        <w:rPr>
          <w:rFonts w:ascii="宋体" w:eastAsia="宋体" w:hAnsi="宋体" w:cs="Times New Roman" w:hint="eastAsia"/>
          <w:sz w:val="18"/>
          <w:szCs w:val="18"/>
        </w:rPr>
        <w:t>人民检察院决定采取强制措施的期间不计入审</w:t>
      </w:r>
      <w:r w:rsidRPr="00356327">
        <w:rPr>
          <w:rFonts w:ascii="宋体" w:eastAsia="宋体" w:hAnsi="宋体" w:cs="微软雅黑" w:hint="eastAsia"/>
          <w:sz w:val="18"/>
          <w:szCs w:val="18"/>
        </w:rPr>
        <w:t>査</w:t>
      </w:r>
      <w:r w:rsidRPr="00356327">
        <w:rPr>
          <w:rFonts w:ascii="宋体" w:eastAsia="宋体" w:hAnsi="宋体" w:cs="汉仪书宋二简" w:hint="eastAsia"/>
          <w:sz w:val="18"/>
          <w:szCs w:val="18"/>
        </w:rPr>
        <w:t>起诉期限。</w:t>
      </w:r>
    </w:p>
    <w:p w14:paraId="323DC2C5" w14:textId="1867C5C6" w:rsidR="002208C4" w:rsidRPr="002208C4" w:rsidRDefault="002208C4" w:rsidP="002208C4">
      <w:pPr>
        <w:spacing w:line="240" w:lineRule="exact"/>
        <w:ind w:firstLineChars="200" w:firstLine="360"/>
        <w:rPr>
          <w:rFonts w:ascii="宋体" w:eastAsia="宋体" w:hAnsi="宋体" w:cs="Times New Roman" w:hint="eastAsia"/>
          <w:sz w:val="18"/>
          <w:szCs w:val="18"/>
        </w:rPr>
      </w:pPr>
      <w:r w:rsidRPr="00234550">
        <w:rPr>
          <w:rFonts w:ascii="宋体" w:eastAsia="宋体" w:hAnsi="宋体" w:cs="Times New Roman" w:hint="eastAsia"/>
          <w:color w:val="C00000"/>
          <w:sz w:val="18"/>
          <w:szCs w:val="18"/>
        </w:rPr>
        <w:t>重点内容！</w:t>
      </w:r>
      <w:r w:rsidRPr="00356327">
        <w:rPr>
          <w:rFonts w:ascii="宋体" w:eastAsia="宋体" w:hAnsi="宋体" w:cs="Times New Roman" w:hint="eastAsia"/>
          <w:sz w:val="18"/>
          <w:szCs w:val="18"/>
        </w:rPr>
        <w:t>对于监察机关移送起诉的案件，具有下列情形之一的，人民检察院</w:t>
      </w:r>
      <w:r w:rsidRPr="0016416E">
        <w:rPr>
          <w:rFonts w:ascii="宋体" w:eastAsia="宋体" w:hAnsi="宋体" w:cs="Times New Roman" w:hint="eastAsia"/>
          <w:b/>
          <w:bCs/>
          <w:color w:val="B00824"/>
          <w:sz w:val="18"/>
          <w:szCs w:val="18"/>
        </w:rPr>
        <w:t>可以自行补充侦查</w:t>
      </w:r>
      <w:r w:rsidRPr="0016416E">
        <w:rPr>
          <w:rFonts w:ascii="宋体" w:eastAsia="宋体" w:hAnsi="宋体" w:cs="Times New Roman" w:hint="eastAsia"/>
          <w:b/>
          <w:bCs/>
          <w:sz w:val="18"/>
          <w:szCs w:val="18"/>
        </w:rPr>
        <w:t>：</w:t>
      </w:r>
      <w:r w:rsidRPr="00356327">
        <w:rPr>
          <w:rFonts w:ascii="宋体" w:eastAsia="宋体" w:hAnsi="宋体" w:cs="Times New Roman" w:hint="eastAsia"/>
          <w:sz w:val="18"/>
          <w:szCs w:val="18"/>
        </w:rPr>
        <w:t>（</w:t>
      </w:r>
      <w:r>
        <w:rPr>
          <w:rFonts w:ascii="宋体" w:eastAsia="宋体" w:hAnsi="宋体" w:cs="Times New Roman" w:hint="eastAsia"/>
          <w:sz w:val="18"/>
          <w:szCs w:val="18"/>
        </w:rPr>
        <w:t>1</w:t>
      </w:r>
      <w:r w:rsidRPr="00356327">
        <w:rPr>
          <w:rFonts w:ascii="宋体" w:eastAsia="宋体" w:hAnsi="宋体" w:cs="Times New Roman" w:hint="eastAsia"/>
          <w:sz w:val="18"/>
          <w:szCs w:val="18"/>
        </w:rPr>
        <w:t>）证人证言、犯罪嫌疑人供述和辩解、被害人陈述的内容主要情节一致，个别情节不一致的；（</w:t>
      </w:r>
      <w:r>
        <w:rPr>
          <w:rFonts w:ascii="宋体" w:eastAsia="宋体" w:hAnsi="宋体" w:cs="Times New Roman" w:hint="eastAsia"/>
          <w:sz w:val="18"/>
          <w:szCs w:val="18"/>
        </w:rPr>
        <w:t>2</w:t>
      </w:r>
      <w:r w:rsidRPr="00356327">
        <w:rPr>
          <w:rFonts w:ascii="宋体" w:eastAsia="宋体" w:hAnsi="宋体" w:cs="Times New Roman" w:hint="eastAsia"/>
          <w:sz w:val="18"/>
          <w:szCs w:val="18"/>
        </w:rPr>
        <w:t>）物证、书证等证据材料需要补充鉴定的；（</w:t>
      </w:r>
      <w:r>
        <w:rPr>
          <w:rFonts w:ascii="宋体" w:eastAsia="宋体" w:hAnsi="宋体" w:cs="Times New Roman" w:hint="eastAsia"/>
          <w:sz w:val="18"/>
          <w:szCs w:val="18"/>
        </w:rPr>
        <w:t>3</w:t>
      </w:r>
      <w:r w:rsidRPr="00356327">
        <w:rPr>
          <w:rFonts w:ascii="宋体" w:eastAsia="宋体" w:hAnsi="宋体" w:cs="Times New Roman" w:hint="eastAsia"/>
          <w:sz w:val="18"/>
          <w:szCs w:val="18"/>
        </w:rPr>
        <w:t>）其他由人民检察院查证更为便利、更有效率、更有利于查清案件事实的情形。自行补充侦查完毕后，应当将相关证据材料入卷，同时抄送监察机关。人民检察院自行补充侦查的，可以商请监察机关提供协助。</w:t>
      </w:r>
    </w:p>
    <w:p w14:paraId="7D16142C" w14:textId="1E11F702" w:rsidR="006F177D" w:rsidRPr="00356327" w:rsidRDefault="006F177D" w:rsidP="006F177D">
      <w:pPr>
        <w:pStyle w:val="1"/>
        <w:tabs>
          <w:tab w:val="left" w:pos="420"/>
        </w:tabs>
        <w:spacing w:before="0" w:after="0" w:line="240" w:lineRule="exact"/>
        <w:jc w:val="center"/>
        <w:rPr>
          <w:rFonts w:ascii="宋体" w:hAnsi="宋体" w:hint="eastAsia"/>
          <w:bCs w:val="0"/>
          <w:sz w:val="18"/>
          <w:szCs w:val="18"/>
        </w:rPr>
      </w:pPr>
      <w:r w:rsidRPr="00356327">
        <w:rPr>
          <w:rFonts w:ascii="宋体" w:hAnsi="宋体" w:hint="eastAsia"/>
          <w:bCs w:val="0"/>
          <w:sz w:val="18"/>
          <w:szCs w:val="18"/>
        </w:rPr>
        <w:t>考点4</w:t>
      </w:r>
      <w:r w:rsidRPr="00356327">
        <w:rPr>
          <w:rFonts w:ascii="宋体" w:hAnsi="宋体"/>
          <w:bCs w:val="0"/>
          <w:sz w:val="18"/>
          <w:szCs w:val="18"/>
        </w:rPr>
        <w:t>1</w:t>
      </w:r>
      <w:r w:rsidRPr="00356327">
        <w:rPr>
          <w:rFonts w:ascii="宋体" w:hAnsi="宋体" w:hint="eastAsia"/>
          <w:bCs w:val="0"/>
          <w:sz w:val="18"/>
          <w:szCs w:val="18"/>
        </w:rPr>
        <w:t xml:space="preserve">  监察法要点</w:t>
      </w:r>
      <w:bookmarkEnd w:id="3"/>
      <w:bookmarkEnd w:id="4"/>
      <w:r w:rsidRPr="00356327">
        <w:rPr>
          <w:rFonts w:ascii="宋体" w:hAnsi="宋体" w:cs="宋体" w:hint="eastAsia"/>
          <w:bCs w:val="0"/>
          <w:sz w:val="18"/>
          <w:szCs w:val="18"/>
        </w:rPr>
        <w:t>（</w:t>
      </w:r>
      <w:r w:rsidR="00827455">
        <w:rPr>
          <w:rFonts w:ascii="宋体" w:hAnsi="宋体" w:cs="宋体" w:hint="eastAsia"/>
          <w:bCs w:val="0"/>
          <w:sz w:val="18"/>
          <w:szCs w:val="18"/>
        </w:rPr>
        <w:t>08</w:t>
      </w:r>
      <w:r w:rsidRPr="00356327">
        <w:rPr>
          <w:rFonts w:ascii="宋体" w:hAnsi="宋体" w:cs="宋体"/>
          <w:bCs w:val="0"/>
          <w:sz w:val="18"/>
          <w:szCs w:val="18"/>
        </w:rPr>
        <w:t>:</w:t>
      </w:r>
      <w:r w:rsidR="00827455">
        <w:rPr>
          <w:rFonts w:ascii="宋体" w:hAnsi="宋体" w:cs="宋体" w:hint="eastAsia"/>
          <w:bCs w:val="0"/>
          <w:sz w:val="18"/>
          <w:szCs w:val="18"/>
        </w:rPr>
        <w:t>30</w:t>
      </w:r>
      <w:r w:rsidRPr="00356327">
        <w:rPr>
          <w:rFonts w:ascii="宋体" w:hAnsi="宋体" w:cs="宋体"/>
          <w:bCs w:val="0"/>
          <w:sz w:val="18"/>
          <w:szCs w:val="18"/>
        </w:rPr>
        <w:t>:00-</w:t>
      </w:r>
      <w:r w:rsidR="005C179A">
        <w:rPr>
          <w:rFonts w:ascii="宋体" w:hAnsi="宋体" w:cs="宋体" w:hint="eastAsia"/>
          <w:bCs w:val="0"/>
          <w:sz w:val="18"/>
          <w:szCs w:val="18"/>
        </w:rPr>
        <w:t>08</w:t>
      </w:r>
      <w:r w:rsidRPr="00356327">
        <w:rPr>
          <w:rFonts w:ascii="宋体" w:hAnsi="宋体" w:cs="宋体"/>
          <w:bCs w:val="0"/>
          <w:sz w:val="18"/>
          <w:szCs w:val="18"/>
        </w:rPr>
        <w:t>:</w:t>
      </w:r>
      <w:r w:rsidR="005C179A">
        <w:rPr>
          <w:rFonts w:ascii="宋体" w:hAnsi="宋体" w:cs="宋体" w:hint="eastAsia"/>
          <w:bCs w:val="0"/>
          <w:sz w:val="18"/>
          <w:szCs w:val="18"/>
        </w:rPr>
        <w:t>45</w:t>
      </w:r>
      <w:r w:rsidRPr="00356327">
        <w:rPr>
          <w:rFonts w:ascii="宋体" w:hAnsi="宋体" w:cs="宋体"/>
          <w:bCs w:val="0"/>
          <w:sz w:val="18"/>
          <w:szCs w:val="18"/>
        </w:rPr>
        <w:t>:00）</w:t>
      </w:r>
    </w:p>
    <w:p w14:paraId="1B3EFC3C" w14:textId="77777777" w:rsidR="0079585A" w:rsidRDefault="0079585A" w:rsidP="0079585A">
      <w:pPr>
        <w:pStyle w:val="3"/>
        <w:spacing w:line="240" w:lineRule="exact"/>
        <w:ind w:firstLineChars="200" w:firstLine="360"/>
        <w:jc w:val="both"/>
        <w:rPr>
          <w:rFonts w:eastAsia="宋体" w:hint="eastAsia"/>
          <w:sz w:val="18"/>
          <w:szCs w:val="18"/>
        </w:rPr>
      </w:pPr>
      <w:r w:rsidRPr="0079585A">
        <w:rPr>
          <w:rFonts w:eastAsia="宋体" w:hint="eastAsia"/>
          <w:sz w:val="18"/>
          <w:szCs w:val="18"/>
        </w:rPr>
        <w:t>一、强制到案（与强制措施中的拘传类似）</w:t>
      </w:r>
    </w:p>
    <w:p w14:paraId="704B1A39" w14:textId="77777777" w:rsidR="0079585A" w:rsidRDefault="0079585A" w:rsidP="0079585A">
      <w:pPr>
        <w:pStyle w:val="3"/>
        <w:spacing w:line="240" w:lineRule="exact"/>
        <w:ind w:firstLineChars="200" w:firstLine="360"/>
        <w:jc w:val="both"/>
        <w:rPr>
          <w:rFonts w:eastAsia="宋体" w:hint="eastAsia"/>
          <w:sz w:val="18"/>
          <w:szCs w:val="18"/>
        </w:rPr>
      </w:pPr>
      <w:r w:rsidRPr="0079585A">
        <w:rPr>
          <w:rFonts w:eastAsia="宋体" w:hint="eastAsia"/>
          <w:sz w:val="18"/>
          <w:szCs w:val="18"/>
        </w:rPr>
        <w:t>1．条件：监察机关根据案件情况，经依法审批，可以强制涉嫌严重职务违法或者职务犯罪的被调查人到案接受调查。</w:t>
      </w:r>
    </w:p>
    <w:p w14:paraId="152A4EBC" w14:textId="0C39F0B3" w:rsidR="0079585A" w:rsidRPr="0079585A" w:rsidRDefault="0079585A" w:rsidP="0079585A">
      <w:pPr>
        <w:pStyle w:val="3"/>
        <w:spacing w:line="240" w:lineRule="exact"/>
        <w:ind w:firstLineChars="200" w:firstLine="360"/>
        <w:jc w:val="both"/>
        <w:rPr>
          <w:rFonts w:eastAsia="宋体" w:hint="eastAsia"/>
          <w:sz w:val="18"/>
          <w:szCs w:val="18"/>
        </w:rPr>
      </w:pPr>
      <w:r w:rsidRPr="0079585A">
        <w:rPr>
          <w:rFonts w:eastAsia="宋体" w:hint="eastAsia"/>
          <w:sz w:val="18"/>
          <w:szCs w:val="18"/>
        </w:rPr>
        <w:t>2．期限：</w:t>
      </w:r>
      <w:r w:rsidRPr="00EA3A6C">
        <w:rPr>
          <w:rFonts w:eastAsia="宋体" w:hint="eastAsia"/>
          <w:color w:val="EE0000"/>
          <w:sz w:val="18"/>
          <w:szCs w:val="18"/>
        </w:rPr>
        <w:t>强制到案持续的时间不得超过十二小时</w:t>
      </w:r>
      <w:r w:rsidRPr="0079585A">
        <w:rPr>
          <w:rFonts w:eastAsia="宋体" w:hint="eastAsia"/>
          <w:sz w:val="18"/>
          <w:szCs w:val="18"/>
        </w:rPr>
        <w:t>；需要采取管护或者留置措施的，强制到案持续的时间不得超过二十四小时。不得以连续强制到案的方式变相拘禁被调查人。</w:t>
      </w:r>
    </w:p>
    <w:p w14:paraId="74744506" w14:textId="77777777" w:rsidR="0079585A" w:rsidRDefault="0079585A" w:rsidP="0079585A">
      <w:pPr>
        <w:spacing w:line="240" w:lineRule="exact"/>
        <w:ind w:firstLineChars="200" w:firstLine="360"/>
        <w:rPr>
          <w:rFonts w:ascii="宋体" w:eastAsia="宋体" w:hAnsi="宋体" w:hint="eastAsia"/>
          <w:sz w:val="18"/>
          <w:szCs w:val="18"/>
        </w:rPr>
      </w:pPr>
      <w:r w:rsidRPr="0079585A">
        <w:rPr>
          <w:rFonts w:ascii="宋体" w:eastAsia="宋体" w:hAnsi="宋体" w:hint="eastAsia"/>
          <w:sz w:val="18"/>
          <w:szCs w:val="18"/>
        </w:rPr>
        <w:t>二、责令候查（与强制措施中的取保候审和监视居住类似）</w:t>
      </w:r>
    </w:p>
    <w:p w14:paraId="48891550" w14:textId="77777777" w:rsidR="0079585A" w:rsidRDefault="0079585A" w:rsidP="0079585A">
      <w:pPr>
        <w:spacing w:line="240" w:lineRule="exact"/>
        <w:ind w:firstLineChars="200" w:firstLine="360"/>
        <w:rPr>
          <w:rFonts w:ascii="宋体" w:eastAsia="宋体" w:hAnsi="宋体" w:hint="eastAsia"/>
          <w:sz w:val="18"/>
          <w:szCs w:val="18"/>
        </w:rPr>
      </w:pPr>
      <w:r w:rsidRPr="0079585A">
        <w:rPr>
          <w:rFonts w:ascii="宋体" w:eastAsia="宋体" w:hAnsi="宋体" w:hint="eastAsia"/>
          <w:sz w:val="18"/>
          <w:szCs w:val="18"/>
        </w:rPr>
        <w:t>1．条件：被调查人涉嫌严重职务违法或者职务犯罪，并有下列情形之一的，经监察机关依法审批，可以对其采取责令候查措施：（1）不符合留置条件的；（2）符合留置条件，但患有严重疾病、生活不能自理的，系怀孕或者正在哺乳自己婴儿的妇女，或者生活不能自理的人的唯一扶养人；（3）案件尚未办结，但留置期限届满或者对被留置人员不需要继续采取留置措施的；（4）符合留置条件，但因为案件的特殊情况或者办理案件的需要，采取责令候查措施更为适宜的。</w:t>
      </w:r>
    </w:p>
    <w:p w14:paraId="047B8459" w14:textId="77777777" w:rsidR="0079585A" w:rsidRDefault="0079585A" w:rsidP="0079585A">
      <w:pPr>
        <w:spacing w:line="240" w:lineRule="exact"/>
        <w:ind w:firstLineChars="200" w:firstLine="360"/>
        <w:rPr>
          <w:rFonts w:ascii="宋体" w:eastAsia="宋体" w:hAnsi="宋体" w:hint="eastAsia"/>
          <w:sz w:val="18"/>
          <w:szCs w:val="18"/>
        </w:rPr>
      </w:pPr>
      <w:r w:rsidRPr="0079585A">
        <w:rPr>
          <w:rFonts w:ascii="宋体" w:eastAsia="宋体" w:hAnsi="宋体" w:hint="eastAsia"/>
          <w:sz w:val="18"/>
          <w:szCs w:val="18"/>
        </w:rPr>
        <w:t>2．被责令候查人员应当遵守的规定：（1）未经监察机关批准不得离开所居住的直辖市、设区的市的城市市区或者不设区的市、县的辖区；（2）住址、工作单位和联系方式发生变动的，在二十四小时以内向监察机关报告；（3）在接到通知的时候及时到案接受调查；（4）不得以任何形式干扰证人作证；（5）不得串供或者伪造、隐匿、毁灭证据。</w:t>
      </w:r>
    </w:p>
    <w:p w14:paraId="2F9B94B9" w14:textId="77777777" w:rsidR="0079585A" w:rsidRDefault="0079585A" w:rsidP="0079585A">
      <w:pPr>
        <w:spacing w:line="240" w:lineRule="exact"/>
        <w:ind w:firstLineChars="200" w:firstLine="360"/>
        <w:rPr>
          <w:rFonts w:ascii="宋体" w:eastAsia="宋体" w:hAnsi="宋体" w:hint="eastAsia"/>
          <w:sz w:val="18"/>
          <w:szCs w:val="18"/>
        </w:rPr>
      </w:pPr>
      <w:r w:rsidRPr="0079585A">
        <w:rPr>
          <w:rFonts w:ascii="宋体" w:eastAsia="宋体" w:hAnsi="宋体" w:hint="eastAsia"/>
          <w:sz w:val="18"/>
          <w:szCs w:val="18"/>
        </w:rPr>
        <w:t>3．期限：责令候查最长不得超过十二个月。</w:t>
      </w:r>
    </w:p>
    <w:p w14:paraId="2E24B6E4" w14:textId="77777777" w:rsidR="0079585A" w:rsidRDefault="0079585A" w:rsidP="0079585A">
      <w:pPr>
        <w:spacing w:line="240" w:lineRule="exact"/>
        <w:ind w:firstLineChars="200" w:firstLine="360"/>
        <w:rPr>
          <w:rFonts w:ascii="宋体" w:eastAsia="宋体" w:hAnsi="宋体" w:hint="eastAsia"/>
          <w:sz w:val="18"/>
          <w:szCs w:val="18"/>
        </w:rPr>
      </w:pPr>
      <w:r w:rsidRPr="0079585A">
        <w:rPr>
          <w:rFonts w:ascii="宋体" w:eastAsia="宋体" w:hAnsi="宋体" w:hint="eastAsia"/>
          <w:sz w:val="18"/>
          <w:szCs w:val="18"/>
        </w:rPr>
        <w:t>三、管护（与强制措施中的拘留类似）</w:t>
      </w:r>
    </w:p>
    <w:p w14:paraId="5A2F627B" w14:textId="77777777" w:rsidR="0079585A" w:rsidRDefault="0079585A" w:rsidP="0079585A">
      <w:pPr>
        <w:spacing w:line="240" w:lineRule="exact"/>
        <w:ind w:firstLineChars="200" w:firstLine="360"/>
        <w:rPr>
          <w:rFonts w:ascii="宋体" w:eastAsia="宋体" w:hAnsi="宋体" w:hint="eastAsia"/>
          <w:sz w:val="18"/>
          <w:szCs w:val="18"/>
        </w:rPr>
      </w:pPr>
      <w:r w:rsidRPr="0079585A">
        <w:rPr>
          <w:rFonts w:ascii="宋体" w:eastAsia="宋体" w:hAnsi="宋体" w:hint="eastAsia"/>
          <w:sz w:val="18"/>
          <w:szCs w:val="18"/>
        </w:rPr>
        <w:t>1．条件：</w:t>
      </w:r>
      <w:r w:rsidRPr="00EA3A6C">
        <w:rPr>
          <w:rFonts w:ascii="宋体" w:eastAsia="宋体" w:hAnsi="宋体" w:hint="eastAsia"/>
          <w:color w:val="EE0000"/>
          <w:sz w:val="18"/>
          <w:szCs w:val="18"/>
        </w:rPr>
        <w:t>对于未被留置的下列人员，监察机关发现存在逃跑、自杀等重大安全风险的，经依法审批，可以进行管护</w:t>
      </w:r>
      <w:r w:rsidRPr="0079585A">
        <w:rPr>
          <w:rFonts w:ascii="宋体" w:eastAsia="宋体" w:hAnsi="宋体" w:hint="eastAsia"/>
          <w:sz w:val="18"/>
          <w:szCs w:val="18"/>
        </w:rPr>
        <w:t>：（1）涉嫌严重职务违法或者职务犯罪的自动投案人员；（2）在接受谈话、函询、询问过程中，交代涉嫌严重职务违法或者职务犯罪问题的人员；（3）在接受讯问过程中，主动交代涉嫌重大职务犯罪问题的人员。</w:t>
      </w:r>
    </w:p>
    <w:p w14:paraId="2E9A30D7" w14:textId="77777777" w:rsidR="0079585A" w:rsidRDefault="0079585A" w:rsidP="0079585A">
      <w:pPr>
        <w:spacing w:line="240" w:lineRule="exact"/>
        <w:ind w:firstLineChars="200" w:firstLine="360"/>
        <w:rPr>
          <w:rFonts w:ascii="宋体" w:eastAsia="宋体" w:hAnsi="宋体" w:hint="eastAsia"/>
          <w:sz w:val="18"/>
          <w:szCs w:val="18"/>
        </w:rPr>
      </w:pPr>
      <w:r w:rsidRPr="0079585A">
        <w:rPr>
          <w:rFonts w:ascii="宋体" w:eastAsia="宋体" w:hAnsi="宋体" w:hint="eastAsia"/>
          <w:sz w:val="18"/>
          <w:szCs w:val="18"/>
        </w:rPr>
        <w:t>2．管护场所：采取管护措施后，应当立即将被管护人员送留置场所，至迟不得超过二十四小时。</w:t>
      </w:r>
    </w:p>
    <w:p w14:paraId="12881705" w14:textId="77777777" w:rsidR="0079585A" w:rsidRDefault="0079585A" w:rsidP="0079585A">
      <w:pPr>
        <w:spacing w:line="240" w:lineRule="exact"/>
        <w:ind w:firstLineChars="200" w:firstLine="360"/>
        <w:rPr>
          <w:rFonts w:ascii="宋体" w:eastAsia="宋体" w:hAnsi="宋体" w:hint="eastAsia"/>
          <w:sz w:val="18"/>
          <w:szCs w:val="18"/>
        </w:rPr>
      </w:pPr>
      <w:r w:rsidRPr="0079585A">
        <w:rPr>
          <w:rFonts w:ascii="宋体" w:eastAsia="宋体" w:hAnsi="宋体" w:hint="eastAsia"/>
          <w:sz w:val="18"/>
          <w:szCs w:val="18"/>
        </w:rPr>
        <w:t>3．期限：监察机关采取管护措施的，应当在七日以内依法作出留置或者解除管护的决定，特殊情况下可以延长一日至三日。</w:t>
      </w:r>
    </w:p>
    <w:p w14:paraId="3EB747AE" w14:textId="77777777" w:rsidR="0079585A" w:rsidRDefault="0079585A" w:rsidP="0079585A">
      <w:pPr>
        <w:spacing w:line="240" w:lineRule="exact"/>
        <w:ind w:firstLineChars="200" w:firstLine="360"/>
        <w:rPr>
          <w:rFonts w:ascii="宋体" w:eastAsia="宋体" w:hAnsi="宋体" w:hint="eastAsia"/>
          <w:sz w:val="18"/>
          <w:szCs w:val="18"/>
        </w:rPr>
      </w:pPr>
      <w:r w:rsidRPr="0079585A">
        <w:rPr>
          <w:rFonts w:ascii="宋体" w:eastAsia="宋体" w:hAnsi="宋体" w:hint="eastAsia"/>
          <w:sz w:val="18"/>
          <w:szCs w:val="18"/>
        </w:rPr>
        <w:t>4．通知：采取管护或者留置措施后，应当在二十四小时以内，通知被管护人员、被留置人员所在单位和家属，但有可能伪造、隐匿、毁灭证据，干扰证人作证或者串供等有碍调查情形的除外。</w:t>
      </w:r>
    </w:p>
    <w:p w14:paraId="4964569E" w14:textId="77777777" w:rsidR="0079585A" w:rsidRDefault="0079585A" w:rsidP="0079585A">
      <w:pPr>
        <w:spacing w:line="240" w:lineRule="exact"/>
        <w:ind w:firstLineChars="200" w:firstLine="360"/>
        <w:rPr>
          <w:rFonts w:ascii="宋体" w:eastAsia="宋体" w:hAnsi="宋体" w:hint="eastAsia"/>
          <w:sz w:val="18"/>
          <w:szCs w:val="18"/>
        </w:rPr>
      </w:pPr>
      <w:r w:rsidRPr="0079585A">
        <w:rPr>
          <w:rFonts w:ascii="宋体" w:eastAsia="宋体" w:hAnsi="宋体" w:hint="eastAsia"/>
          <w:sz w:val="18"/>
          <w:szCs w:val="18"/>
        </w:rPr>
        <w:t>5．刑期折抵：被管护人员、被留置人员涉嫌犯罪移送司法机关后，被依法判处管制、拘役或者有期徒刑的，管护、留置一日折抵管制二日，折抵拘役、有期徒刑一日。</w:t>
      </w:r>
    </w:p>
    <w:p w14:paraId="5310E075" w14:textId="2A3FF5DD" w:rsidR="006F177D" w:rsidRPr="0079585A" w:rsidRDefault="0079585A" w:rsidP="0079585A">
      <w:pPr>
        <w:spacing w:line="240" w:lineRule="exact"/>
        <w:ind w:firstLineChars="200" w:firstLine="360"/>
        <w:rPr>
          <w:rFonts w:ascii="宋体" w:eastAsia="宋体" w:hAnsi="宋体" w:hint="eastAsia"/>
          <w:sz w:val="18"/>
          <w:szCs w:val="18"/>
        </w:rPr>
      </w:pPr>
      <w:r w:rsidRPr="0079585A">
        <w:rPr>
          <w:rFonts w:ascii="宋体" w:eastAsia="宋体" w:hAnsi="宋体" w:hint="eastAsia"/>
          <w:sz w:val="18"/>
          <w:szCs w:val="18"/>
        </w:rPr>
        <w:t>四、留置（与强制措施中的逮捕类似）</w:t>
      </w:r>
    </w:p>
    <w:p w14:paraId="497FC7BD" w14:textId="77777777" w:rsidR="006F177D" w:rsidRPr="00356327" w:rsidRDefault="006F177D" w:rsidP="0079585A">
      <w:pPr>
        <w:spacing w:line="240" w:lineRule="exact"/>
        <w:ind w:firstLineChars="200" w:firstLine="360"/>
        <w:rPr>
          <w:rFonts w:ascii="宋体" w:eastAsia="宋体" w:hAnsi="宋体" w:cs="Times New Roman" w:hint="eastAsia"/>
          <w:sz w:val="18"/>
          <w:szCs w:val="18"/>
        </w:rPr>
      </w:pPr>
      <w:r w:rsidRPr="00356327">
        <w:rPr>
          <w:rFonts w:ascii="宋体" w:eastAsia="宋体" w:hAnsi="宋体" w:cs="Times New Roman" w:hint="eastAsia"/>
          <w:sz w:val="18"/>
          <w:szCs w:val="18"/>
        </w:rPr>
        <w:t>1．条件：</w:t>
      </w:r>
      <w:r w:rsidRPr="00356327">
        <w:rPr>
          <w:rFonts w:ascii="宋体" w:eastAsia="宋体" w:hAnsi="宋体" w:cs="Times New Roman" w:hint="eastAsia"/>
          <w:color w:val="B00824"/>
          <w:sz w:val="18"/>
          <w:szCs w:val="18"/>
        </w:rPr>
        <w:t>被调查人涉嫌贪污贿赂、失职渎职等严重职务违法或者职务犯罪，监察机关已经掌握其部分违法犯罪事实及证据，仍有重要问题需要进一步调查</w:t>
      </w:r>
      <w:r w:rsidRPr="00356327">
        <w:rPr>
          <w:rFonts w:ascii="宋体" w:eastAsia="宋体" w:hAnsi="宋体" w:cs="Times New Roman" w:hint="eastAsia"/>
          <w:sz w:val="18"/>
          <w:szCs w:val="18"/>
        </w:rPr>
        <w:t>，并有下列情形之一的，经监察机关依法审批，可以将其留置在特定场所：（</w:t>
      </w:r>
      <w:r>
        <w:rPr>
          <w:rFonts w:ascii="宋体" w:eastAsia="宋体" w:hAnsi="宋体" w:cs="Times New Roman" w:hint="eastAsia"/>
          <w:sz w:val="18"/>
          <w:szCs w:val="18"/>
        </w:rPr>
        <w:t>1</w:t>
      </w:r>
      <w:r w:rsidRPr="00356327">
        <w:rPr>
          <w:rFonts w:ascii="宋体" w:eastAsia="宋体" w:hAnsi="宋体" w:cs="Times New Roman" w:hint="eastAsia"/>
          <w:sz w:val="18"/>
          <w:szCs w:val="18"/>
        </w:rPr>
        <w:t>）涉及案情重大、复杂的；（</w:t>
      </w:r>
      <w:r>
        <w:rPr>
          <w:rFonts w:ascii="宋体" w:eastAsia="宋体" w:hAnsi="宋体" w:cs="Times New Roman" w:hint="eastAsia"/>
          <w:sz w:val="18"/>
          <w:szCs w:val="18"/>
        </w:rPr>
        <w:t>2</w:t>
      </w:r>
      <w:r w:rsidRPr="00356327">
        <w:rPr>
          <w:rFonts w:ascii="宋体" w:eastAsia="宋体" w:hAnsi="宋体" w:cs="Times New Roman" w:hint="eastAsia"/>
          <w:sz w:val="18"/>
          <w:szCs w:val="18"/>
        </w:rPr>
        <w:t>）可能逃跑、自杀的；（三）可能串供或者伪造、隐匿、毁灭证据的；（四）可能有其他妨碍调查行为的。</w:t>
      </w:r>
      <w:r w:rsidRPr="00356327">
        <w:rPr>
          <w:rFonts w:ascii="宋体" w:eastAsia="宋体" w:hAnsi="宋体" w:cs="Times New Roman" w:hint="eastAsia"/>
          <w:color w:val="B00824"/>
          <w:sz w:val="18"/>
          <w:szCs w:val="18"/>
        </w:rPr>
        <w:t>对涉嫌行贿犯罪或者共同职务犯罪的涉案人员，监察机关可以依照前款规定采取留置措施</w:t>
      </w:r>
      <w:r w:rsidRPr="00356327">
        <w:rPr>
          <w:rFonts w:ascii="宋体" w:eastAsia="宋体" w:hAnsi="宋体" w:cs="Times New Roman" w:hint="eastAsia"/>
          <w:sz w:val="18"/>
          <w:szCs w:val="18"/>
        </w:rPr>
        <w:t>。</w:t>
      </w:r>
    </w:p>
    <w:p w14:paraId="461E7254" w14:textId="77777777" w:rsidR="006F177D" w:rsidRPr="00356327" w:rsidRDefault="006F177D" w:rsidP="0079585A">
      <w:pPr>
        <w:spacing w:line="240" w:lineRule="exact"/>
        <w:ind w:firstLineChars="200" w:firstLine="360"/>
        <w:rPr>
          <w:rFonts w:ascii="宋体" w:eastAsia="宋体" w:hAnsi="宋体" w:cs="Times New Roman" w:hint="eastAsia"/>
          <w:sz w:val="18"/>
          <w:szCs w:val="18"/>
        </w:rPr>
      </w:pPr>
      <w:r w:rsidRPr="00356327">
        <w:rPr>
          <w:rFonts w:ascii="宋体" w:eastAsia="宋体" w:hAnsi="宋体" w:cs="Times New Roman" w:hint="eastAsia"/>
          <w:sz w:val="18"/>
          <w:szCs w:val="18"/>
        </w:rPr>
        <w:t>2．期限：</w:t>
      </w:r>
      <w:r w:rsidRPr="00356327">
        <w:rPr>
          <w:rFonts w:ascii="宋体" w:eastAsia="宋体" w:hAnsi="宋体" w:cs="Times New Roman" w:hint="eastAsia"/>
          <w:color w:val="B00824"/>
          <w:sz w:val="18"/>
          <w:szCs w:val="18"/>
        </w:rPr>
        <w:t>设区的市级以下监察机关采取留置措施，应当报上一级监察机关批准。省级监察机关采取留置措施，应当报国家监察委员会备案。留置时间不得超过三个月。在特殊情况下，可以延长一次，延长时间不得超过三个月。省级以下监察机关采取留置措施的，延长留置时间应当报上一级监察机关批准。</w:t>
      </w:r>
    </w:p>
    <w:p w14:paraId="1914E419" w14:textId="77777777" w:rsidR="006F177D" w:rsidRDefault="006F177D" w:rsidP="0079585A">
      <w:pPr>
        <w:spacing w:line="240" w:lineRule="exact"/>
        <w:ind w:firstLineChars="200" w:firstLine="360"/>
        <w:rPr>
          <w:rFonts w:ascii="宋体" w:eastAsia="宋体" w:hAnsi="宋体" w:cs="Times New Roman" w:hint="eastAsia"/>
          <w:color w:val="B00824"/>
          <w:sz w:val="18"/>
          <w:szCs w:val="18"/>
        </w:rPr>
      </w:pPr>
      <w:r w:rsidRPr="00356327">
        <w:rPr>
          <w:rFonts w:ascii="宋体" w:eastAsia="宋体" w:hAnsi="宋体" w:cs="Times New Roman" w:hint="eastAsia"/>
          <w:sz w:val="18"/>
          <w:szCs w:val="18"/>
        </w:rPr>
        <w:t>3．刑期折抵：被留置人员涉嫌犯罪移送司法机关后，</w:t>
      </w:r>
      <w:r w:rsidRPr="00356327">
        <w:rPr>
          <w:rFonts w:ascii="宋体" w:eastAsia="宋体" w:hAnsi="宋体" w:cs="Times New Roman" w:hint="eastAsia"/>
          <w:color w:val="B00824"/>
          <w:sz w:val="18"/>
          <w:szCs w:val="18"/>
        </w:rPr>
        <w:t>被依法判处管制、拘役和有期徒刑的，留置一日折抵管制二日，折抵拘役、有期徒刑一日。</w:t>
      </w:r>
    </w:p>
    <w:p w14:paraId="517F55EB" w14:textId="6A524BAF" w:rsidR="006F177D" w:rsidRPr="00356327" w:rsidRDefault="006F177D" w:rsidP="006F177D">
      <w:pPr>
        <w:pStyle w:val="1"/>
        <w:tabs>
          <w:tab w:val="left" w:pos="420"/>
        </w:tabs>
        <w:spacing w:before="0" w:after="0" w:line="240" w:lineRule="exact"/>
        <w:jc w:val="center"/>
        <w:rPr>
          <w:rFonts w:ascii="宋体" w:hAnsi="宋体" w:hint="eastAsia"/>
          <w:bCs w:val="0"/>
          <w:sz w:val="18"/>
          <w:szCs w:val="18"/>
        </w:rPr>
      </w:pPr>
      <w:bookmarkStart w:id="8" w:name="_Toc4844133"/>
      <w:bookmarkStart w:id="9" w:name="_Toc12040"/>
      <w:bookmarkStart w:id="10" w:name="_Toc136521782"/>
      <w:r w:rsidRPr="00356327">
        <w:rPr>
          <w:rFonts w:ascii="宋体" w:hAnsi="宋体" w:hint="eastAsia"/>
          <w:bCs w:val="0"/>
          <w:sz w:val="18"/>
          <w:szCs w:val="18"/>
        </w:rPr>
        <w:t>考点4</w:t>
      </w:r>
      <w:r w:rsidRPr="00356327">
        <w:rPr>
          <w:rFonts w:ascii="宋体" w:hAnsi="宋体"/>
          <w:bCs w:val="0"/>
          <w:sz w:val="18"/>
          <w:szCs w:val="18"/>
        </w:rPr>
        <w:t>2</w:t>
      </w:r>
      <w:r w:rsidRPr="00356327">
        <w:rPr>
          <w:rFonts w:ascii="宋体" w:hAnsi="宋体" w:hint="eastAsia"/>
          <w:bCs w:val="0"/>
          <w:sz w:val="18"/>
          <w:szCs w:val="18"/>
        </w:rPr>
        <w:t xml:space="preserve">  不起诉</w:t>
      </w:r>
      <w:bookmarkEnd w:id="8"/>
      <w:bookmarkEnd w:id="9"/>
      <w:bookmarkEnd w:id="10"/>
      <w:r w:rsidRPr="00356327">
        <w:rPr>
          <w:rFonts w:ascii="宋体" w:hAnsi="宋体" w:cs="宋体" w:hint="eastAsia"/>
          <w:bCs w:val="0"/>
          <w:sz w:val="18"/>
          <w:szCs w:val="18"/>
        </w:rPr>
        <w:t>（</w:t>
      </w:r>
      <w:r w:rsidR="002208C4">
        <w:rPr>
          <w:rFonts w:ascii="宋体" w:hAnsi="宋体" w:cs="宋体" w:hint="eastAsia"/>
          <w:bCs w:val="0"/>
          <w:sz w:val="18"/>
          <w:szCs w:val="18"/>
        </w:rPr>
        <w:t>08</w:t>
      </w:r>
      <w:r w:rsidR="002208C4" w:rsidRPr="00356327">
        <w:rPr>
          <w:rFonts w:ascii="宋体" w:hAnsi="宋体" w:cs="宋体"/>
          <w:bCs w:val="0"/>
          <w:sz w:val="18"/>
          <w:szCs w:val="18"/>
        </w:rPr>
        <w:t>:</w:t>
      </w:r>
      <w:r w:rsidR="002208C4">
        <w:rPr>
          <w:rFonts w:ascii="宋体" w:hAnsi="宋体" w:cs="宋体" w:hint="eastAsia"/>
          <w:bCs w:val="0"/>
          <w:sz w:val="18"/>
          <w:szCs w:val="18"/>
        </w:rPr>
        <w:t>58</w:t>
      </w:r>
      <w:r w:rsidRPr="00356327">
        <w:rPr>
          <w:rFonts w:ascii="宋体" w:hAnsi="宋体" w:cs="宋体"/>
          <w:bCs w:val="0"/>
          <w:sz w:val="18"/>
          <w:szCs w:val="18"/>
        </w:rPr>
        <w:t>:00-</w:t>
      </w:r>
      <w:r w:rsidR="00B40AA0">
        <w:rPr>
          <w:rFonts w:ascii="宋体" w:hAnsi="宋体" w:cs="宋体" w:hint="eastAsia"/>
          <w:bCs w:val="0"/>
          <w:sz w:val="18"/>
          <w:szCs w:val="18"/>
        </w:rPr>
        <w:t>09</w:t>
      </w:r>
      <w:r w:rsidR="00B40AA0" w:rsidRPr="00356327">
        <w:rPr>
          <w:rFonts w:ascii="宋体" w:hAnsi="宋体" w:cs="宋体"/>
          <w:bCs w:val="0"/>
          <w:sz w:val="18"/>
          <w:szCs w:val="18"/>
        </w:rPr>
        <w:t>:</w:t>
      </w:r>
      <w:r w:rsidR="00B40AA0">
        <w:rPr>
          <w:rFonts w:ascii="宋体" w:hAnsi="宋体" w:cs="宋体" w:hint="eastAsia"/>
          <w:bCs w:val="0"/>
          <w:sz w:val="18"/>
          <w:szCs w:val="18"/>
        </w:rPr>
        <w:t>13</w:t>
      </w:r>
      <w:r w:rsidRPr="00356327">
        <w:rPr>
          <w:rFonts w:ascii="宋体" w:hAnsi="宋体" w:cs="宋体"/>
          <w:bCs w:val="0"/>
          <w:sz w:val="18"/>
          <w:szCs w:val="18"/>
        </w:rPr>
        <w:t>:00）</w:t>
      </w:r>
    </w:p>
    <w:p w14:paraId="1D0FF31D" w14:textId="77777777" w:rsidR="006F177D" w:rsidRPr="00356327" w:rsidRDefault="006F177D" w:rsidP="006F177D">
      <w:pPr>
        <w:pStyle w:val="3"/>
        <w:spacing w:line="240" w:lineRule="exact"/>
        <w:ind w:firstLineChars="200" w:firstLine="360"/>
        <w:rPr>
          <w:rFonts w:eastAsia="宋体" w:hint="eastAsia"/>
          <w:b/>
          <w:sz w:val="18"/>
          <w:szCs w:val="18"/>
        </w:rPr>
      </w:pPr>
      <w:bookmarkStart w:id="11" w:name="_Toc510879082"/>
      <w:r w:rsidRPr="00356327">
        <w:rPr>
          <w:rFonts w:eastAsia="宋体" w:hint="eastAsia"/>
          <w:sz w:val="18"/>
          <w:szCs w:val="18"/>
        </w:rPr>
        <w:t>一、不起诉的种类</w:t>
      </w:r>
      <w:bookmarkEnd w:id="11"/>
    </w:p>
    <w:p w14:paraId="07EE51BE" w14:textId="77777777" w:rsidR="006F177D" w:rsidRPr="00A10847" w:rsidRDefault="006F177D" w:rsidP="006F177D">
      <w:pPr>
        <w:pStyle w:val="4"/>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356327">
        <w:rPr>
          <w:rFonts w:ascii="宋体" w:eastAsia="宋体" w:hAnsi="宋体" w:hint="eastAsia"/>
          <w:b w:val="0"/>
          <w:color w:val="000000" w:themeColor="text1"/>
          <w:sz w:val="18"/>
          <w:szCs w:val="18"/>
        </w:rPr>
        <w:t>（一）法定不起诉</w:t>
      </w:r>
      <w:r>
        <w:rPr>
          <w:rFonts w:ascii="宋体" w:eastAsia="宋体" w:hAnsi="宋体" w:hint="eastAsia"/>
          <w:b w:val="0"/>
          <w:color w:val="000000" w:themeColor="text1"/>
          <w:sz w:val="18"/>
          <w:szCs w:val="18"/>
        </w:rPr>
        <w:t>：</w:t>
      </w:r>
      <w:r w:rsidRPr="00A10847">
        <w:rPr>
          <w:rFonts w:ascii="宋体" w:eastAsia="宋体" w:hAnsi="宋体" w:cs="Times New Roman"/>
          <w:b w:val="0"/>
          <w:bCs w:val="0"/>
          <w:sz w:val="18"/>
          <w:szCs w:val="18"/>
        </w:rPr>
        <w:t>犯罪嫌疑人没有犯罪事实，或者有</w:t>
      </w:r>
      <w:r w:rsidRPr="00A10847">
        <w:rPr>
          <w:rFonts w:ascii="宋体" w:eastAsia="宋体" w:hAnsi="宋体" w:cs="Times New Roman" w:hint="eastAsia"/>
          <w:b w:val="0"/>
          <w:bCs w:val="0"/>
          <w:sz w:val="18"/>
          <w:szCs w:val="18"/>
        </w:rPr>
        <w:t>刑诉法</w:t>
      </w:r>
      <w:r w:rsidRPr="00A10847">
        <w:rPr>
          <w:rFonts w:ascii="宋体" w:eastAsia="宋体" w:hAnsi="宋体" w:cs="Times New Roman"/>
          <w:b w:val="0"/>
          <w:bCs w:val="0"/>
          <w:sz w:val="18"/>
          <w:szCs w:val="18"/>
        </w:rPr>
        <w:t>第</w:t>
      </w:r>
      <w:r w:rsidRPr="00A10847">
        <w:rPr>
          <w:rFonts w:ascii="宋体" w:eastAsia="宋体" w:hAnsi="宋体" w:cs="Times New Roman" w:hint="eastAsia"/>
          <w:b w:val="0"/>
          <w:bCs w:val="0"/>
          <w:sz w:val="18"/>
          <w:szCs w:val="18"/>
        </w:rPr>
        <w:t>16</w:t>
      </w:r>
      <w:r w:rsidRPr="00A10847">
        <w:rPr>
          <w:rFonts w:ascii="宋体" w:eastAsia="宋体" w:hAnsi="宋体" w:cs="Times New Roman"/>
          <w:b w:val="0"/>
          <w:bCs w:val="0"/>
          <w:sz w:val="18"/>
          <w:szCs w:val="18"/>
        </w:rPr>
        <w:t>条规定的情形之一的，人民检察院应当作出不起诉决定</w:t>
      </w:r>
      <w:r w:rsidRPr="00A10847">
        <w:rPr>
          <w:rFonts w:ascii="宋体" w:eastAsia="宋体" w:hAnsi="宋体" w:cs="Times New Roman" w:hint="eastAsia"/>
          <w:b w:val="0"/>
          <w:bCs w:val="0"/>
          <w:sz w:val="18"/>
          <w:szCs w:val="18"/>
        </w:rPr>
        <w:t>。</w:t>
      </w:r>
    </w:p>
    <w:p w14:paraId="5CC28DF5" w14:textId="77777777" w:rsidR="006F177D" w:rsidRDefault="006F177D" w:rsidP="006F177D">
      <w:pPr>
        <w:pStyle w:val="4"/>
        <w:tabs>
          <w:tab w:val="left" w:pos="420"/>
        </w:tabs>
        <w:spacing w:before="0" w:after="0" w:line="240" w:lineRule="exact"/>
        <w:ind w:firstLineChars="200" w:firstLine="360"/>
        <w:jc w:val="left"/>
        <w:rPr>
          <w:rFonts w:ascii="宋体" w:eastAsia="宋体" w:hAnsi="宋体" w:hint="eastAsia"/>
          <w:b w:val="0"/>
          <w:bCs w:val="0"/>
          <w:kern w:val="0"/>
          <w:sz w:val="18"/>
          <w:szCs w:val="18"/>
        </w:rPr>
      </w:pPr>
      <w:r w:rsidRPr="00356327">
        <w:rPr>
          <w:rFonts w:ascii="宋体" w:eastAsia="宋体" w:hAnsi="宋体" w:hint="eastAsia"/>
          <w:b w:val="0"/>
          <w:color w:val="000000" w:themeColor="text1"/>
          <w:sz w:val="18"/>
          <w:szCs w:val="18"/>
        </w:rPr>
        <w:t>（二）酌定不起诉</w:t>
      </w:r>
      <w:r>
        <w:rPr>
          <w:rFonts w:ascii="宋体" w:eastAsia="宋体" w:hAnsi="宋体" w:hint="eastAsia"/>
          <w:b w:val="0"/>
          <w:color w:val="000000" w:themeColor="text1"/>
          <w:sz w:val="18"/>
          <w:szCs w:val="18"/>
        </w:rPr>
        <w:t>：</w:t>
      </w:r>
      <w:r w:rsidRPr="00A10847">
        <w:rPr>
          <w:rFonts w:ascii="宋体" w:eastAsia="宋体" w:hAnsi="宋体"/>
          <w:b w:val="0"/>
          <w:bCs w:val="0"/>
          <w:kern w:val="0"/>
          <w:sz w:val="18"/>
          <w:szCs w:val="18"/>
        </w:rPr>
        <w:t>对于犯罪情节轻微，依照刑法规定不需要判处刑罚或者免除刑罚的，人民检察院可以作出不起诉决定。</w:t>
      </w:r>
    </w:p>
    <w:p w14:paraId="2ECCE917" w14:textId="77777777" w:rsidR="006F177D" w:rsidRPr="00E145C5" w:rsidRDefault="006F177D" w:rsidP="006F177D">
      <w:pPr>
        <w:spacing w:line="240" w:lineRule="exact"/>
        <w:ind w:firstLineChars="200" w:firstLine="360"/>
        <w:rPr>
          <w:rFonts w:ascii="宋体" w:eastAsia="宋体" w:hAnsi="宋体" w:hint="eastAsia"/>
          <w:sz w:val="18"/>
          <w:szCs w:val="20"/>
        </w:rPr>
      </w:pPr>
      <w:r w:rsidRPr="00E145C5">
        <w:rPr>
          <w:rFonts w:ascii="宋体" w:eastAsia="宋体" w:hAnsi="宋体" w:hint="eastAsia"/>
          <w:sz w:val="18"/>
          <w:szCs w:val="20"/>
        </w:rPr>
        <w:t>（三）存疑不起诉：人民检察院对于二次退回补充侦查的案件，仍然认为证据不足，不符合起诉条件</w:t>
      </w:r>
      <w:r w:rsidRPr="00AF76D6">
        <w:rPr>
          <w:rFonts w:ascii="宋体" w:eastAsia="宋体" w:hAnsi="宋体" w:hint="eastAsia"/>
          <w:sz w:val="18"/>
          <w:szCs w:val="20"/>
        </w:rPr>
        <w:t>的，应当作出不起诉决定，和对于经过一次退回补充侦查的案件，认为证据不足，不符合起诉条件，且没有退回</w:t>
      </w:r>
      <w:r w:rsidRPr="00AF76D6">
        <w:rPr>
          <w:rFonts w:ascii="宋体" w:eastAsia="宋体" w:hAnsi="宋体" w:hint="eastAsia"/>
          <w:sz w:val="18"/>
          <w:szCs w:val="20"/>
        </w:rPr>
        <w:lastRenderedPageBreak/>
        <w:t>补充侦查必要的，可以作出不起诉决定。</w:t>
      </w:r>
    </w:p>
    <w:p w14:paraId="0616DF37" w14:textId="77777777" w:rsidR="006F177D" w:rsidRPr="00AF76D6" w:rsidRDefault="006F177D" w:rsidP="006F177D">
      <w:pPr>
        <w:pStyle w:val="4"/>
        <w:tabs>
          <w:tab w:val="left" w:pos="420"/>
        </w:tabs>
        <w:spacing w:before="0" w:after="0" w:line="240" w:lineRule="exact"/>
        <w:ind w:firstLineChars="200" w:firstLine="360"/>
        <w:jc w:val="left"/>
        <w:rPr>
          <w:rFonts w:ascii="宋体" w:eastAsia="宋体" w:hAnsi="宋体" w:hint="eastAsia"/>
          <w:b w:val="0"/>
          <w:bCs w:val="0"/>
          <w:kern w:val="0"/>
          <w:sz w:val="18"/>
          <w:szCs w:val="18"/>
        </w:rPr>
      </w:pPr>
      <w:r w:rsidRPr="00356327">
        <w:rPr>
          <w:rFonts w:ascii="宋体" w:eastAsia="宋体" w:hAnsi="宋体" w:hint="eastAsia"/>
          <w:b w:val="0"/>
          <w:color w:val="000000" w:themeColor="text1"/>
          <w:sz w:val="18"/>
          <w:szCs w:val="18"/>
        </w:rPr>
        <w:t>（四）附条件</w:t>
      </w:r>
      <w:r w:rsidRPr="00356327">
        <w:rPr>
          <w:rFonts w:ascii="宋体" w:eastAsia="宋体" w:hAnsi="宋体"/>
          <w:b w:val="0"/>
          <w:color w:val="000000" w:themeColor="text1"/>
          <w:sz w:val="18"/>
          <w:szCs w:val="18"/>
        </w:rPr>
        <w:t>不起诉</w:t>
      </w:r>
      <w:r>
        <w:rPr>
          <w:rFonts w:ascii="宋体" w:eastAsia="宋体" w:hAnsi="宋体" w:hint="eastAsia"/>
          <w:b w:val="0"/>
          <w:color w:val="000000" w:themeColor="text1"/>
          <w:sz w:val="18"/>
          <w:szCs w:val="18"/>
        </w:rPr>
        <w:t>：</w:t>
      </w:r>
      <w:r w:rsidRPr="00A10847">
        <w:rPr>
          <w:rFonts w:ascii="宋体" w:eastAsia="宋体" w:hAnsi="宋体" w:hint="eastAsia"/>
          <w:b w:val="0"/>
          <w:bCs w:val="0"/>
          <w:kern w:val="0"/>
          <w:sz w:val="18"/>
          <w:szCs w:val="18"/>
        </w:rPr>
        <w:t>对于未成年人涉嫌刑法分则第四章、第五章、第六章规定的犯罪，可能判处一年有期徒刑以下刑罚，符合起诉条件，但有悔罪表现的，人民检察院可以作出附条件不起诉的决定</w:t>
      </w:r>
    </w:p>
    <w:p w14:paraId="367DFBE0" w14:textId="77777777" w:rsidR="006F177D" w:rsidRPr="00356327" w:rsidRDefault="006F177D" w:rsidP="006F177D">
      <w:pPr>
        <w:pStyle w:val="3"/>
        <w:spacing w:line="240" w:lineRule="exact"/>
        <w:ind w:firstLineChars="200" w:firstLine="360"/>
        <w:rPr>
          <w:rFonts w:eastAsia="宋体" w:hint="eastAsia"/>
          <w:b/>
          <w:sz w:val="18"/>
          <w:szCs w:val="18"/>
        </w:rPr>
      </w:pPr>
      <w:bookmarkStart w:id="12" w:name="_Toc510879083"/>
      <w:r w:rsidRPr="00356327">
        <w:rPr>
          <w:rFonts w:eastAsia="宋体" w:hint="eastAsia"/>
          <w:sz w:val="18"/>
          <w:szCs w:val="18"/>
        </w:rPr>
        <w:t>二、不起诉的救济程序</w:t>
      </w:r>
      <w:bookmarkEnd w:id="12"/>
    </w:p>
    <w:p w14:paraId="1A349160" w14:textId="77777777" w:rsidR="006F177D" w:rsidRPr="00356327" w:rsidRDefault="006F177D" w:rsidP="006F177D">
      <w:pPr>
        <w:pStyle w:val="4"/>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356327">
        <w:rPr>
          <w:rFonts w:ascii="宋体" w:eastAsia="宋体" w:hAnsi="宋体" w:hint="eastAsia"/>
          <w:b w:val="0"/>
          <w:color w:val="000000" w:themeColor="text1"/>
          <w:sz w:val="18"/>
          <w:szCs w:val="18"/>
        </w:rPr>
        <w:t>（一）公安机关要求复议、提请复核</w:t>
      </w:r>
    </w:p>
    <w:p w14:paraId="6DB9D0E9" w14:textId="77777777" w:rsidR="006F177D" w:rsidRPr="00356327" w:rsidRDefault="006F177D" w:rsidP="006F177D">
      <w:pPr>
        <w:pStyle w:val="a9"/>
        <w:spacing w:beforeLines="0" w:afterLines="0"/>
        <w:ind w:firstLineChars="200" w:firstLine="360"/>
        <w:rPr>
          <w:rFonts w:hAnsi="宋体" w:cs="宋体" w:hint="eastAsia"/>
          <w:sz w:val="18"/>
          <w:szCs w:val="18"/>
        </w:rPr>
      </w:pPr>
      <w:r w:rsidRPr="00356327">
        <w:rPr>
          <w:rFonts w:hAnsi="宋体" w:cs="宋体"/>
          <w:color w:val="B00824"/>
          <w:sz w:val="18"/>
          <w:szCs w:val="18"/>
        </w:rPr>
        <w:t>公安机关认为不起诉的决定有错误的时候，可以要求复议，如果意见不被接受，可以向上一级人民检察院提请复核</w:t>
      </w:r>
      <w:r w:rsidRPr="00356327">
        <w:rPr>
          <w:rFonts w:hAnsi="宋体" w:cs="宋体" w:hint="eastAsia"/>
          <w:sz w:val="18"/>
          <w:szCs w:val="18"/>
        </w:rPr>
        <w:t>。</w:t>
      </w:r>
    </w:p>
    <w:p w14:paraId="0C906DF6" w14:textId="77777777" w:rsidR="006F177D" w:rsidRPr="00356327" w:rsidRDefault="006F177D" w:rsidP="006F177D">
      <w:pPr>
        <w:pStyle w:val="4"/>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356327">
        <w:rPr>
          <w:rFonts w:ascii="宋体" w:eastAsia="宋体" w:hAnsi="宋体" w:hint="eastAsia"/>
          <w:b w:val="0"/>
          <w:color w:val="000000" w:themeColor="text1"/>
          <w:sz w:val="18"/>
          <w:szCs w:val="18"/>
        </w:rPr>
        <w:t>（二）被害人申诉或自诉</w:t>
      </w:r>
    </w:p>
    <w:p w14:paraId="1BD73ED3" w14:textId="77777777" w:rsidR="006F177D" w:rsidRPr="00356327" w:rsidRDefault="006F177D" w:rsidP="006F177D">
      <w:pPr>
        <w:pStyle w:val="a9"/>
        <w:spacing w:beforeLines="0" w:afterLines="0"/>
        <w:ind w:firstLineChars="200" w:firstLine="360"/>
        <w:rPr>
          <w:rFonts w:hAnsi="宋体" w:cs="宋体" w:hint="eastAsia"/>
          <w:sz w:val="18"/>
          <w:szCs w:val="18"/>
        </w:rPr>
      </w:pPr>
      <w:r w:rsidRPr="00356327">
        <w:rPr>
          <w:rFonts w:hAnsi="宋体" w:cs="宋体" w:hint="eastAsia"/>
          <w:sz w:val="18"/>
          <w:szCs w:val="18"/>
        </w:rPr>
        <w:t>被害人如果不服，可以自</w:t>
      </w:r>
      <w:r w:rsidRPr="00356327">
        <w:rPr>
          <w:rFonts w:hAnsi="宋体" w:cs="宋体"/>
          <w:color w:val="B00824"/>
          <w:sz w:val="18"/>
          <w:szCs w:val="18"/>
        </w:rPr>
        <w:t>收到决定书后七日以内向上一级人民检察院申诉，请求提起公诉</w:t>
      </w:r>
      <w:r w:rsidRPr="00356327">
        <w:rPr>
          <w:rFonts w:hAnsi="宋体" w:cs="宋体" w:hint="eastAsia"/>
          <w:sz w:val="18"/>
          <w:szCs w:val="18"/>
        </w:rPr>
        <w:t>。对人民检察院维持不起诉决定的，被害人可以向人民法院起诉。被害人也可以不经申诉，</w:t>
      </w:r>
      <w:r w:rsidRPr="00356327">
        <w:rPr>
          <w:rFonts w:hAnsi="宋体" w:cs="宋体"/>
          <w:color w:val="B00824"/>
          <w:sz w:val="18"/>
          <w:szCs w:val="18"/>
        </w:rPr>
        <w:t>直接向人民法院起诉</w:t>
      </w:r>
      <w:r w:rsidRPr="00356327">
        <w:rPr>
          <w:rFonts w:hAnsi="宋体" w:cs="宋体" w:hint="eastAsia"/>
          <w:sz w:val="18"/>
          <w:szCs w:val="18"/>
        </w:rPr>
        <w:t>。</w:t>
      </w:r>
    </w:p>
    <w:p w14:paraId="2B91F0EE" w14:textId="77777777" w:rsidR="006F177D" w:rsidRPr="00356327" w:rsidRDefault="006F177D" w:rsidP="006F177D">
      <w:pPr>
        <w:pStyle w:val="a9"/>
        <w:spacing w:beforeLines="0" w:afterLines="0"/>
        <w:ind w:firstLineChars="200" w:firstLine="360"/>
        <w:rPr>
          <w:rFonts w:hAnsi="宋体" w:cs="宋体" w:hint="eastAsia"/>
          <w:sz w:val="18"/>
          <w:szCs w:val="18"/>
        </w:rPr>
      </w:pPr>
      <w:r w:rsidRPr="00356327">
        <w:rPr>
          <w:rFonts w:hAnsi="宋体" w:cs="宋体" w:hint="eastAsia"/>
          <w:sz w:val="18"/>
          <w:szCs w:val="18"/>
        </w:rPr>
        <w:t>被害人不服不起诉决定，</w:t>
      </w:r>
      <w:r w:rsidRPr="00356327">
        <w:rPr>
          <w:rFonts w:hAnsi="宋体" w:cs="宋体" w:hint="eastAsia"/>
          <w:color w:val="B00824"/>
          <w:sz w:val="18"/>
          <w:szCs w:val="18"/>
        </w:rPr>
        <w:t>在收到不起诉决定书七日以后提出申诉的</w:t>
      </w:r>
      <w:r w:rsidRPr="00356327">
        <w:rPr>
          <w:rFonts w:hAnsi="宋体" w:cs="宋体" w:hint="eastAsia"/>
          <w:sz w:val="18"/>
          <w:szCs w:val="18"/>
        </w:rPr>
        <w:t>，</w:t>
      </w:r>
      <w:r w:rsidRPr="00356327">
        <w:rPr>
          <w:rFonts w:hAnsi="宋体" w:cs="宋体" w:hint="eastAsia"/>
          <w:color w:val="B00824"/>
          <w:sz w:val="18"/>
          <w:szCs w:val="18"/>
        </w:rPr>
        <w:t>由作出不起诉决定的人民检察院负责控告申诉检察的部门进行审查</w:t>
      </w:r>
      <w:r w:rsidRPr="00356327">
        <w:rPr>
          <w:rFonts w:hAnsi="宋体" w:cs="宋体" w:hint="eastAsia"/>
          <w:sz w:val="18"/>
          <w:szCs w:val="18"/>
        </w:rPr>
        <w:t>。</w:t>
      </w:r>
    </w:p>
    <w:p w14:paraId="18D4B0DB" w14:textId="77777777" w:rsidR="006F177D" w:rsidRPr="00E145C5" w:rsidRDefault="006F177D" w:rsidP="006F177D">
      <w:pPr>
        <w:pStyle w:val="4"/>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356327">
        <w:rPr>
          <w:rFonts w:ascii="宋体" w:eastAsia="宋体" w:hAnsi="宋体" w:hint="eastAsia"/>
          <w:b w:val="0"/>
          <w:color w:val="000000" w:themeColor="text1"/>
          <w:sz w:val="18"/>
          <w:szCs w:val="18"/>
        </w:rPr>
        <w:t>（三）被不起诉人申诉</w:t>
      </w:r>
      <w:r>
        <w:rPr>
          <w:rFonts w:ascii="宋体" w:eastAsia="宋体" w:hAnsi="宋体" w:hint="eastAsia"/>
          <w:b w:val="0"/>
          <w:color w:val="000000" w:themeColor="text1"/>
          <w:sz w:val="18"/>
          <w:szCs w:val="18"/>
        </w:rPr>
        <w:t>：</w:t>
      </w:r>
      <w:r w:rsidRPr="00E145C5">
        <w:rPr>
          <w:rFonts w:ascii="宋体" w:eastAsia="宋体" w:hAnsi="宋体" w:cs="宋体" w:hint="eastAsia"/>
          <w:sz w:val="18"/>
          <w:szCs w:val="18"/>
        </w:rPr>
        <w:t>被不起诉人不服，在收到不起诉决定书后七日以内提出申诉的，应当由</w:t>
      </w:r>
      <w:r w:rsidRPr="00E145C5">
        <w:rPr>
          <w:rFonts w:ascii="宋体" w:eastAsia="宋体" w:hAnsi="宋体" w:cs="宋体" w:hint="eastAsia"/>
          <w:color w:val="B00824"/>
          <w:sz w:val="18"/>
          <w:szCs w:val="18"/>
        </w:rPr>
        <w:t>作出决定的人民检察院负责捕诉的部门进行复查。</w:t>
      </w:r>
    </w:p>
    <w:p w14:paraId="32918598" w14:textId="77777777" w:rsidR="006F177D" w:rsidRPr="000A2E21" w:rsidRDefault="006F177D" w:rsidP="006F177D">
      <w:pPr>
        <w:pStyle w:val="4"/>
        <w:tabs>
          <w:tab w:val="left" w:pos="420"/>
        </w:tabs>
        <w:spacing w:before="0" w:after="0" w:line="240" w:lineRule="exact"/>
        <w:ind w:firstLineChars="200" w:firstLine="360"/>
        <w:jc w:val="left"/>
        <w:rPr>
          <w:rFonts w:ascii="宋体" w:eastAsia="宋体" w:hAnsi="宋体" w:cs="宋体" w:hint="eastAsia"/>
          <w:b w:val="0"/>
          <w:bCs w:val="0"/>
          <w:sz w:val="18"/>
          <w:szCs w:val="18"/>
        </w:rPr>
      </w:pPr>
      <w:r w:rsidRPr="00356327">
        <w:rPr>
          <w:rFonts w:ascii="宋体" w:eastAsia="宋体" w:hAnsi="宋体" w:hint="eastAsia"/>
          <w:b w:val="0"/>
          <w:color w:val="000000" w:themeColor="text1"/>
          <w:sz w:val="18"/>
          <w:szCs w:val="18"/>
        </w:rPr>
        <w:t>（四）监察机关的复议</w:t>
      </w:r>
      <w:r>
        <w:rPr>
          <w:rFonts w:ascii="宋体" w:eastAsia="宋体" w:hAnsi="宋体" w:hint="eastAsia"/>
          <w:b w:val="0"/>
          <w:color w:val="000000" w:themeColor="text1"/>
          <w:sz w:val="18"/>
          <w:szCs w:val="18"/>
        </w:rPr>
        <w:t>：</w:t>
      </w:r>
      <w:r w:rsidRPr="00B11F73">
        <w:rPr>
          <w:rFonts w:ascii="宋体" w:eastAsia="宋体" w:hAnsi="宋体" w:cs="宋体" w:hint="eastAsia"/>
          <w:b w:val="0"/>
          <w:bCs w:val="0"/>
          <w:sz w:val="18"/>
          <w:szCs w:val="18"/>
        </w:rPr>
        <w:t>监察机关认为不起诉的决定有错误，向</w:t>
      </w:r>
      <w:r w:rsidRPr="00B11F73">
        <w:rPr>
          <w:rFonts w:ascii="宋体" w:eastAsia="宋体" w:hAnsi="宋体" w:cs="宋体" w:hint="eastAsia"/>
          <w:b w:val="0"/>
          <w:bCs w:val="0"/>
          <w:color w:val="B00824"/>
          <w:sz w:val="18"/>
          <w:szCs w:val="18"/>
        </w:rPr>
        <w:t>上一级人民检察院提请复议的，上一级人民检察院应当在收到提请复议意见书后三十日以内，经检察长批准，作出复议决定，通知监察机关</w:t>
      </w:r>
      <w:r w:rsidRPr="00B11F73">
        <w:rPr>
          <w:rFonts w:ascii="宋体" w:eastAsia="宋体" w:hAnsi="宋体" w:cs="宋体" w:hint="eastAsia"/>
          <w:b w:val="0"/>
          <w:bCs w:val="0"/>
          <w:sz w:val="18"/>
          <w:szCs w:val="18"/>
        </w:rPr>
        <w:t>。</w:t>
      </w:r>
    </w:p>
    <w:p w14:paraId="13BEEF5D" w14:textId="32195403" w:rsidR="006F177D" w:rsidRPr="00356327" w:rsidRDefault="006F177D" w:rsidP="006F177D">
      <w:pPr>
        <w:pStyle w:val="1"/>
        <w:tabs>
          <w:tab w:val="left" w:pos="420"/>
        </w:tabs>
        <w:spacing w:before="0" w:after="0" w:line="240" w:lineRule="exact"/>
        <w:jc w:val="center"/>
        <w:rPr>
          <w:rFonts w:ascii="宋体" w:hAnsi="宋体" w:hint="eastAsia"/>
          <w:bCs w:val="0"/>
          <w:sz w:val="18"/>
          <w:szCs w:val="18"/>
        </w:rPr>
      </w:pPr>
      <w:bookmarkStart w:id="13" w:name="_Toc4844135"/>
      <w:bookmarkStart w:id="14" w:name="_Toc8084"/>
      <w:bookmarkStart w:id="15" w:name="_Toc136521783"/>
      <w:r w:rsidRPr="00356327">
        <w:rPr>
          <w:rFonts w:ascii="宋体" w:hAnsi="宋体" w:hint="eastAsia"/>
          <w:bCs w:val="0"/>
          <w:sz w:val="18"/>
          <w:szCs w:val="18"/>
        </w:rPr>
        <w:t>考点4</w:t>
      </w:r>
      <w:r w:rsidRPr="00356327">
        <w:rPr>
          <w:rFonts w:ascii="宋体" w:hAnsi="宋体"/>
          <w:bCs w:val="0"/>
          <w:sz w:val="18"/>
          <w:szCs w:val="18"/>
        </w:rPr>
        <w:t>3</w:t>
      </w:r>
      <w:r w:rsidRPr="00356327">
        <w:rPr>
          <w:rFonts w:ascii="宋体" w:hAnsi="宋体" w:hint="eastAsia"/>
          <w:bCs w:val="0"/>
          <w:sz w:val="18"/>
          <w:szCs w:val="18"/>
        </w:rPr>
        <w:t xml:space="preserve">  </w:t>
      </w:r>
      <w:r w:rsidRPr="00356327">
        <w:rPr>
          <w:rFonts w:ascii="宋体" w:hAnsi="宋体"/>
          <w:bCs w:val="0"/>
          <w:sz w:val="18"/>
          <w:szCs w:val="18"/>
        </w:rPr>
        <w:t>刑事审判</w:t>
      </w:r>
      <w:r w:rsidRPr="00356327">
        <w:rPr>
          <w:rFonts w:ascii="宋体" w:hAnsi="宋体" w:hint="eastAsia"/>
          <w:bCs w:val="0"/>
          <w:sz w:val="18"/>
          <w:szCs w:val="18"/>
        </w:rPr>
        <w:t>原则</w:t>
      </w:r>
      <w:bookmarkEnd w:id="13"/>
      <w:bookmarkEnd w:id="14"/>
      <w:bookmarkEnd w:id="15"/>
      <w:r w:rsidRPr="00356327">
        <w:rPr>
          <w:rFonts w:ascii="宋体" w:hAnsi="宋体" w:cs="宋体" w:hint="eastAsia"/>
          <w:bCs w:val="0"/>
          <w:sz w:val="18"/>
          <w:szCs w:val="18"/>
        </w:rPr>
        <w:t>（</w:t>
      </w:r>
      <w:r w:rsidR="00B40AA0">
        <w:rPr>
          <w:rFonts w:ascii="宋体" w:hAnsi="宋体" w:cs="宋体" w:hint="eastAsia"/>
          <w:bCs w:val="0"/>
          <w:sz w:val="18"/>
          <w:szCs w:val="18"/>
        </w:rPr>
        <w:t>09</w:t>
      </w:r>
      <w:r w:rsidRPr="00356327">
        <w:rPr>
          <w:rFonts w:ascii="宋体" w:hAnsi="宋体" w:cs="宋体"/>
          <w:bCs w:val="0"/>
          <w:sz w:val="18"/>
          <w:szCs w:val="18"/>
        </w:rPr>
        <w:t>:</w:t>
      </w:r>
      <w:r w:rsidR="00B40AA0">
        <w:rPr>
          <w:rFonts w:ascii="宋体" w:hAnsi="宋体" w:cs="宋体" w:hint="eastAsia"/>
          <w:bCs w:val="0"/>
          <w:sz w:val="18"/>
          <w:szCs w:val="18"/>
        </w:rPr>
        <w:t>13</w:t>
      </w:r>
      <w:r w:rsidRPr="00356327">
        <w:rPr>
          <w:rFonts w:ascii="宋体" w:hAnsi="宋体" w:cs="宋体"/>
          <w:bCs w:val="0"/>
          <w:sz w:val="18"/>
          <w:szCs w:val="18"/>
        </w:rPr>
        <w:t>:00-</w:t>
      </w:r>
      <w:r w:rsidR="00CC3D82">
        <w:rPr>
          <w:rFonts w:ascii="宋体" w:hAnsi="宋体" w:cs="宋体" w:hint="eastAsia"/>
          <w:bCs w:val="0"/>
          <w:sz w:val="18"/>
          <w:szCs w:val="18"/>
        </w:rPr>
        <w:t>09</w:t>
      </w:r>
      <w:r w:rsidRPr="00356327">
        <w:rPr>
          <w:rFonts w:ascii="宋体" w:hAnsi="宋体" w:cs="宋体"/>
          <w:bCs w:val="0"/>
          <w:sz w:val="18"/>
          <w:szCs w:val="18"/>
        </w:rPr>
        <w:t>:</w:t>
      </w:r>
      <w:r w:rsidR="00CC3D82">
        <w:rPr>
          <w:rFonts w:ascii="宋体" w:hAnsi="宋体" w:cs="宋体" w:hint="eastAsia"/>
          <w:bCs w:val="0"/>
          <w:sz w:val="18"/>
          <w:szCs w:val="18"/>
        </w:rPr>
        <w:t>21</w:t>
      </w:r>
      <w:r w:rsidRPr="00356327">
        <w:rPr>
          <w:rFonts w:ascii="宋体" w:hAnsi="宋体" w:cs="宋体"/>
          <w:bCs w:val="0"/>
          <w:sz w:val="18"/>
          <w:szCs w:val="18"/>
        </w:rPr>
        <w:t>:00）</w:t>
      </w:r>
    </w:p>
    <w:p w14:paraId="1EF17FC7" w14:textId="77777777" w:rsidR="006F177D" w:rsidRPr="00B11F73" w:rsidRDefault="006F177D" w:rsidP="006F177D">
      <w:pPr>
        <w:pStyle w:val="3"/>
        <w:spacing w:line="240" w:lineRule="exact"/>
        <w:ind w:firstLineChars="200" w:firstLine="360"/>
        <w:rPr>
          <w:rFonts w:eastAsia="宋体" w:hint="eastAsia"/>
          <w:sz w:val="18"/>
          <w:szCs w:val="18"/>
        </w:rPr>
      </w:pPr>
      <w:r w:rsidRPr="00356327">
        <w:rPr>
          <w:rFonts w:eastAsia="宋体" w:hint="eastAsia"/>
          <w:sz w:val="18"/>
          <w:szCs w:val="18"/>
        </w:rPr>
        <w:t>一、审判公开原则</w:t>
      </w:r>
      <w:r>
        <w:rPr>
          <w:rFonts w:eastAsia="宋体" w:hint="eastAsia"/>
          <w:sz w:val="18"/>
          <w:szCs w:val="18"/>
        </w:rPr>
        <w:t>：</w:t>
      </w:r>
      <w:r w:rsidRPr="00356327">
        <w:rPr>
          <w:rFonts w:eastAsia="宋体" w:hint="eastAsia"/>
          <w:bCs/>
          <w:color w:val="FF0000"/>
          <w:sz w:val="18"/>
          <w:szCs w:val="18"/>
        </w:rPr>
        <w:t>应当不公开</w:t>
      </w:r>
      <w:r w:rsidRPr="00356327">
        <w:rPr>
          <w:rFonts w:eastAsia="宋体" w:hint="eastAsia"/>
          <w:bCs/>
          <w:sz w:val="18"/>
          <w:szCs w:val="18"/>
        </w:rPr>
        <w:t>：</w:t>
      </w:r>
      <w:r w:rsidRPr="00356327">
        <w:rPr>
          <w:rFonts w:eastAsia="宋体" w:hint="eastAsia"/>
          <w:sz w:val="18"/>
          <w:szCs w:val="18"/>
        </w:rPr>
        <w:t>涉及</w:t>
      </w:r>
      <w:r w:rsidRPr="00356327">
        <w:rPr>
          <w:rFonts w:eastAsia="宋体" w:hint="eastAsia"/>
          <w:bCs/>
          <w:sz w:val="18"/>
          <w:szCs w:val="18"/>
        </w:rPr>
        <w:t>国家秘密</w:t>
      </w:r>
      <w:r w:rsidRPr="00356327">
        <w:rPr>
          <w:rFonts w:eastAsia="宋体" w:hint="eastAsia"/>
          <w:sz w:val="18"/>
          <w:szCs w:val="18"/>
        </w:rPr>
        <w:t>的案件、</w:t>
      </w:r>
      <w:r w:rsidRPr="00356327">
        <w:rPr>
          <w:rFonts w:eastAsia="宋体" w:hint="eastAsia"/>
          <w:bCs/>
          <w:sz w:val="18"/>
          <w:szCs w:val="18"/>
        </w:rPr>
        <w:t>个人隐私</w:t>
      </w:r>
      <w:r w:rsidRPr="00356327">
        <w:rPr>
          <w:rFonts w:eastAsia="宋体" w:hint="eastAsia"/>
          <w:sz w:val="18"/>
          <w:szCs w:val="18"/>
        </w:rPr>
        <w:t>的案件、</w:t>
      </w:r>
      <w:r w:rsidRPr="00356327">
        <w:rPr>
          <w:rFonts w:eastAsia="宋体" w:hint="eastAsia"/>
          <w:bCs/>
          <w:sz w:val="18"/>
          <w:szCs w:val="18"/>
        </w:rPr>
        <w:t>审</w:t>
      </w:r>
      <w:r w:rsidRPr="00356327">
        <w:rPr>
          <w:rFonts w:eastAsia="宋体" w:hint="eastAsia"/>
          <w:sz w:val="18"/>
          <w:szCs w:val="18"/>
        </w:rPr>
        <w:t>判时不满十八周岁的案件</w:t>
      </w:r>
      <w:r>
        <w:rPr>
          <w:rFonts w:eastAsia="宋体" w:hint="eastAsia"/>
          <w:sz w:val="18"/>
          <w:szCs w:val="18"/>
        </w:rPr>
        <w:t>。</w:t>
      </w:r>
      <w:r w:rsidRPr="00356327">
        <w:rPr>
          <w:rFonts w:eastAsia="宋体" w:hint="eastAsia"/>
          <w:sz w:val="18"/>
          <w:szCs w:val="18"/>
        </w:rPr>
        <w:t>宣判必须公开，但评议一律秘密进行。</w:t>
      </w:r>
    </w:p>
    <w:p w14:paraId="31BFC997" w14:textId="77777777" w:rsidR="006F177D" w:rsidRPr="00356327" w:rsidRDefault="006F177D" w:rsidP="006F177D">
      <w:pPr>
        <w:pStyle w:val="3"/>
        <w:spacing w:line="240" w:lineRule="exact"/>
        <w:ind w:firstLineChars="200" w:firstLine="360"/>
        <w:rPr>
          <w:rFonts w:eastAsia="宋体" w:hint="eastAsia"/>
          <w:b/>
          <w:sz w:val="18"/>
          <w:szCs w:val="18"/>
        </w:rPr>
      </w:pPr>
      <w:r w:rsidRPr="00356327">
        <w:rPr>
          <w:rFonts w:eastAsia="宋体" w:hint="eastAsia"/>
          <w:sz w:val="18"/>
          <w:szCs w:val="18"/>
        </w:rPr>
        <w:t>二、直接言词原则</w:t>
      </w:r>
    </w:p>
    <w:p w14:paraId="25A56698" w14:textId="77777777" w:rsidR="006F177D" w:rsidRPr="00356327" w:rsidRDefault="006F177D" w:rsidP="006F177D">
      <w:pPr>
        <w:spacing w:line="240" w:lineRule="exact"/>
        <w:ind w:firstLineChars="200" w:firstLine="360"/>
        <w:rPr>
          <w:rFonts w:ascii="宋体" w:eastAsia="宋体" w:hAnsi="宋体" w:hint="eastAsia"/>
          <w:sz w:val="18"/>
          <w:szCs w:val="18"/>
        </w:rPr>
      </w:pPr>
      <w:r w:rsidRPr="00356327">
        <w:rPr>
          <w:rFonts w:ascii="宋体" w:eastAsia="宋体" w:hAnsi="宋体" w:hint="eastAsia"/>
          <w:sz w:val="18"/>
          <w:szCs w:val="18"/>
        </w:rPr>
        <w:t>（一）直接原则，是指</w:t>
      </w:r>
      <w:r w:rsidRPr="00356327">
        <w:rPr>
          <w:rFonts w:ascii="宋体" w:eastAsia="宋体" w:hAnsi="宋体" w:hint="eastAsia"/>
          <w:color w:val="B00824"/>
          <w:sz w:val="18"/>
          <w:szCs w:val="18"/>
        </w:rPr>
        <w:t>法官必须与诉讼当事人和诉讼参与人直接接触，直接审查案件事实材料和证据</w:t>
      </w:r>
      <w:r w:rsidRPr="00356327">
        <w:rPr>
          <w:rFonts w:ascii="宋体" w:eastAsia="宋体" w:hAnsi="宋体" w:hint="eastAsia"/>
          <w:sz w:val="18"/>
          <w:szCs w:val="18"/>
        </w:rPr>
        <w:t>。具体体现为：1．</w:t>
      </w:r>
      <w:r w:rsidRPr="00356327">
        <w:rPr>
          <w:rFonts w:ascii="宋体" w:eastAsia="宋体" w:hAnsi="宋体" w:hint="eastAsia"/>
          <w:color w:val="B00824"/>
          <w:sz w:val="18"/>
          <w:szCs w:val="18"/>
        </w:rPr>
        <w:t>直接审理原则</w:t>
      </w:r>
      <w:r w:rsidRPr="00356327">
        <w:rPr>
          <w:rFonts w:ascii="宋体" w:eastAsia="宋体" w:hAnsi="宋体" w:hint="eastAsia"/>
          <w:sz w:val="18"/>
          <w:szCs w:val="18"/>
        </w:rPr>
        <w:t>：庭审中，法官，公诉人，诉讼参与人应当在场，除非法律另有规定，上述人员不在场的审判无效。2</w:t>
      </w:r>
      <w:r w:rsidRPr="00356327">
        <w:rPr>
          <w:rFonts w:ascii="宋体" w:eastAsia="宋体" w:hAnsi="宋体"/>
          <w:sz w:val="18"/>
          <w:szCs w:val="18"/>
        </w:rPr>
        <w:t>．</w:t>
      </w:r>
      <w:r w:rsidRPr="00356327">
        <w:rPr>
          <w:rFonts w:ascii="宋体" w:eastAsia="宋体" w:hAnsi="宋体" w:hint="eastAsia"/>
          <w:color w:val="B00824"/>
          <w:sz w:val="18"/>
          <w:szCs w:val="18"/>
        </w:rPr>
        <w:t>直接采证原则</w:t>
      </w:r>
      <w:r w:rsidRPr="00356327">
        <w:rPr>
          <w:rFonts w:ascii="宋体" w:eastAsia="宋体" w:hAnsi="宋体" w:hint="eastAsia"/>
          <w:sz w:val="18"/>
          <w:szCs w:val="18"/>
        </w:rPr>
        <w:t>：法官必须亲自、当庭调查证据，不得以书面审查方式采信证据。（二）言词原则，是指法庭审理必须以口头陈述的方式进行。除非法律有明确规定，凡是未经口头调查之证据，不得作为定案的依据采纳。</w:t>
      </w:r>
    </w:p>
    <w:p w14:paraId="555DACA9" w14:textId="77777777" w:rsidR="006F177D" w:rsidRPr="00356327" w:rsidRDefault="006F177D" w:rsidP="006F177D">
      <w:pPr>
        <w:spacing w:line="240" w:lineRule="exact"/>
        <w:ind w:firstLineChars="200" w:firstLine="360"/>
        <w:rPr>
          <w:rFonts w:ascii="宋体" w:eastAsia="宋体" w:hAnsi="宋体" w:hint="eastAsia"/>
          <w:sz w:val="18"/>
          <w:szCs w:val="18"/>
        </w:rPr>
      </w:pPr>
      <w:r w:rsidRPr="00356327">
        <w:rPr>
          <w:rFonts w:ascii="宋体" w:eastAsia="宋体" w:hAnsi="宋体" w:hint="eastAsia"/>
          <w:sz w:val="18"/>
          <w:szCs w:val="18"/>
        </w:rPr>
        <w:t>三、集中审理原则</w:t>
      </w:r>
    </w:p>
    <w:p w14:paraId="05B5A843" w14:textId="77777777" w:rsidR="006F177D" w:rsidRPr="00356327" w:rsidRDefault="006F177D" w:rsidP="006F177D">
      <w:pPr>
        <w:spacing w:line="240" w:lineRule="exact"/>
        <w:ind w:firstLineChars="200" w:firstLine="360"/>
        <w:rPr>
          <w:rFonts w:ascii="宋体" w:eastAsia="宋体" w:hAnsi="宋体" w:hint="eastAsia"/>
          <w:sz w:val="18"/>
          <w:szCs w:val="18"/>
        </w:rPr>
      </w:pPr>
      <w:r w:rsidRPr="00356327">
        <w:rPr>
          <w:rFonts w:ascii="宋体" w:eastAsia="宋体" w:hAnsi="宋体" w:hint="eastAsia"/>
          <w:sz w:val="18"/>
          <w:szCs w:val="18"/>
        </w:rPr>
        <w:t>集中审理原则是指，法院开庭审理案件，</w:t>
      </w:r>
      <w:r w:rsidRPr="00356327">
        <w:rPr>
          <w:rFonts w:ascii="宋体" w:eastAsia="宋体" w:hAnsi="宋体" w:hint="eastAsia"/>
          <w:color w:val="B00824"/>
          <w:sz w:val="18"/>
          <w:szCs w:val="18"/>
        </w:rPr>
        <w:t>应在不更换审判人员的条件下连续进行，不得中断审理的诉讼原则</w:t>
      </w:r>
      <w:r w:rsidRPr="00356327">
        <w:rPr>
          <w:rFonts w:ascii="宋体" w:eastAsia="宋体" w:hAnsi="宋体" w:hint="eastAsia"/>
          <w:sz w:val="18"/>
          <w:szCs w:val="18"/>
        </w:rPr>
        <w:t>。其内容包括：1</w:t>
      </w:r>
      <w:r w:rsidRPr="00356327">
        <w:rPr>
          <w:rFonts w:ascii="宋体" w:eastAsia="宋体" w:hAnsi="宋体"/>
          <w:sz w:val="18"/>
          <w:szCs w:val="18"/>
        </w:rPr>
        <w:t>．</w:t>
      </w:r>
      <w:r w:rsidRPr="00356327">
        <w:rPr>
          <w:rFonts w:ascii="宋体" w:eastAsia="宋体" w:hAnsi="宋体" w:hint="eastAsia"/>
          <w:sz w:val="18"/>
          <w:szCs w:val="18"/>
        </w:rPr>
        <w:t>一个案件组成一个审判庭进行审理。2</w:t>
      </w:r>
      <w:r w:rsidRPr="00356327">
        <w:rPr>
          <w:rFonts w:ascii="宋体" w:eastAsia="宋体" w:hAnsi="宋体"/>
          <w:sz w:val="18"/>
          <w:szCs w:val="18"/>
        </w:rPr>
        <w:t>．</w:t>
      </w:r>
      <w:r w:rsidRPr="00356327">
        <w:rPr>
          <w:rFonts w:ascii="宋体" w:eastAsia="宋体" w:hAnsi="宋体" w:hint="eastAsia"/>
          <w:sz w:val="18"/>
          <w:szCs w:val="18"/>
        </w:rPr>
        <w:t>法庭成员不可更换。3</w:t>
      </w:r>
      <w:r w:rsidRPr="00356327">
        <w:rPr>
          <w:rFonts w:ascii="宋体" w:eastAsia="宋体" w:hAnsi="宋体"/>
          <w:sz w:val="18"/>
          <w:szCs w:val="18"/>
        </w:rPr>
        <w:t>．</w:t>
      </w:r>
      <w:r w:rsidRPr="00356327">
        <w:rPr>
          <w:rFonts w:ascii="宋体" w:eastAsia="宋体" w:hAnsi="宋体" w:hint="eastAsia"/>
          <w:sz w:val="18"/>
          <w:szCs w:val="18"/>
        </w:rPr>
        <w:t>证据调查与法庭辩论集中进行。4</w:t>
      </w:r>
      <w:r w:rsidRPr="00356327">
        <w:rPr>
          <w:rFonts w:ascii="宋体" w:eastAsia="宋体" w:hAnsi="宋体"/>
          <w:sz w:val="18"/>
          <w:szCs w:val="18"/>
        </w:rPr>
        <w:t>．</w:t>
      </w:r>
      <w:r w:rsidRPr="00356327">
        <w:rPr>
          <w:rFonts w:ascii="宋体" w:eastAsia="宋体" w:hAnsi="宋体" w:hint="eastAsia"/>
          <w:sz w:val="18"/>
          <w:szCs w:val="18"/>
        </w:rPr>
        <w:t>庭审不中断并迅速作出裁判。</w:t>
      </w:r>
    </w:p>
    <w:p w14:paraId="2504D627" w14:textId="5B4FC933" w:rsidR="006F177D" w:rsidRPr="00356327" w:rsidRDefault="006F177D" w:rsidP="006F177D">
      <w:pPr>
        <w:pStyle w:val="1"/>
        <w:tabs>
          <w:tab w:val="left" w:pos="420"/>
        </w:tabs>
        <w:spacing w:before="0" w:after="0" w:line="240" w:lineRule="exact"/>
        <w:jc w:val="center"/>
        <w:rPr>
          <w:rFonts w:ascii="宋体" w:hAnsi="宋体" w:hint="eastAsia"/>
          <w:bCs w:val="0"/>
          <w:sz w:val="18"/>
          <w:szCs w:val="18"/>
        </w:rPr>
      </w:pPr>
      <w:bookmarkStart w:id="16" w:name="_Toc4844136"/>
      <w:bookmarkStart w:id="17" w:name="_Toc15052"/>
      <w:bookmarkStart w:id="18" w:name="_Toc136521784"/>
      <w:r w:rsidRPr="00356327">
        <w:rPr>
          <w:rFonts w:ascii="宋体" w:hAnsi="宋体" w:hint="eastAsia"/>
          <w:bCs w:val="0"/>
          <w:sz w:val="18"/>
          <w:szCs w:val="18"/>
        </w:rPr>
        <w:t>考点4</w:t>
      </w:r>
      <w:r w:rsidRPr="00356327">
        <w:rPr>
          <w:rFonts w:ascii="宋体" w:hAnsi="宋体"/>
          <w:bCs w:val="0"/>
          <w:sz w:val="18"/>
          <w:szCs w:val="18"/>
        </w:rPr>
        <w:t>4</w:t>
      </w:r>
      <w:r w:rsidRPr="00356327">
        <w:rPr>
          <w:rFonts w:ascii="宋体" w:hAnsi="宋体" w:hint="eastAsia"/>
          <w:bCs w:val="0"/>
          <w:sz w:val="18"/>
          <w:szCs w:val="18"/>
        </w:rPr>
        <w:t xml:space="preserve">  合议庭</w:t>
      </w:r>
      <w:bookmarkEnd w:id="16"/>
      <w:bookmarkEnd w:id="17"/>
      <w:bookmarkEnd w:id="18"/>
      <w:r w:rsidRPr="00356327">
        <w:rPr>
          <w:rFonts w:ascii="宋体" w:hAnsi="宋体" w:cs="宋体" w:hint="eastAsia"/>
          <w:bCs w:val="0"/>
          <w:sz w:val="18"/>
          <w:szCs w:val="18"/>
        </w:rPr>
        <w:t>（</w:t>
      </w:r>
      <w:r w:rsidR="001D1C68">
        <w:rPr>
          <w:rFonts w:ascii="宋体" w:hAnsi="宋体" w:cs="宋体" w:hint="eastAsia"/>
          <w:bCs w:val="0"/>
          <w:sz w:val="18"/>
          <w:szCs w:val="18"/>
        </w:rPr>
        <w:t>09</w:t>
      </w:r>
      <w:r w:rsidR="001D1C68" w:rsidRPr="00356327">
        <w:rPr>
          <w:rFonts w:ascii="宋体" w:hAnsi="宋体" w:cs="宋体"/>
          <w:bCs w:val="0"/>
          <w:sz w:val="18"/>
          <w:szCs w:val="18"/>
        </w:rPr>
        <w:t>:</w:t>
      </w:r>
      <w:r w:rsidR="001D1C68">
        <w:rPr>
          <w:rFonts w:ascii="宋体" w:hAnsi="宋体" w:cs="宋体" w:hint="eastAsia"/>
          <w:bCs w:val="0"/>
          <w:sz w:val="18"/>
          <w:szCs w:val="18"/>
        </w:rPr>
        <w:t>21</w:t>
      </w:r>
      <w:r w:rsidRPr="00356327">
        <w:rPr>
          <w:rFonts w:ascii="宋体" w:hAnsi="宋体" w:cs="宋体"/>
          <w:bCs w:val="0"/>
          <w:sz w:val="18"/>
          <w:szCs w:val="18"/>
        </w:rPr>
        <w:t>:00-</w:t>
      </w:r>
      <w:r w:rsidR="004367DD">
        <w:rPr>
          <w:rFonts w:ascii="宋体" w:hAnsi="宋体" w:cs="宋体" w:hint="eastAsia"/>
          <w:bCs w:val="0"/>
          <w:sz w:val="18"/>
          <w:szCs w:val="18"/>
        </w:rPr>
        <w:t>09</w:t>
      </w:r>
      <w:r w:rsidRPr="00356327">
        <w:rPr>
          <w:rFonts w:ascii="宋体" w:hAnsi="宋体" w:cs="宋体"/>
          <w:bCs w:val="0"/>
          <w:sz w:val="18"/>
          <w:szCs w:val="18"/>
        </w:rPr>
        <w:t>:</w:t>
      </w:r>
      <w:r w:rsidR="004367DD">
        <w:rPr>
          <w:rFonts w:ascii="宋体" w:hAnsi="宋体" w:cs="宋体" w:hint="eastAsia"/>
          <w:bCs w:val="0"/>
          <w:sz w:val="18"/>
          <w:szCs w:val="18"/>
        </w:rPr>
        <w:t>25</w:t>
      </w:r>
      <w:r w:rsidRPr="00356327">
        <w:rPr>
          <w:rFonts w:ascii="宋体" w:hAnsi="宋体" w:cs="宋体"/>
          <w:bCs w:val="0"/>
          <w:sz w:val="18"/>
          <w:szCs w:val="18"/>
        </w:rPr>
        <w:t>:00）</w:t>
      </w:r>
    </w:p>
    <w:p w14:paraId="45985868" w14:textId="77777777" w:rsidR="006F177D" w:rsidRPr="00356327" w:rsidRDefault="006F177D" w:rsidP="006F177D">
      <w:pPr>
        <w:pStyle w:val="3"/>
        <w:spacing w:line="240" w:lineRule="exact"/>
        <w:ind w:firstLineChars="200" w:firstLine="360"/>
        <w:rPr>
          <w:rFonts w:eastAsia="宋体" w:hint="eastAsia"/>
          <w:b/>
          <w:sz w:val="18"/>
          <w:szCs w:val="18"/>
        </w:rPr>
      </w:pPr>
      <w:bookmarkStart w:id="19" w:name="_Toc510879091"/>
      <w:r w:rsidRPr="00356327">
        <w:rPr>
          <w:rFonts w:eastAsia="宋体" w:hint="eastAsia"/>
          <w:sz w:val="18"/>
          <w:szCs w:val="18"/>
        </w:rPr>
        <w:t>一、合议庭的适用范围和组成方式</w:t>
      </w:r>
      <w:bookmarkEnd w:id="19"/>
    </w:p>
    <w:p w14:paraId="00845724" w14:textId="77777777" w:rsidR="006F177D" w:rsidRPr="00356327" w:rsidRDefault="006F177D" w:rsidP="006F177D">
      <w:pPr>
        <w:pStyle w:val="a9"/>
        <w:spacing w:beforeLines="0" w:afterLines="0"/>
        <w:ind w:firstLineChars="200" w:firstLine="360"/>
        <w:rPr>
          <w:rFonts w:hAnsi="宋体" w:cs="宋体" w:hint="eastAsia"/>
          <w:sz w:val="18"/>
          <w:szCs w:val="18"/>
        </w:rPr>
      </w:pPr>
      <w:r w:rsidRPr="00356327">
        <w:rPr>
          <w:rFonts w:hAnsi="宋体" w:cs="宋体" w:hint="eastAsia"/>
          <w:sz w:val="18"/>
          <w:szCs w:val="18"/>
        </w:rPr>
        <w:t>基层人民法院、中级人民法院审判第一审案件，应当由</w:t>
      </w:r>
      <w:r w:rsidRPr="00356327">
        <w:rPr>
          <w:rFonts w:hAnsi="宋体" w:cs="宋体" w:hint="eastAsia"/>
          <w:color w:val="B00824"/>
          <w:sz w:val="18"/>
          <w:szCs w:val="18"/>
        </w:rPr>
        <w:t>审判员三人或者由审判员和人民陪审员共三人或者七人组成合议庭进行</w:t>
      </w:r>
      <w:r w:rsidRPr="00356327">
        <w:rPr>
          <w:rFonts w:hAnsi="宋体" w:cs="宋体" w:hint="eastAsia"/>
          <w:sz w:val="18"/>
          <w:szCs w:val="18"/>
        </w:rPr>
        <w:t>（</w:t>
      </w:r>
      <w:r w:rsidRPr="00356327">
        <w:rPr>
          <w:rFonts w:hAnsi="宋体" w:cs="宋体" w:hint="eastAsia"/>
          <w:color w:val="B00824"/>
          <w:sz w:val="18"/>
          <w:szCs w:val="18"/>
        </w:rPr>
        <w:t>注意：新增加的七人制合议庭</w:t>
      </w:r>
      <w:r w:rsidRPr="00356327">
        <w:rPr>
          <w:rFonts w:hAnsi="宋体" w:cs="宋体" w:hint="eastAsia"/>
          <w:sz w:val="18"/>
          <w:szCs w:val="18"/>
        </w:rPr>
        <w:t>），但是基层人民法院</w:t>
      </w:r>
      <w:r w:rsidRPr="00356327">
        <w:rPr>
          <w:rFonts w:hAnsi="宋体" w:cs="宋体" w:hint="eastAsia"/>
          <w:color w:val="B00824"/>
          <w:sz w:val="18"/>
          <w:szCs w:val="18"/>
        </w:rPr>
        <w:t>适用简易程序、速裁程序的案件可以由审判员一人独任审判</w:t>
      </w:r>
      <w:r w:rsidRPr="00356327">
        <w:rPr>
          <w:rFonts w:hAnsi="宋体" w:cs="宋体" w:hint="eastAsia"/>
          <w:sz w:val="18"/>
          <w:szCs w:val="18"/>
        </w:rPr>
        <w:t>。高级人民法院审判第一审案件，</w:t>
      </w:r>
      <w:r w:rsidRPr="00356327">
        <w:rPr>
          <w:rFonts w:hAnsi="宋体" w:cs="宋体" w:hint="eastAsia"/>
          <w:color w:val="B00824"/>
          <w:sz w:val="18"/>
          <w:szCs w:val="18"/>
        </w:rPr>
        <w:t>应当由审判员三人至七人或者由审判员和人民陪审员共三人或者七人组成合议庭</w:t>
      </w:r>
      <w:r w:rsidRPr="00356327">
        <w:rPr>
          <w:rFonts w:hAnsi="宋体" w:cs="宋体" w:hint="eastAsia"/>
          <w:sz w:val="18"/>
          <w:szCs w:val="18"/>
        </w:rPr>
        <w:t>进行。最高人民法院审判第一审案件，应当由</w:t>
      </w:r>
      <w:r w:rsidRPr="00356327">
        <w:rPr>
          <w:rFonts w:hAnsi="宋体" w:cs="宋体" w:hint="eastAsia"/>
          <w:color w:val="B00824"/>
          <w:sz w:val="18"/>
          <w:szCs w:val="18"/>
        </w:rPr>
        <w:t>审判员三人至七人组成合议庭</w:t>
      </w:r>
      <w:r w:rsidRPr="00356327">
        <w:rPr>
          <w:rFonts w:hAnsi="宋体" w:cs="宋体" w:hint="eastAsia"/>
          <w:sz w:val="18"/>
          <w:szCs w:val="18"/>
        </w:rPr>
        <w:t>进行。人民法院审判上诉和抗诉案件，由</w:t>
      </w:r>
      <w:r w:rsidRPr="00356327">
        <w:rPr>
          <w:rFonts w:hAnsi="宋体" w:cs="宋体" w:hint="eastAsia"/>
          <w:color w:val="B00824"/>
          <w:sz w:val="18"/>
          <w:szCs w:val="18"/>
        </w:rPr>
        <w:t>审判员三人或者五人组成合议庭</w:t>
      </w:r>
      <w:r w:rsidRPr="00356327">
        <w:rPr>
          <w:rFonts w:hAnsi="宋体" w:cs="宋体" w:hint="eastAsia"/>
          <w:sz w:val="18"/>
          <w:szCs w:val="18"/>
        </w:rPr>
        <w:t>进行。适用简易程序审理案件，</w:t>
      </w:r>
      <w:r w:rsidRPr="00356327">
        <w:rPr>
          <w:rFonts w:hAnsi="宋体" w:cs="宋体"/>
          <w:color w:val="B00824"/>
          <w:sz w:val="18"/>
          <w:szCs w:val="18"/>
        </w:rPr>
        <w:t>对可能判处三年有期徒刑以下刑罚的，可以组成合议庭进行审判，也可以由审判员一人独任审判</w:t>
      </w:r>
      <w:r w:rsidRPr="00356327">
        <w:rPr>
          <w:rFonts w:hAnsi="宋体" w:cs="宋体" w:hint="eastAsia"/>
          <w:sz w:val="18"/>
          <w:szCs w:val="18"/>
        </w:rPr>
        <w:t>；对可能判处的有期徒刑超过三年的，</w:t>
      </w:r>
      <w:r w:rsidRPr="00356327">
        <w:rPr>
          <w:rFonts w:hAnsi="宋体" w:cs="宋体"/>
          <w:color w:val="B00824"/>
          <w:sz w:val="18"/>
          <w:szCs w:val="18"/>
        </w:rPr>
        <w:t>应当组成合议庭进行审判</w:t>
      </w:r>
      <w:r w:rsidRPr="00356327">
        <w:rPr>
          <w:rFonts w:hAnsi="宋体" w:cs="宋体" w:hint="eastAsia"/>
          <w:sz w:val="18"/>
          <w:szCs w:val="18"/>
        </w:rPr>
        <w:t>。最高人民法院</w:t>
      </w:r>
      <w:r w:rsidRPr="00356327">
        <w:rPr>
          <w:rFonts w:hAnsi="宋体" w:cs="宋体"/>
          <w:color w:val="B00824"/>
          <w:sz w:val="18"/>
          <w:szCs w:val="18"/>
        </w:rPr>
        <w:t>复核死刑案件</w:t>
      </w:r>
      <w:r w:rsidRPr="00356327">
        <w:rPr>
          <w:rFonts w:hAnsi="宋体" w:cs="宋体" w:hint="eastAsia"/>
          <w:sz w:val="18"/>
          <w:szCs w:val="18"/>
        </w:rPr>
        <w:t>，高级人民法院</w:t>
      </w:r>
      <w:r w:rsidRPr="00356327">
        <w:rPr>
          <w:rFonts w:hAnsi="宋体" w:cs="宋体"/>
          <w:color w:val="B00824"/>
          <w:sz w:val="18"/>
          <w:szCs w:val="18"/>
        </w:rPr>
        <w:t>复核死刑缓期执行</w:t>
      </w:r>
      <w:r w:rsidRPr="00356327">
        <w:rPr>
          <w:rFonts w:hAnsi="宋体" w:cs="宋体" w:hint="eastAsia"/>
          <w:sz w:val="18"/>
          <w:szCs w:val="18"/>
        </w:rPr>
        <w:t>的案件，应当由</w:t>
      </w:r>
      <w:r w:rsidRPr="00356327">
        <w:rPr>
          <w:rFonts w:hAnsi="宋体" w:cs="宋体"/>
          <w:color w:val="B00824"/>
          <w:sz w:val="18"/>
          <w:szCs w:val="18"/>
        </w:rPr>
        <w:t>审判员三人组成合议庭</w:t>
      </w:r>
      <w:r w:rsidRPr="00356327">
        <w:rPr>
          <w:rFonts w:hAnsi="宋体" w:cs="宋体" w:hint="eastAsia"/>
          <w:sz w:val="18"/>
          <w:szCs w:val="18"/>
        </w:rPr>
        <w:t>进行。</w:t>
      </w:r>
    </w:p>
    <w:p w14:paraId="700FACE2" w14:textId="77777777" w:rsidR="006F177D" w:rsidRPr="00356327" w:rsidRDefault="006F177D" w:rsidP="006F177D">
      <w:pPr>
        <w:pStyle w:val="3"/>
        <w:spacing w:line="240" w:lineRule="exact"/>
        <w:ind w:firstLineChars="200" w:firstLine="360"/>
        <w:rPr>
          <w:rFonts w:eastAsia="宋体" w:hint="eastAsia"/>
          <w:b/>
          <w:sz w:val="18"/>
          <w:szCs w:val="18"/>
        </w:rPr>
      </w:pPr>
      <w:bookmarkStart w:id="20" w:name="_Toc510879093"/>
      <w:r w:rsidRPr="00356327">
        <w:rPr>
          <w:rFonts w:eastAsia="宋体" w:hint="eastAsia"/>
          <w:sz w:val="18"/>
          <w:szCs w:val="18"/>
        </w:rPr>
        <w:t>二、合议庭的活动原则和程序</w:t>
      </w:r>
      <w:bookmarkEnd w:id="20"/>
    </w:p>
    <w:p w14:paraId="24684BC5" w14:textId="77777777" w:rsidR="006F177D" w:rsidRPr="00356327" w:rsidRDefault="006F177D" w:rsidP="006F177D">
      <w:pPr>
        <w:pStyle w:val="4"/>
        <w:tabs>
          <w:tab w:val="left" w:pos="420"/>
        </w:tabs>
        <w:spacing w:before="0" w:after="0" w:line="240" w:lineRule="exact"/>
        <w:ind w:firstLineChars="200" w:firstLine="360"/>
        <w:jc w:val="left"/>
        <w:rPr>
          <w:rFonts w:ascii="宋体" w:eastAsia="宋体" w:hAnsi="宋体" w:hint="eastAsia"/>
          <w:b w:val="0"/>
          <w:color w:val="000000" w:themeColor="text1"/>
          <w:sz w:val="18"/>
          <w:szCs w:val="18"/>
        </w:rPr>
      </w:pPr>
      <w:r w:rsidRPr="00356327">
        <w:rPr>
          <w:rFonts w:ascii="宋体" w:eastAsia="宋体" w:hAnsi="宋体" w:hint="eastAsia"/>
          <w:b w:val="0"/>
          <w:color w:val="000000" w:themeColor="text1"/>
          <w:sz w:val="18"/>
          <w:szCs w:val="18"/>
        </w:rPr>
        <w:t>（一）平等参与、持续参与、充分参与</w:t>
      </w:r>
    </w:p>
    <w:p w14:paraId="502F98B6" w14:textId="77777777" w:rsidR="006F177D" w:rsidRPr="00356327" w:rsidRDefault="006F177D" w:rsidP="006F177D">
      <w:pPr>
        <w:pStyle w:val="a9"/>
        <w:spacing w:beforeLines="0" w:afterLines="0"/>
        <w:ind w:firstLineChars="200" w:firstLine="360"/>
        <w:rPr>
          <w:rFonts w:hAnsi="宋体" w:cs="宋体" w:hint="eastAsia"/>
          <w:sz w:val="18"/>
          <w:szCs w:val="18"/>
        </w:rPr>
      </w:pPr>
      <w:r w:rsidRPr="00356327">
        <w:rPr>
          <w:rFonts w:hAnsi="宋体" w:cs="宋体" w:hint="eastAsia"/>
          <w:color w:val="B00824"/>
          <w:sz w:val="18"/>
          <w:szCs w:val="18"/>
        </w:rPr>
        <w:t>庭审结束后、评议前</w:t>
      </w:r>
      <w:r w:rsidRPr="00356327">
        <w:rPr>
          <w:rFonts w:hAnsi="宋体" w:cs="宋体" w:hint="eastAsia"/>
          <w:sz w:val="18"/>
          <w:szCs w:val="18"/>
        </w:rPr>
        <w:t>，部分合议庭成员不能继续履行审判职责，人民法院应当依法</w:t>
      </w:r>
      <w:r w:rsidRPr="00356327">
        <w:rPr>
          <w:rFonts w:hAnsi="宋体" w:cs="宋体" w:hint="eastAsia"/>
          <w:color w:val="B00824"/>
          <w:sz w:val="18"/>
          <w:szCs w:val="18"/>
        </w:rPr>
        <w:t>更换合议庭组成人员</w:t>
      </w:r>
      <w:r w:rsidRPr="00356327">
        <w:rPr>
          <w:rFonts w:hAnsi="宋体" w:cs="宋体" w:hint="eastAsia"/>
          <w:sz w:val="18"/>
          <w:szCs w:val="18"/>
        </w:rPr>
        <w:t>，</w:t>
      </w:r>
      <w:r w:rsidRPr="00356327">
        <w:rPr>
          <w:rFonts w:hAnsi="宋体" w:cs="宋体" w:hint="eastAsia"/>
          <w:color w:val="B00824"/>
          <w:sz w:val="18"/>
          <w:szCs w:val="18"/>
        </w:rPr>
        <w:t>重新开庭审理</w:t>
      </w:r>
      <w:r w:rsidRPr="00356327">
        <w:rPr>
          <w:rFonts w:hAnsi="宋体" w:cs="宋体" w:hint="eastAsia"/>
          <w:sz w:val="18"/>
          <w:szCs w:val="18"/>
        </w:rPr>
        <w:t>。</w:t>
      </w:r>
      <w:r w:rsidRPr="00356327">
        <w:rPr>
          <w:rFonts w:hAnsi="宋体" w:cs="宋体" w:hint="eastAsia"/>
          <w:color w:val="B00824"/>
          <w:sz w:val="18"/>
          <w:szCs w:val="18"/>
        </w:rPr>
        <w:t>评议后、宣判前</w:t>
      </w:r>
      <w:r w:rsidRPr="00356327">
        <w:rPr>
          <w:rFonts w:hAnsi="宋体" w:cs="宋体" w:hint="eastAsia"/>
          <w:sz w:val="18"/>
          <w:szCs w:val="18"/>
        </w:rPr>
        <w:t>，部分合议庭成员因调动、退休等正常原因不能参加宣判，</w:t>
      </w:r>
      <w:r w:rsidRPr="00356327">
        <w:rPr>
          <w:rFonts w:hAnsi="宋体" w:cs="宋体" w:hint="eastAsia"/>
          <w:color w:val="B00824"/>
          <w:sz w:val="18"/>
          <w:szCs w:val="18"/>
        </w:rPr>
        <w:t>在不改变原评议结论的情况下，可以由审判本案的其他审判员宣判，裁判文书上仍署审判本案的合议庭成员的姓名</w:t>
      </w:r>
      <w:r w:rsidRPr="00356327">
        <w:rPr>
          <w:rFonts w:hAnsi="宋体" w:cs="宋体" w:hint="eastAsia"/>
          <w:sz w:val="18"/>
          <w:szCs w:val="18"/>
        </w:rPr>
        <w:t>。</w:t>
      </w:r>
    </w:p>
    <w:p w14:paraId="4D025748" w14:textId="724C37EC" w:rsidR="006F177D" w:rsidRPr="00356327" w:rsidRDefault="006F177D" w:rsidP="006F177D">
      <w:pPr>
        <w:pStyle w:val="1"/>
        <w:tabs>
          <w:tab w:val="left" w:pos="420"/>
        </w:tabs>
        <w:spacing w:before="0" w:after="0" w:line="240" w:lineRule="exact"/>
        <w:jc w:val="center"/>
        <w:rPr>
          <w:rFonts w:ascii="宋体" w:hAnsi="宋体" w:hint="eastAsia"/>
          <w:bCs w:val="0"/>
          <w:sz w:val="18"/>
          <w:szCs w:val="18"/>
        </w:rPr>
      </w:pPr>
      <w:bookmarkStart w:id="21" w:name="_Toc4844137"/>
      <w:bookmarkStart w:id="22" w:name="_Toc2751"/>
      <w:bookmarkStart w:id="23" w:name="_Toc136521785"/>
      <w:r w:rsidRPr="00356327">
        <w:rPr>
          <w:rFonts w:ascii="宋体" w:hAnsi="宋体" w:hint="eastAsia"/>
          <w:bCs w:val="0"/>
          <w:sz w:val="18"/>
          <w:szCs w:val="18"/>
        </w:rPr>
        <w:t>考点4</w:t>
      </w:r>
      <w:r w:rsidRPr="00356327">
        <w:rPr>
          <w:rFonts w:ascii="宋体" w:hAnsi="宋体"/>
          <w:bCs w:val="0"/>
          <w:sz w:val="18"/>
          <w:szCs w:val="18"/>
        </w:rPr>
        <w:t>5</w:t>
      </w:r>
      <w:r w:rsidRPr="00356327">
        <w:rPr>
          <w:rFonts w:ascii="宋体" w:hAnsi="宋体" w:hint="eastAsia"/>
          <w:bCs w:val="0"/>
          <w:sz w:val="18"/>
          <w:szCs w:val="18"/>
        </w:rPr>
        <w:t xml:space="preserve">  人民陪审制</w:t>
      </w:r>
      <w:bookmarkEnd w:id="21"/>
      <w:bookmarkEnd w:id="22"/>
      <w:bookmarkEnd w:id="23"/>
      <w:r w:rsidRPr="00356327">
        <w:rPr>
          <w:rFonts w:ascii="宋体" w:hAnsi="宋体" w:cs="宋体" w:hint="eastAsia"/>
          <w:bCs w:val="0"/>
          <w:sz w:val="18"/>
          <w:szCs w:val="18"/>
        </w:rPr>
        <w:t>（</w:t>
      </w:r>
      <w:r w:rsidR="004367DD">
        <w:rPr>
          <w:rFonts w:ascii="宋体" w:hAnsi="宋体" w:cs="宋体" w:hint="eastAsia"/>
          <w:bCs w:val="0"/>
          <w:sz w:val="18"/>
          <w:szCs w:val="18"/>
        </w:rPr>
        <w:t>09</w:t>
      </w:r>
      <w:r w:rsidR="004367DD" w:rsidRPr="00356327">
        <w:rPr>
          <w:rFonts w:ascii="宋体" w:hAnsi="宋体" w:cs="宋体"/>
          <w:bCs w:val="0"/>
          <w:sz w:val="18"/>
          <w:szCs w:val="18"/>
        </w:rPr>
        <w:t>:</w:t>
      </w:r>
      <w:r w:rsidR="004367DD">
        <w:rPr>
          <w:rFonts w:ascii="宋体" w:hAnsi="宋体" w:cs="宋体" w:hint="eastAsia"/>
          <w:bCs w:val="0"/>
          <w:sz w:val="18"/>
          <w:szCs w:val="18"/>
        </w:rPr>
        <w:t>25</w:t>
      </w:r>
      <w:r w:rsidRPr="00356327">
        <w:rPr>
          <w:rFonts w:ascii="宋体" w:hAnsi="宋体" w:cs="宋体"/>
          <w:bCs w:val="0"/>
          <w:sz w:val="18"/>
          <w:szCs w:val="18"/>
        </w:rPr>
        <w:t>:00-</w:t>
      </w:r>
      <w:r w:rsidR="00711187">
        <w:rPr>
          <w:rFonts w:ascii="宋体" w:hAnsi="宋体" w:cs="宋体" w:hint="eastAsia"/>
          <w:bCs w:val="0"/>
          <w:sz w:val="18"/>
          <w:szCs w:val="18"/>
        </w:rPr>
        <w:t>09</w:t>
      </w:r>
      <w:r w:rsidRPr="00356327">
        <w:rPr>
          <w:rFonts w:ascii="宋体" w:hAnsi="宋体" w:cs="宋体"/>
          <w:bCs w:val="0"/>
          <w:sz w:val="18"/>
          <w:szCs w:val="18"/>
        </w:rPr>
        <w:t>:</w:t>
      </w:r>
      <w:r w:rsidR="00711187">
        <w:rPr>
          <w:rFonts w:ascii="宋体" w:hAnsi="宋体" w:cs="宋体" w:hint="eastAsia"/>
          <w:bCs w:val="0"/>
          <w:sz w:val="18"/>
          <w:szCs w:val="18"/>
        </w:rPr>
        <w:t>31</w:t>
      </w:r>
      <w:r w:rsidRPr="00356327">
        <w:rPr>
          <w:rFonts w:ascii="宋体" w:hAnsi="宋体" w:cs="宋体"/>
          <w:bCs w:val="0"/>
          <w:sz w:val="18"/>
          <w:szCs w:val="18"/>
        </w:rPr>
        <w:t>:00）</w:t>
      </w:r>
    </w:p>
    <w:p w14:paraId="6DDB44D6" w14:textId="77777777" w:rsidR="006F177D" w:rsidRPr="00356327" w:rsidRDefault="006F177D" w:rsidP="006F177D">
      <w:pPr>
        <w:spacing w:line="240" w:lineRule="exact"/>
        <w:ind w:firstLineChars="200" w:firstLine="360"/>
        <w:rPr>
          <w:rFonts w:ascii="宋体" w:eastAsia="宋体" w:hAnsi="宋体" w:hint="eastAsia"/>
          <w:sz w:val="18"/>
          <w:szCs w:val="18"/>
        </w:rPr>
      </w:pPr>
      <w:r w:rsidRPr="00356327">
        <w:rPr>
          <w:rFonts w:ascii="宋体" w:eastAsia="宋体" w:hAnsi="宋体" w:hint="eastAsia"/>
          <w:sz w:val="18"/>
          <w:szCs w:val="18"/>
        </w:rPr>
        <w:t>人民法院审判第一审刑事、民事、行政案件，有下列情形之一的，</w:t>
      </w:r>
      <w:r w:rsidRPr="00356327">
        <w:rPr>
          <w:rFonts w:ascii="宋体" w:eastAsia="宋体" w:hAnsi="宋体" w:hint="eastAsia"/>
          <w:color w:val="B00824"/>
          <w:sz w:val="18"/>
          <w:szCs w:val="18"/>
        </w:rPr>
        <w:t>由人民陪审员和法官组成合议庭进行</w:t>
      </w:r>
      <w:r w:rsidRPr="00356327">
        <w:rPr>
          <w:rFonts w:ascii="宋体" w:eastAsia="宋体" w:hAnsi="宋体" w:hint="eastAsia"/>
          <w:sz w:val="18"/>
          <w:szCs w:val="18"/>
        </w:rPr>
        <w:t>：（一）涉及群体利益、公共利益的；（二）人民群众广泛关注或者其他社会影响较大的；（三）案情复杂或者有其他情形，需要由人民陪审员参加审判的。人民法院审判前款规定的案件，法律规定由法官独任审理或者由法官组成合议庭审理的，从其规定。</w:t>
      </w:r>
    </w:p>
    <w:p w14:paraId="0FECC439" w14:textId="77777777" w:rsidR="006F177D" w:rsidRPr="00356327" w:rsidRDefault="006F177D" w:rsidP="006F177D">
      <w:pPr>
        <w:spacing w:line="240" w:lineRule="exact"/>
        <w:ind w:firstLineChars="200" w:firstLine="360"/>
        <w:rPr>
          <w:rFonts w:ascii="宋体" w:eastAsia="宋体" w:hAnsi="宋体" w:hint="eastAsia"/>
          <w:sz w:val="18"/>
          <w:szCs w:val="18"/>
        </w:rPr>
      </w:pPr>
      <w:r w:rsidRPr="00356327">
        <w:rPr>
          <w:rFonts w:ascii="宋体" w:eastAsia="宋体" w:hAnsi="宋体" w:hint="eastAsia"/>
          <w:color w:val="B00824"/>
          <w:sz w:val="18"/>
          <w:szCs w:val="18"/>
        </w:rPr>
        <w:t>人民法院审判下列第一审案件，由人民陪审员和法官组成七人合议庭进行：（一）可能判处十年以上有期徒刑、无期徒刑、死刑，社会影响重大的刑事案件；</w:t>
      </w:r>
      <w:r w:rsidRPr="00356327">
        <w:rPr>
          <w:rFonts w:ascii="宋体" w:eastAsia="宋体" w:hAnsi="宋体" w:hint="eastAsia"/>
          <w:sz w:val="18"/>
          <w:szCs w:val="18"/>
        </w:rPr>
        <w:t>（二）根据民事诉讼法、行政诉讼法提起的公益诉讼案件；（三）涉及征地拆迁、生态环境保护、食品药品安全，社会影响重大的案件；（四）其他社会影响重大的案件。</w:t>
      </w:r>
    </w:p>
    <w:p w14:paraId="09308990" w14:textId="17D94ADC" w:rsidR="006F177D" w:rsidRPr="00356327" w:rsidRDefault="006F177D" w:rsidP="006F177D">
      <w:pPr>
        <w:pStyle w:val="1"/>
        <w:tabs>
          <w:tab w:val="left" w:pos="420"/>
        </w:tabs>
        <w:spacing w:before="0" w:after="0" w:line="240" w:lineRule="exact"/>
        <w:jc w:val="center"/>
        <w:rPr>
          <w:rFonts w:ascii="宋体" w:hAnsi="宋体" w:hint="eastAsia"/>
          <w:bCs w:val="0"/>
          <w:sz w:val="18"/>
          <w:szCs w:val="18"/>
        </w:rPr>
      </w:pPr>
      <w:bookmarkStart w:id="24" w:name="_Toc4844138"/>
      <w:bookmarkStart w:id="25" w:name="_Toc15749"/>
      <w:bookmarkStart w:id="26" w:name="_Toc136521786"/>
      <w:r w:rsidRPr="00356327">
        <w:rPr>
          <w:rFonts w:ascii="宋体" w:hAnsi="宋体" w:hint="eastAsia"/>
          <w:bCs w:val="0"/>
          <w:sz w:val="18"/>
          <w:szCs w:val="18"/>
        </w:rPr>
        <w:t>考点4</w:t>
      </w:r>
      <w:r w:rsidRPr="00356327">
        <w:rPr>
          <w:rFonts w:ascii="宋体" w:hAnsi="宋体"/>
          <w:bCs w:val="0"/>
          <w:sz w:val="18"/>
          <w:szCs w:val="18"/>
        </w:rPr>
        <w:t xml:space="preserve">6  </w:t>
      </w:r>
      <w:r w:rsidRPr="00356327">
        <w:rPr>
          <w:rFonts w:ascii="宋体" w:hAnsi="宋体" w:hint="eastAsia"/>
          <w:bCs w:val="0"/>
          <w:sz w:val="18"/>
          <w:szCs w:val="18"/>
        </w:rPr>
        <w:t>公诉案件</w:t>
      </w:r>
      <w:r w:rsidRPr="00356327">
        <w:rPr>
          <w:rFonts w:ascii="宋体" w:hAnsi="宋体"/>
          <w:bCs w:val="0"/>
          <w:sz w:val="18"/>
          <w:szCs w:val="18"/>
        </w:rPr>
        <w:t>庭前审查</w:t>
      </w:r>
      <w:bookmarkEnd w:id="24"/>
      <w:bookmarkEnd w:id="25"/>
      <w:bookmarkEnd w:id="26"/>
      <w:r w:rsidRPr="00356327">
        <w:rPr>
          <w:rFonts w:ascii="宋体" w:hAnsi="宋体" w:cs="宋体" w:hint="eastAsia"/>
          <w:bCs w:val="0"/>
          <w:sz w:val="18"/>
          <w:szCs w:val="18"/>
        </w:rPr>
        <w:t>（</w:t>
      </w:r>
      <w:r w:rsidR="00711187">
        <w:rPr>
          <w:rFonts w:ascii="宋体" w:hAnsi="宋体" w:cs="宋体" w:hint="eastAsia"/>
          <w:bCs w:val="0"/>
          <w:sz w:val="18"/>
          <w:szCs w:val="18"/>
        </w:rPr>
        <w:t>09</w:t>
      </w:r>
      <w:r w:rsidR="00711187" w:rsidRPr="00356327">
        <w:rPr>
          <w:rFonts w:ascii="宋体" w:hAnsi="宋体" w:cs="宋体"/>
          <w:bCs w:val="0"/>
          <w:sz w:val="18"/>
          <w:szCs w:val="18"/>
        </w:rPr>
        <w:t>:</w:t>
      </w:r>
      <w:r w:rsidR="00711187">
        <w:rPr>
          <w:rFonts w:ascii="宋体" w:hAnsi="宋体" w:cs="宋体" w:hint="eastAsia"/>
          <w:bCs w:val="0"/>
          <w:sz w:val="18"/>
          <w:szCs w:val="18"/>
        </w:rPr>
        <w:t>31</w:t>
      </w:r>
      <w:r w:rsidRPr="00356327">
        <w:rPr>
          <w:rFonts w:ascii="宋体" w:hAnsi="宋体" w:cs="宋体"/>
          <w:bCs w:val="0"/>
          <w:sz w:val="18"/>
          <w:szCs w:val="18"/>
        </w:rPr>
        <w:t>:00-</w:t>
      </w:r>
      <w:r w:rsidR="00F65C60">
        <w:rPr>
          <w:rFonts w:ascii="宋体" w:hAnsi="宋体" w:cs="宋体" w:hint="eastAsia"/>
          <w:bCs w:val="0"/>
          <w:sz w:val="18"/>
          <w:szCs w:val="18"/>
        </w:rPr>
        <w:t>09</w:t>
      </w:r>
      <w:r w:rsidRPr="00356327">
        <w:rPr>
          <w:rFonts w:ascii="宋体" w:hAnsi="宋体" w:cs="宋体"/>
          <w:bCs w:val="0"/>
          <w:sz w:val="18"/>
          <w:szCs w:val="18"/>
        </w:rPr>
        <w:t>:</w:t>
      </w:r>
      <w:r w:rsidR="00F65C60">
        <w:rPr>
          <w:rFonts w:ascii="宋体" w:hAnsi="宋体" w:cs="宋体" w:hint="eastAsia"/>
          <w:bCs w:val="0"/>
          <w:sz w:val="18"/>
          <w:szCs w:val="18"/>
        </w:rPr>
        <w:t>36</w:t>
      </w:r>
      <w:r w:rsidRPr="00356327">
        <w:rPr>
          <w:rFonts w:ascii="宋体" w:hAnsi="宋体" w:cs="宋体"/>
          <w:bCs w:val="0"/>
          <w:sz w:val="18"/>
          <w:szCs w:val="18"/>
        </w:rPr>
        <w:t>:00）</w:t>
      </w:r>
      <w:r w:rsidRPr="004C2A36">
        <w:rPr>
          <w:rFonts w:ascii="宋体" w:hAnsi="宋体" w:cs="宋体" w:hint="eastAsia"/>
          <w:bCs w:val="0"/>
          <w:color w:val="C00000"/>
          <w:sz w:val="18"/>
          <w:szCs w:val="18"/>
        </w:rPr>
        <w:t>注意分案与并案</w:t>
      </w:r>
    </w:p>
    <w:p w14:paraId="261A1E66" w14:textId="77777777" w:rsidR="006F177D" w:rsidRPr="00356327" w:rsidRDefault="006F177D" w:rsidP="006F177D">
      <w:pPr>
        <w:spacing w:line="240" w:lineRule="exact"/>
        <w:ind w:firstLineChars="200" w:firstLine="360"/>
        <w:rPr>
          <w:rFonts w:ascii="宋体" w:eastAsia="宋体" w:hAnsi="宋体" w:cs="仿宋_GB2312" w:hint="eastAsia"/>
          <w:sz w:val="18"/>
          <w:szCs w:val="18"/>
        </w:rPr>
      </w:pPr>
      <w:r w:rsidRPr="00356327">
        <w:rPr>
          <w:rFonts w:ascii="宋体" w:eastAsia="宋体" w:hAnsi="宋体" w:cs="仿宋_GB2312" w:hint="eastAsia"/>
          <w:color w:val="B00824"/>
          <w:sz w:val="18"/>
          <w:szCs w:val="18"/>
        </w:rPr>
        <w:t>对一案起诉的共同犯罪或者关联犯罪案件</w:t>
      </w:r>
      <w:r w:rsidRPr="00356327">
        <w:rPr>
          <w:rFonts w:ascii="宋体" w:eastAsia="宋体" w:hAnsi="宋体" w:cs="仿宋_GB2312" w:hint="eastAsia"/>
          <w:sz w:val="18"/>
          <w:szCs w:val="18"/>
        </w:rPr>
        <w:t>，被告人人数众多、案情复杂，人民法院经审查认为，</w:t>
      </w:r>
      <w:r w:rsidRPr="00356327">
        <w:rPr>
          <w:rFonts w:ascii="宋体" w:eastAsia="宋体" w:hAnsi="宋体" w:cs="仿宋_GB2312" w:hint="eastAsia"/>
          <w:color w:val="B00824"/>
          <w:sz w:val="18"/>
          <w:szCs w:val="18"/>
        </w:rPr>
        <w:t>分案审理更有利于保障庭审质量和效率的，可以分案审理</w:t>
      </w:r>
      <w:r w:rsidRPr="00356327">
        <w:rPr>
          <w:rFonts w:ascii="宋体" w:eastAsia="宋体" w:hAnsi="宋体" w:cs="仿宋_GB2312" w:hint="eastAsia"/>
          <w:sz w:val="18"/>
          <w:szCs w:val="18"/>
        </w:rPr>
        <w:t>。分案审理不得影响当事人质证权等诉讼权利的行使。</w:t>
      </w:r>
    </w:p>
    <w:p w14:paraId="530CF4AA" w14:textId="77777777" w:rsidR="006F177D" w:rsidRDefault="006F177D" w:rsidP="006F177D">
      <w:pPr>
        <w:spacing w:line="240" w:lineRule="exact"/>
        <w:ind w:firstLineChars="200" w:firstLine="360"/>
        <w:rPr>
          <w:rFonts w:ascii="宋体" w:eastAsia="宋体" w:hAnsi="宋体" w:cs="仿宋_GB2312" w:hint="eastAsia"/>
          <w:sz w:val="18"/>
          <w:szCs w:val="18"/>
        </w:rPr>
      </w:pPr>
      <w:r w:rsidRPr="00356327">
        <w:rPr>
          <w:rFonts w:ascii="宋体" w:eastAsia="宋体" w:hAnsi="宋体" w:cs="仿宋_GB2312" w:hint="eastAsia"/>
          <w:color w:val="B00824"/>
          <w:sz w:val="18"/>
          <w:szCs w:val="18"/>
        </w:rPr>
        <w:t>对分案起诉的共同犯罪或者关联犯罪案件</w:t>
      </w:r>
      <w:r w:rsidRPr="00356327">
        <w:rPr>
          <w:rFonts w:ascii="宋体" w:eastAsia="宋体" w:hAnsi="宋体" w:cs="仿宋_GB2312" w:hint="eastAsia"/>
          <w:sz w:val="18"/>
          <w:szCs w:val="18"/>
        </w:rPr>
        <w:t>，人民法院经审查认为，</w:t>
      </w:r>
      <w:r w:rsidRPr="00356327">
        <w:rPr>
          <w:rFonts w:ascii="宋体" w:eastAsia="宋体" w:hAnsi="宋体" w:cs="仿宋_GB2312" w:hint="eastAsia"/>
          <w:color w:val="B00824"/>
          <w:sz w:val="18"/>
          <w:szCs w:val="18"/>
        </w:rPr>
        <w:t>合并审理更有利于查明案件事实、保障诉讼权利、准确定罪量刑的，可以并案审理</w:t>
      </w:r>
      <w:r w:rsidRPr="00356327">
        <w:rPr>
          <w:rFonts w:ascii="宋体" w:eastAsia="宋体" w:hAnsi="宋体" w:cs="仿宋_GB2312" w:hint="eastAsia"/>
          <w:sz w:val="18"/>
          <w:szCs w:val="18"/>
        </w:rPr>
        <w:t>。</w:t>
      </w:r>
    </w:p>
    <w:p w14:paraId="3312EDC8" w14:textId="0900708F" w:rsidR="006F177D" w:rsidRPr="00B86A44" w:rsidRDefault="006F177D" w:rsidP="006F177D">
      <w:pPr>
        <w:pStyle w:val="1"/>
        <w:tabs>
          <w:tab w:val="left" w:pos="420"/>
        </w:tabs>
        <w:spacing w:before="0" w:after="0" w:line="240" w:lineRule="exact"/>
        <w:jc w:val="center"/>
        <w:rPr>
          <w:rFonts w:ascii="宋体" w:hAnsi="宋体" w:hint="eastAsia"/>
          <w:bCs w:val="0"/>
          <w:color w:val="C00000"/>
          <w:sz w:val="18"/>
          <w:szCs w:val="18"/>
        </w:rPr>
      </w:pPr>
      <w:bookmarkStart w:id="27" w:name="_Toc4844139"/>
      <w:bookmarkStart w:id="28" w:name="_Toc510879101"/>
      <w:bookmarkStart w:id="29" w:name="_Toc26375"/>
      <w:bookmarkStart w:id="30" w:name="_Toc136521787"/>
      <w:r w:rsidRPr="00356327">
        <w:rPr>
          <w:rFonts w:ascii="宋体" w:hAnsi="宋体" w:hint="eastAsia"/>
          <w:bCs w:val="0"/>
          <w:sz w:val="18"/>
          <w:szCs w:val="18"/>
        </w:rPr>
        <w:lastRenderedPageBreak/>
        <w:t>考点4</w:t>
      </w:r>
      <w:r w:rsidRPr="00356327">
        <w:rPr>
          <w:rFonts w:ascii="宋体" w:hAnsi="宋体"/>
          <w:bCs w:val="0"/>
          <w:sz w:val="18"/>
          <w:szCs w:val="18"/>
        </w:rPr>
        <w:t>7</w:t>
      </w:r>
      <w:r w:rsidRPr="00356327">
        <w:rPr>
          <w:rFonts w:ascii="宋体" w:hAnsi="宋体" w:hint="eastAsia"/>
          <w:bCs w:val="0"/>
          <w:sz w:val="18"/>
          <w:szCs w:val="18"/>
        </w:rPr>
        <w:t xml:space="preserve">  庭前会议</w:t>
      </w:r>
      <w:bookmarkEnd w:id="27"/>
      <w:bookmarkEnd w:id="28"/>
      <w:bookmarkEnd w:id="29"/>
      <w:bookmarkEnd w:id="30"/>
      <w:r w:rsidRPr="00356327">
        <w:rPr>
          <w:rFonts w:ascii="宋体" w:hAnsi="宋体" w:cs="宋体" w:hint="eastAsia"/>
          <w:bCs w:val="0"/>
          <w:sz w:val="18"/>
          <w:szCs w:val="18"/>
        </w:rPr>
        <w:t>（</w:t>
      </w:r>
      <w:r w:rsidR="00F65C60">
        <w:rPr>
          <w:rFonts w:ascii="宋体" w:hAnsi="宋体" w:cs="宋体" w:hint="eastAsia"/>
          <w:bCs w:val="0"/>
          <w:sz w:val="18"/>
          <w:szCs w:val="18"/>
        </w:rPr>
        <w:t>09</w:t>
      </w:r>
      <w:r w:rsidR="00F65C60" w:rsidRPr="00356327">
        <w:rPr>
          <w:rFonts w:ascii="宋体" w:hAnsi="宋体" w:cs="宋体"/>
          <w:bCs w:val="0"/>
          <w:sz w:val="18"/>
          <w:szCs w:val="18"/>
        </w:rPr>
        <w:t>:</w:t>
      </w:r>
      <w:r w:rsidR="00F65C60">
        <w:rPr>
          <w:rFonts w:ascii="宋体" w:hAnsi="宋体" w:cs="宋体" w:hint="eastAsia"/>
          <w:bCs w:val="0"/>
          <w:sz w:val="18"/>
          <w:szCs w:val="18"/>
        </w:rPr>
        <w:t>36</w:t>
      </w:r>
      <w:r w:rsidRPr="00356327">
        <w:rPr>
          <w:rFonts w:ascii="宋体" w:hAnsi="宋体" w:cs="宋体"/>
          <w:bCs w:val="0"/>
          <w:sz w:val="18"/>
          <w:szCs w:val="18"/>
        </w:rPr>
        <w:t>:00-</w:t>
      </w:r>
      <w:r w:rsidR="00C020E0">
        <w:rPr>
          <w:rFonts w:ascii="宋体" w:hAnsi="宋体" w:cs="宋体" w:hint="eastAsia"/>
          <w:bCs w:val="0"/>
          <w:sz w:val="18"/>
          <w:szCs w:val="18"/>
        </w:rPr>
        <w:t>09</w:t>
      </w:r>
      <w:r w:rsidRPr="00356327">
        <w:rPr>
          <w:rFonts w:ascii="宋体" w:hAnsi="宋体" w:cs="宋体"/>
          <w:bCs w:val="0"/>
          <w:sz w:val="18"/>
          <w:szCs w:val="18"/>
        </w:rPr>
        <w:t>:</w:t>
      </w:r>
      <w:r w:rsidR="009B4EA8">
        <w:rPr>
          <w:rFonts w:ascii="宋体" w:hAnsi="宋体" w:cs="宋体" w:hint="eastAsia"/>
          <w:bCs w:val="0"/>
          <w:sz w:val="18"/>
          <w:szCs w:val="18"/>
        </w:rPr>
        <w:t>44</w:t>
      </w:r>
      <w:r w:rsidRPr="00356327">
        <w:rPr>
          <w:rFonts w:ascii="宋体" w:hAnsi="宋体" w:cs="宋体"/>
          <w:bCs w:val="0"/>
          <w:sz w:val="18"/>
          <w:szCs w:val="18"/>
        </w:rPr>
        <w:t>:00）</w:t>
      </w:r>
      <w:r w:rsidRPr="00B86A44">
        <w:rPr>
          <w:rFonts w:ascii="宋体" w:hAnsi="宋体" w:cs="宋体" w:hint="eastAsia"/>
          <w:bCs w:val="0"/>
          <w:color w:val="C00000"/>
          <w:sz w:val="18"/>
          <w:szCs w:val="18"/>
        </w:rPr>
        <w:t>重点内容</w:t>
      </w:r>
    </w:p>
    <w:p w14:paraId="7838EB31" w14:textId="77777777" w:rsidR="006F177D" w:rsidRPr="00356327" w:rsidRDefault="006F177D" w:rsidP="006F177D">
      <w:pPr>
        <w:widowControl/>
        <w:spacing w:line="240" w:lineRule="exact"/>
        <w:ind w:firstLineChars="200" w:firstLine="360"/>
        <w:rPr>
          <w:rFonts w:ascii="宋体" w:eastAsia="宋体" w:hAnsi="宋体" w:hint="eastAsia"/>
          <w:bCs/>
          <w:color w:val="B00824"/>
          <w:kern w:val="0"/>
          <w:sz w:val="18"/>
          <w:szCs w:val="18"/>
        </w:rPr>
      </w:pPr>
      <w:bookmarkStart w:id="31" w:name="_Toc510879103"/>
      <w:r>
        <w:rPr>
          <w:rFonts w:ascii="宋体" w:eastAsia="宋体" w:hAnsi="宋体" w:hint="eastAsia"/>
          <w:sz w:val="18"/>
          <w:szCs w:val="18"/>
        </w:rPr>
        <w:t>一</w:t>
      </w:r>
      <w:r w:rsidRPr="00356327">
        <w:rPr>
          <w:rFonts w:ascii="宋体" w:eastAsia="宋体" w:hAnsi="宋体" w:hint="eastAsia"/>
          <w:sz w:val="18"/>
          <w:szCs w:val="18"/>
        </w:rPr>
        <w:t>、庭前会议的参加人员</w:t>
      </w:r>
      <w:bookmarkEnd w:id="31"/>
      <w:r w:rsidRPr="00356327">
        <w:rPr>
          <w:rFonts w:ascii="宋体" w:eastAsia="宋体" w:hAnsi="宋体" w:hint="eastAsia"/>
          <w:sz w:val="18"/>
          <w:szCs w:val="18"/>
        </w:rPr>
        <w:t>及方式</w:t>
      </w:r>
    </w:p>
    <w:p w14:paraId="3AA3B954" w14:textId="77777777" w:rsidR="006F177D" w:rsidRPr="009D3328" w:rsidRDefault="006F177D" w:rsidP="006F177D">
      <w:pPr>
        <w:spacing w:line="240" w:lineRule="exact"/>
        <w:ind w:firstLineChars="200" w:firstLine="360"/>
        <w:rPr>
          <w:rFonts w:ascii="宋体" w:eastAsia="宋体" w:hAnsi="宋体" w:hint="eastAsia"/>
          <w:sz w:val="18"/>
          <w:szCs w:val="18"/>
        </w:rPr>
      </w:pPr>
      <w:r w:rsidRPr="00356327">
        <w:rPr>
          <w:rFonts w:ascii="宋体" w:eastAsia="宋体" w:hAnsi="宋体" w:hint="eastAsia"/>
          <w:sz w:val="18"/>
          <w:szCs w:val="18"/>
        </w:rPr>
        <w:t>在开庭以前，</w:t>
      </w:r>
      <w:r w:rsidRPr="00356327">
        <w:rPr>
          <w:rFonts w:ascii="宋体" w:eastAsia="宋体" w:hAnsi="宋体"/>
          <w:color w:val="B00824"/>
          <w:sz w:val="18"/>
          <w:szCs w:val="18"/>
        </w:rPr>
        <w:t>审判人员</w:t>
      </w:r>
      <w:r w:rsidRPr="00356327">
        <w:rPr>
          <w:rFonts w:ascii="宋体" w:eastAsia="宋体" w:hAnsi="宋体"/>
          <w:sz w:val="18"/>
          <w:szCs w:val="18"/>
        </w:rPr>
        <w:t>可以召集</w:t>
      </w:r>
      <w:r w:rsidRPr="00356327">
        <w:rPr>
          <w:rFonts w:ascii="宋体" w:eastAsia="宋体" w:hAnsi="宋体"/>
          <w:color w:val="B00824"/>
          <w:sz w:val="18"/>
          <w:szCs w:val="18"/>
        </w:rPr>
        <w:t>公诉人、当事人和辩护人、诉讼代理人</w:t>
      </w:r>
      <w:r w:rsidRPr="00356327">
        <w:rPr>
          <w:rFonts w:ascii="宋体" w:eastAsia="宋体" w:hAnsi="宋体"/>
          <w:sz w:val="18"/>
          <w:szCs w:val="18"/>
        </w:rPr>
        <w:t>，对回避、出庭证人名单、非法证据排除等与审判相关的问题，了解情况，听取意见。</w:t>
      </w:r>
      <w:bookmarkStart w:id="32" w:name="_Toc510879104"/>
      <w:r w:rsidRPr="00356327">
        <w:rPr>
          <w:rFonts w:ascii="宋体" w:eastAsia="宋体" w:hAnsi="宋体" w:hint="eastAsia"/>
          <w:sz w:val="18"/>
          <w:szCs w:val="18"/>
        </w:rPr>
        <w:t>庭前会议由审判长主持，合议庭其他审判员也可以主持庭前会议。</w:t>
      </w:r>
      <w:r w:rsidRPr="00356327">
        <w:rPr>
          <w:rFonts w:ascii="宋体" w:eastAsia="宋体" w:hAnsi="宋体" w:hint="eastAsia"/>
          <w:color w:val="B00824"/>
          <w:sz w:val="18"/>
          <w:szCs w:val="18"/>
        </w:rPr>
        <w:t>召开庭前会议应当通知公诉人、辩护人到场。庭前会议准备就非法证据排除了解情况、听取意见，或者准备询问控辩双方对证据材料的意见的，应当通知被告人到场。</w:t>
      </w:r>
      <w:r w:rsidRPr="00356327">
        <w:rPr>
          <w:rFonts w:ascii="宋体" w:eastAsia="宋体" w:hAnsi="宋体" w:hint="eastAsia"/>
          <w:sz w:val="18"/>
          <w:szCs w:val="18"/>
        </w:rPr>
        <w:t>有多名被告人的案件，可以根据情况确定参加庭前会议的被告人。</w:t>
      </w:r>
      <w:r w:rsidRPr="00356327">
        <w:rPr>
          <w:rFonts w:ascii="宋体" w:eastAsia="宋体" w:hAnsi="宋体" w:hint="eastAsia"/>
          <w:color w:val="B00824"/>
          <w:sz w:val="18"/>
          <w:szCs w:val="18"/>
        </w:rPr>
        <w:t>庭前会议一般不公开进行。</w:t>
      </w:r>
    </w:p>
    <w:p w14:paraId="36098F2D" w14:textId="77777777" w:rsidR="006F177D" w:rsidRPr="00356327" w:rsidRDefault="006F177D" w:rsidP="006F177D">
      <w:pPr>
        <w:spacing w:line="240" w:lineRule="exact"/>
        <w:ind w:firstLineChars="200" w:firstLine="360"/>
        <w:rPr>
          <w:rFonts w:ascii="宋体" w:eastAsia="宋体" w:hAnsi="宋体" w:hint="eastAsia"/>
          <w:color w:val="B00824"/>
          <w:sz w:val="18"/>
          <w:szCs w:val="18"/>
        </w:rPr>
      </w:pPr>
      <w:r>
        <w:rPr>
          <w:rFonts w:ascii="宋体" w:eastAsia="宋体" w:hAnsi="宋体" w:hint="eastAsia"/>
          <w:sz w:val="18"/>
          <w:szCs w:val="18"/>
        </w:rPr>
        <w:t>二</w:t>
      </w:r>
      <w:r w:rsidRPr="00356327">
        <w:rPr>
          <w:rFonts w:ascii="宋体" w:eastAsia="宋体" w:hAnsi="宋体" w:hint="eastAsia"/>
          <w:sz w:val="18"/>
          <w:szCs w:val="18"/>
        </w:rPr>
        <w:t>、庭前会议的内容</w:t>
      </w:r>
      <w:bookmarkEnd w:id="32"/>
      <w:r>
        <w:rPr>
          <w:rFonts w:ascii="宋体" w:eastAsia="宋体" w:hAnsi="宋体" w:hint="eastAsia"/>
          <w:color w:val="B00824"/>
          <w:sz w:val="18"/>
          <w:szCs w:val="18"/>
        </w:rPr>
        <w:t>：</w:t>
      </w:r>
      <w:r w:rsidRPr="00356327">
        <w:rPr>
          <w:rFonts w:ascii="宋体" w:eastAsia="宋体" w:hAnsi="宋体" w:hint="eastAsia"/>
          <w:color w:val="B00824"/>
          <w:sz w:val="18"/>
          <w:szCs w:val="18"/>
        </w:rPr>
        <w:t>不能做出实质性的决定</w:t>
      </w:r>
      <w:r w:rsidRPr="00356327">
        <w:rPr>
          <w:rFonts w:ascii="宋体" w:eastAsia="宋体" w:hAnsi="宋体" w:hint="eastAsia"/>
          <w:sz w:val="18"/>
          <w:szCs w:val="18"/>
        </w:rPr>
        <w:t>。</w:t>
      </w:r>
      <w:r w:rsidRPr="00356327">
        <w:rPr>
          <w:rFonts w:ascii="宋体" w:eastAsia="宋体" w:hAnsi="宋体" w:hint="eastAsia"/>
          <w:color w:val="B00824"/>
          <w:sz w:val="18"/>
          <w:szCs w:val="18"/>
        </w:rPr>
        <w:t>可以对附带民事诉讼进行调解。庭前会议对证据材料无异议的，庭审时举证质证可以简化，不能省略。</w:t>
      </w:r>
    </w:p>
    <w:p w14:paraId="27C68C03" w14:textId="77777777" w:rsidR="006F177D" w:rsidRPr="00356327" w:rsidRDefault="006F177D" w:rsidP="006F177D">
      <w:pPr>
        <w:spacing w:line="240" w:lineRule="exact"/>
        <w:ind w:firstLineChars="200" w:firstLine="360"/>
        <w:rPr>
          <w:rFonts w:ascii="宋体" w:eastAsia="宋体" w:hAnsi="宋体" w:hint="eastAsia"/>
          <w:sz w:val="18"/>
          <w:szCs w:val="18"/>
        </w:rPr>
      </w:pPr>
      <w:r>
        <w:rPr>
          <w:rFonts w:ascii="宋体" w:eastAsia="宋体" w:hAnsi="宋体" w:hint="eastAsia"/>
          <w:sz w:val="18"/>
          <w:szCs w:val="18"/>
        </w:rPr>
        <w:t>三</w:t>
      </w:r>
      <w:r w:rsidRPr="00356327">
        <w:rPr>
          <w:rFonts w:ascii="宋体" w:eastAsia="宋体" w:hAnsi="宋体" w:hint="eastAsia"/>
          <w:sz w:val="18"/>
          <w:szCs w:val="18"/>
        </w:rPr>
        <w:t>、庭前会议与庭审程序的衔接</w:t>
      </w:r>
    </w:p>
    <w:p w14:paraId="06F620B1" w14:textId="77777777" w:rsidR="006F177D" w:rsidRDefault="006F177D" w:rsidP="006F177D">
      <w:pPr>
        <w:spacing w:line="240" w:lineRule="exact"/>
        <w:ind w:firstLineChars="200" w:firstLine="360"/>
        <w:rPr>
          <w:rFonts w:ascii="宋体" w:eastAsia="宋体" w:hAnsi="宋体" w:hint="eastAsia"/>
          <w:color w:val="B00824"/>
          <w:sz w:val="18"/>
          <w:szCs w:val="18"/>
        </w:rPr>
      </w:pPr>
      <w:r w:rsidRPr="00356327">
        <w:rPr>
          <w:rFonts w:ascii="宋体" w:eastAsia="宋体" w:hAnsi="宋体" w:hint="eastAsia"/>
          <w:sz w:val="18"/>
          <w:szCs w:val="18"/>
        </w:rPr>
        <w:t>（</w:t>
      </w:r>
      <w:r>
        <w:rPr>
          <w:rFonts w:ascii="宋体" w:eastAsia="宋体" w:hAnsi="宋体" w:hint="eastAsia"/>
          <w:sz w:val="18"/>
          <w:szCs w:val="18"/>
        </w:rPr>
        <w:t>1</w:t>
      </w:r>
      <w:r w:rsidRPr="00356327">
        <w:rPr>
          <w:rFonts w:ascii="宋体" w:eastAsia="宋体" w:hAnsi="宋体" w:hint="eastAsia"/>
          <w:sz w:val="18"/>
          <w:szCs w:val="18"/>
        </w:rPr>
        <w:t>）人民法院在庭前会议中听取控辩双方对案件事实、证据材料的意见后，对明显事实不清、证据不足的案件，可以建议人民检察院补充材料或者撤回起诉。建议撤回起诉的案件，人民检察院不同意的，</w:t>
      </w:r>
      <w:r w:rsidRPr="00356327">
        <w:rPr>
          <w:rFonts w:ascii="宋体" w:eastAsia="宋体" w:hAnsi="宋体" w:hint="eastAsia"/>
          <w:color w:val="B00824"/>
          <w:sz w:val="18"/>
          <w:szCs w:val="18"/>
        </w:rPr>
        <w:t>开庭审理后，没有新的事实和理由，一般不准许撤回起诉</w:t>
      </w:r>
      <w:r w:rsidRPr="00356327">
        <w:rPr>
          <w:rFonts w:ascii="宋体" w:eastAsia="宋体" w:hAnsi="宋体" w:hint="eastAsia"/>
          <w:sz w:val="18"/>
          <w:szCs w:val="18"/>
        </w:rPr>
        <w:t>。（</w:t>
      </w:r>
      <w:r>
        <w:rPr>
          <w:rFonts w:ascii="宋体" w:eastAsia="宋体" w:hAnsi="宋体" w:hint="eastAsia"/>
          <w:sz w:val="18"/>
          <w:szCs w:val="18"/>
        </w:rPr>
        <w:t>2</w:t>
      </w:r>
      <w:r w:rsidRPr="00356327">
        <w:rPr>
          <w:rFonts w:ascii="宋体" w:eastAsia="宋体" w:hAnsi="宋体" w:hint="eastAsia"/>
          <w:sz w:val="18"/>
          <w:szCs w:val="18"/>
        </w:rPr>
        <w:t>）对召开庭前会议的案件，可以在开庭时告知庭前会议情况。对庭前会议中达成一致意见的事项，</w:t>
      </w:r>
      <w:r w:rsidRPr="00356327">
        <w:rPr>
          <w:rFonts w:ascii="宋体" w:eastAsia="宋体" w:hAnsi="宋体" w:hint="eastAsia"/>
          <w:color w:val="B00824"/>
          <w:sz w:val="18"/>
          <w:szCs w:val="18"/>
        </w:rPr>
        <w:t>法庭在向控辩双方核实后，可以当庭予以确认；</w:t>
      </w:r>
      <w:r w:rsidRPr="00356327">
        <w:rPr>
          <w:rFonts w:ascii="宋体" w:eastAsia="宋体" w:hAnsi="宋体" w:hint="eastAsia"/>
          <w:sz w:val="18"/>
          <w:szCs w:val="18"/>
        </w:rPr>
        <w:t>未达成一致意见的事项，法庭可以归纳控辩双方争议焦点，听取控辩双方意见，依法作出处理。控辩双方在庭前会议中就有关事项达成一致意见在庭审中反悔的，</w:t>
      </w:r>
      <w:r w:rsidRPr="00356327">
        <w:rPr>
          <w:rFonts w:ascii="宋体" w:eastAsia="宋体" w:hAnsi="宋体" w:hint="eastAsia"/>
          <w:color w:val="B00824"/>
          <w:sz w:val="18"/>
          <w:szCs w:val="18"/>
        </w:rPr>
        <w:t>除有正当理由外，法庭一般不再进行处理。</w:t>
      </w:r>
    </w:p>
    <w:p w14:paraId="2B50D25C" w14:textId="7F8C0438" w:rsidR="006F177D" w:rsidRDefault="006F177D" w:rsidP="006F177D">
      <w:pPr>
        <w:pStyle w:val="1"/>
        <w:tabs>
          <w:tab w:val="left" w:pos="420"/>
        </w:tabs>
        <w:spacing w:before="0" w:after="0" w:line="240" w:lineRule="auto"/>
        <w:jc w:val="center"/>
        <w:rPr>
          <w:rFonts w:ascii="宋体" w:hAnsi="宋体" w:hint="eastAsia"/>
          <w:bCs w:val="0"/>
          <w:sz w:val="18"/>
          <w:szCs w:val="18"/>
        </w:rPr>
      </w:pPr>
      <w:r>
        <w:rPr>
          <w:rFonts w:ascii="宋体" w:hAnsi="宋体" w:hint="eastAsia"/>
          <w:bCs w:val="0"/>
          <w:sz w:val="18"/>
          <w:szCs w:val="18"/>
        </w:rPr>
        <w:t>考点48  法庭调查的程序</w:t>
      </w:r>
      <w:r w:rsidRPr="00356327">
        <w:rPr>
          <w:rFonts w:ascii="宋体" w:hAnsi="宋体" w:cs="宋体" w:hint="eastAsia"/>
          <w:bCs w:val="0"/>
          <w:sz w:val="18"/>
          <w:szCs w:val="18"/>
        </w:rPr>
        <w:t>（</w:t>
      </w:r>
      <w:r w:rsidR="007F7C79">
        <w:rPr>
          <w:rFonts w:ascii="宋体" w:hAnsi="宋体" w:cs="宋体" w:hint="eastAsia"/>
          <w:bCs w:val="0"/>
          <w:sz w:val="18"/>
          <w:szCs w:val="18"/>
        </w:rPr>
        <w:t>09</w:t>
      </w:r>
      <w:r w:rsidR="007F7C79" w:rsidRPr="00356327">
        <w:rPr>
          <w:rFonts w:ascii="宋体" w:hAnsi="宋体" w:cs="宋体"/>
          <w:bCs w:val="0"/>
          <w:sz w:val="18"/>
          <w:szCs w:val="18"/>
        </w:rPr>
        <w:t>:</w:t>
      </w:r>
      <w:r w:rsidR="007F7C79">
        <w:rPr>
          <w:rFonts w:ascii="宋体" w:hAnsi="宋体" w:cs="宋体" w:hint="eastAsia"/>
          <w:bCs w:val="0"/>
          <w:sz w:val="18"/>
          <w:szCs w:val="18"/>
        </w:rPr>
        <w:t>4</w:t>
      </w:r>
      <w:r w:rsidR="00F57CAC">
        <w:rPr>
          <w:rFonts w:ascii="宋体" w:hAnsi="宋体" w:cs="宋体" w:hint="eastAsia"/>
          <w:bCs w:val="0"/>
          <w:sz w:val="18"/>
          <w:szCs w:val="18"/>
        </w:rPr>
        <w:t>9</w:t>
      </w:r>
      <w:r w:rsidR="007F7C79" w:rsidRPr="00356327">
        <w:rPr>
          <w:rFonts w:ascii="宋体" w:hAnsi="宋体" w:cs="宋体"/>
          <w:bCs w:val="0"/>
          <w:sz w:val="18"/>
          <w:szCs w:val="18"/>
        </w:rPr>
        <w:t>:</w:t>
      </w:r>
      <w:r w:rsidRPr="00356327">
        <w:rPr>
          <w:rFonts w:ascii="宋体" w:hAnsi="宋体" w:cs="宋体"/>
          <w:bCs w:val="0"/>
          <w:sz w:val="18"/>
          <w:szCs w:val="18"/>
        </w:rPr>
        <w:t>00-</w:t>
      </w:r>
      <w:r w:rsidR="00080592">
        <w:rPr>
          <w:rFonts w:ascii="宋体" w:hAnsi="宋体" w:cs="宋体"/>
          <w:bCs w:val="0"/>
          <w:sz w:val="18"/>
          <w:szCs w:val="18"/>
        </w:rPr>
        <w:t>1</w:t>
      </w:r>
      <w:r w:rsidR="00080592">
        <w:rPr>
          <w:rFonts w:ascii="宋体" w:hAnsi="宋体" w:cs="宋体" w:hint="eastAsia"/>
          <w:bCs w:val="0"/>
          <w:sz w:val="18"/>
          <w:szCs w:val="18"/>
        </w:rPr>
        <w:t>0</w:t>
      </w:r>
      <w:r w:rsidR="00080592" w:rsidRPr="00356327">
        <w:rPr>
          <w:rFonts w:ascii="宋体" w:hAnsi="宋体" w:cs="宋体"/>
          <w:bCs w:val="0"/>
          <w:sz w:val="18"/>
          <w:szCs w:val="18"/>
        </w:rPr>
        <w:t>:</w:t>
      </w:r>
      <w:r w:rsidR="00080592">
        <w:rPr>
          <w:rFonts w:ascii="宋体" w:hAnsi="宋体" w:cs="宋体" w:hint="eastAsia"/>
          <w:bCs w:val="0"/>
          <w:sz w:val="18"/>
          <w:szCs w:val="18"/>
        </w:rPr>
        <w:t>05</w:t>
      </w:r>
      <w:r w:rsidRPr="00356327">
        <w:rPr>
          <w:rFonts w:ascii="宋体" w:hAnsi="宋体" w:cs="宋体"/>
          <w:bCs w:val="0"/>
          <w:sz w:val="18"/>
          <w:szCs w:val="18"/>
        </w:rPr>
        <w:t>:00）</w:t>
      </w:r>
    </w:p>
    <w:p w14:paraId="56A2E5C4" w14:textId="77777777" w:rsidR="006F177D" w:rsidRDefault="006F177D" w:rsidP="006F177D">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一、通知出庭</w:t>
      </w:r>
    </w:p>
    <w:p w14:paraId="425581F2" w14:textId="77777777" w:rsidR="006F177D" w:rsidRDefault="006F177D" w:rsidP="006F177D">
      <w:pPr>
        <w:ind w:firstLine="420"/>
        <w:rPr>
          <w:rFonts w:ascii="宋体" w:eastAsia="宋体" w:hAnsi="宋体" w:cs="宋体" w:hint="eastAsia"/>
          <w:color w:val="000000" w:themeColor="text1"/>
          <w:sz w:val="18"/>
          <w:szCs w:val="18"/>
        </w:rPr>
      </w:pPr>
      <w:r>
        <w:rPr>
          <w:rFonts w:ascii="宋体" w:eastAsia="宋体" w:hAnsi="宋体" w:cs="宋体"/>
          <w:color w:val="000000" w:themeColor="text1"/>
          <w:sz w:val="18"/>
          <w:szCs w:val="18"/>
        </w:rPr>
        <w:t>被害人人数众多的涉众型犯罪案件</w:t>
      </w:r>
      <w:r>
        <w:rPr>
          <w:rFonts w:ascii="宋体" w:eastAsia="宋体" w:hAnsi="宋体" w:cs="宋体" w:hint="eastAsia"/>
          <w:color w:val="C00000"/>
          <w:sz w:val="18"/>
          <w:szCs w:val="18"/>
        </w:rPr>
        <w:t>（新增）</w:t>
      </w:r>
      <w:r>
        <w:rPr>
          <w:rFonts w:ascii="宋体" w:eastAsia="宋体" w:hAnsi="宋体" w:cs="宋体" w:hint="eastAsia"/>
          <w:color w:val="000000" w:themeColor="text1"/>
          <w:sz w:val="18"/>
          <w:szCs w:val="18"/>
        </w:rPr>
        <w:t>：</w:t>
      </w:r>
      <w:r>
        <w:rPr>
          <w:rFonts w:ascii="宋体" w:eastAsia="宋体" w:hAnsi="宋体" w:cs="宋体" w:hint="eastAsia"/>
          <w:color w:val="C00000"/>
          <w:sz w:val="18"/>
          <w:szCs w:val="18"/>
        </w:rPr>
        <w:t>可以</w:t>
      </w:r>
      <w:r>
        <w:rPr>
          <w:rFonts w:ascii="宋体" w:eastAsia="宋体" w:hAnsi="宋体" w:cs="宋体" w:hint="eastAsia"/>
          <w:color w:val="000000" w:themeColor="text1"/>
          <w:sz w:val="18"/>
          <w:szCs w:val="18"/>
        </w:rPr>
        <w:t>通过互联网公布相关文书，通知有关人员出庭；</w:t>
      </w:r>
    </w:p>
    <w:p w14:paraId="6566F069" w14:textId="77777777" w:rsidR="006F177D" w:rsidRDefault="006F177D" w:rsidP="006F177D">
      <w:pPr>
        <w:ind w:firstLine="420"/>
        <w:rPr>
          <w:rFonts w:ascii="宋体" w:eastAsia="宋体" w:hAnsi="宋体" w:cs="宋体" w:hint="eastAsia"/>
          <w:color w:val="000000" w:themeColor="text1"/>
          <w:sz w:val="18"/>
          <w:szCs w:val="18"/>
        </w:rPr>
      </w:pPr>
      <w:r>
        <w:rPr>
          <w:rFonts w:ascii="宋体" w:eastAsia="宋体" w:hAnsi="宋体" w:cs="宋体"/>
          <w:color w:val="000000" w:themeColor="text1"/>
          <w:sz w:val="18"/>
          <w:szCs w:val="18"/>
        </w:rPr>
        <w:t>被害人人数众多，且案件</w:t>
      </w:r>
      <w:r>
        <w:rPr>
          <w:rFonts w:ascii="宋体" w:eastAsia="宋体" w:hAnsi="宋体" w:cs="宋体"/>
          <w:color w:val="C00000"/>
          <w:sz w:val="18"/>
          <w:szCs w:val="18"/>
        </w:rPr>
        <w:t>不属于附带民事诉讼范围的</w:t>
      </w:r>
      <w:r>
        <w:rPr>
          <w:rFonts w:ascii="宋体" w:eastAsia="宋体" w:hAnsi="宋体" w:cs="宋体" w:hint="eastAsia"/>
          <w:color w:val="C00000"/>
          <w:sz w:val="18"/>
          <w:szCs w:val="18"/>
        </w:rPr>
        <w:t>（新增）</w:t>
      </w:r>
      <w:r>
        <w:rPr>
          <w:rFonts w:ascii="宋体" w:eastAsia="宋体" w:hAnsi="宋体" w:cs="宋体" w:hint="eastAsia"/>
          <w:color w:val="000000" w:themeColor="text1"/>
          <w:sz w:val="18"/>
          <w:szCs w:val="18"/>
        </w:rPr>
        <w:t>：被害人</w:t>
      </w:r>
      <w:r>
        <w:rPr>
          <w:rFonts w:ascii="宋体" w:eastAsia="宋体" w:hAnsi="宋体" w:cs="宋体" w:hint="eastAsia"/>
          <w:color w:val="C00000"/>
          <w:sz w:val="18"/>
          <w:szCs w:val="18"/>
        </w:rPr>
        <w:t>可以</w:t>
      </w:r>
      <w:r>
        <w:rPr>
          <w:rFonts w:ascii="宋体" w:eastAsia="宋体" w:hAnsi="宋体" w:cs="宋体" w:hint="eastAsia"/>
          <w:color w:val="000000" w:themeColor="text1"/>
          <w:sz w:val="18"/>
          <w:szCs w:val="18"/>
        </w:rPr>
        <w:t>推选若干</w:t>
      </w:r>
      <w:r>
        <w:rPr>
          <w:rFonts w:ascii="宋体" w:eastAsia="宋体" w:hAnsi="宋体" w:cs="宋体" w:hint="eastAsia"/>
          <w:color w:val="C00000"/>
          <w:sz w:val="18"/>
          <w:szCs w:val="18"/>
        </w:rPr>
        <w:t>代表人</w:t>
      </w:r>
      <w:r>
        <w:rPr>
          <w:rFonts w:ascii="宋体" w:eastAsia="宋体" w:hAnsi="宋体" w:cs="宋体" w:hint="eastAsia"/>
          <w:color w:val="000000" w:themeColor="text1"/>
          <w:sz w:val="18"/>
          <w:szCs w:val="18"/>
        </w:rPr>
        <w:t>参加庭审</w:t>
      </w:r>
    </w:p>
    <w:p w14:paraId="3921E1A2" w14:textId="77777777" w:rsidR="006F177D" w:rsidRDefault="006F177D" w:rsidP="006F177D">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二、证人、鉴定人、有专门知识的人出庭制度</w:t>
      </w:r>
    </w:p>
    <w:p w14:paraId="63D9D67F" w14:textId="77777777" w:rsidR="006F177D" w:rsidRDefault="006F177D" w:rsidP="006F177D">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（一）证人、鉴定人出庭的条件和拒不出庭的后果（熟记以下表格）</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1276"/>
        <w:gridCol w:w="3705"/>
        <w:gridCol w:w="2646"/>
      </w:tblGrid>
      <w:tr w:rsidR="006F177D" w14:paraId="77B3BFC6" w14:textId="77777777" w:rsidTr="0027558E">
        <w:trPr>
          <w:trHeight w:val="90"/>
          <w:jc w:val="center"/>
        </w:trPr>
        <w:tc>
          <w:tcPr>
            <w:tcW w:w="1025" w:type="dxa"/>
            <w:tcBorders>
              <w:top w:val="single" w:sz="8" w:space="0" w:color="FF0000"/>
              <w:left w:val="single" w:sz="8" w:space="0" w:color="FF0000"/>
              <w:bottom w:val="single" w:sz="8" w:space="0" w:color="FF0000"/>
              <w:right w:val="single" w:sz="8" w:space="0" w:color="FF0000"/>
            </w:tcBorders>
            <w:vAlign w:val="center"/>
          </w:tcPr>
          <w:p w14:paraId="3706AD64" w14:textId="77777777" w:rsidR="006F177D" w:rsidRDefault="006F177D" w:rsidP="0027558E">
            <w:pPr>
              <w:spacing w:afterLines="10" w:after="31" w:line="280" w:lineRule="exact"/>
              <w:jc w:val="center"/>
              <w:rPr>
                <w:rFonts w:ascii="汉仪中黑简" w:eastAsia="汉仪中黑简" w:hint="eastAsia"/>
                <w:bCs/>
                <w:sz w:val="13"/>
                <w:szCs w:val="13"/>
              </w:rPr>
            </w:pPr>
            <w:r>
              <w:rPr>
                <w:rFonts w:ascii="汉仪中黑简" w:eastAsia="汉仪中黑简" w:hint="eastAsia"/>
                <w:bCs/>
                <w:sz w:val="13"/>
                <w:szCs w:val="13"/>
              </w:rPr>
              <w:t>主体</w:t>
            </w:r>
          </w:p>
        </w:tc>
        <w:tc>
          <w:tcPr>
            <w:tcW w:w="4981" w:type="dxa"/>
            <w:gridSpan w:val="2"/>
            <w:tcBorders>
              <w:top w:val="single" w:sz="8" w:space="0" w:color="FF0000"/>
              <w:left w:val="single" w:sz="8" w:space="0" w:color="FF0000"/>
              <w:bottom w:val="single" w:sz="8" w:space="0" w:color="FF0000"/>
              <w:right w:val="single" w:sz="8" w:space="0" w:color="FF0000"/>
            </w:tcBorders>
            <w:vAlign w:val="center"/>
          </w:tcPr>
          <w:p w14:paraId="16369458" w14:textId="77777777" w:rsidR="006F177D" w:rsidRDefault="006F177D" w:rsidP="0027558E">
            <w:pPr>
              <w:spacing w:afterLines="10" w:after="31" w:line="280" w:lineRule="exact"/>
              <w:jc w:val="center"/>
              <w:rPr>
                <w:rFonts w:ascii="汉仪中黑简" w:eastAsia="汉仪中黑简" w:hint="eastAsia"/>
                <w:bCs/>
                <w:sz w:val="13"/>
                <w:szCs w:val="13"/>
              </w:rPr>
            </w:pPr>
            <w:r>
              <w:rPr>
                <w:rFonts w:ascii="汉仪中黑简" w:eastAsia="汉仪中黑简" w:hint="eastAsia"/>
                <w:b/>
                <w:color w:val="C00000"/>
                <w:sz w:val="13"/>
                <w:szCs w:val="13"/>
              </w:rPr>
              <w:t>条件</w:t>
            </w:r>
          </w:p>
        </w:tc>
        <w:tc>
          <w:tcPr>
            <w:tcW w:w="2646" w:type="dxa"/>
            <w:tcBorders>
              <w:top w:val="single" w:sz="8" w:space="0" w:color="FF0000"/>
              <w:left w:val="single" w:sz="8" w:space="0" w:color="FF0000"/>
              <w:bottom w:val="single" w:sz="8" w:space="0" w:color="FF0000"/>
              <w:right w:val="single" w:sz="8" w:space="0" w:color="FF0000"/>
            </w:tcBorders>
            <w:vAlign w:val="center"/>
          </w:tcPr>
          <w:p w14:paraId="46E5C497" w14:textId="77777777" w:rsidR="006F177D" w:rsidRDefault="006F177D" w:rsidP="0027558E">
            <w:pPr>
              <w:spacing w:afterLines="10" w:after="31" w:line="280" w:lineRule="exact"/>
              <w:jc w:val="center"/>
              <w:rPr>
                <w:rFonts w:ascii="汉仪中黑简" w:eastAsia="汉仪中黑简" w:hint="eastAsia"/>
                <w:bCs/>
                <w:sz w:val="13"/>
                <w:szCs w:val="13"/>
              </w:rPr>
            </w:pPr>
            <w:r>
              <w:rPr>
                <w:rFonts w:ascii="汉仪中黑简" w:eastAsia="汉仪中黑简" w:hint="eastAsia"/>
                <w:bCs/>
                <w:sz w:val="13"/>
                <w:szCs w:val="13"/>
              </w:rPr>
              <w:t>拒不出庭的效果</w:t>
            </w:r>
          </w:p>
        </w:tc>
      </w:tr>
      <w:tr w:rsidR="006F177D" w14:paraId="13A7AA56" w14:textId="77777777" w:rsidTr="0027558E">
        <w:trPr>
          <w:jc w:val="center"/>
        </w:trPr>
        <w:tc>
          <w:tcPr>
            <w:tcW w:w="1025" w:type="dxa"/>
            <w:vMerge w:val="restart"/>
            <w:tcBorders>
              <w:top w:val="single" w:sz="8" w:space="0" w:color="FF0000"/>
              <w:left w:val="single" w:sz="8" w:space="0" w:color="FF0000"/>
              <w:bottom w:val="single" w:sz="8" w:space="0" w:color="FF0000"/>
              <w:right w:val="single" w:sz="8" w:space="0" w:color="FF0000"/>
            </w:tcBorders>
            <w:vAlign w:val="center"/>
          </w:tcPr>
          <w:p w14:paraId="45D116D9"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证人</w:t>
            </w:r>
            <w:r>
              <w:rPr>
                <w:rFonts w:ascii="汉仪书宋一简" w:eastAsia="汉仪书宋一简" w:hint="eastAsia"/>
                <w:color w:val="C00000"/>
                <w:sz w:val="13"/>
                <w:szCs w:val="13"/>
              </w:rPr>
              <w:t>（含执行职务时目击犯罪的警察）</w:t>
            </w:r>
          </w:p>
        </w:tc>
        <w:tc>
          <w:tcPr>
            <w:tcW w:w="1276" w:type="dxa"/>
            <w:vMerge w:val="restart"/>
            <w:tcBorders>
              <w:top w:val="single" w:sz="8" w:space="0" w:color="FF0000"/>
              <w:left w:val="single" w:sz="8" w:space="0" w:color="FF0000"/>
              <w:bottom w:val="single" w:sz="8" w:space="0" w:color="FF0000"/>
              <w:right w:val="single" w:sz="8" w:space="0" w:color="FF0000"/>
            </w:tcBorders>
            <w:vAlign w:val="center"/>
          </w:tcPr>
          <w:p w14:paraId="01666FDB"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积极条件（应当出庭作证）</w:t>
            </w:r>
          </w:p>
        </w:tc>
        <w:tc>
          <w:tcPr>
            <w:tcW w:w="3705" w:type="dxa"/>
            <w:tcBorders>
              <w:top w:val="single" w:sz="8" w:space="0" w:color="FF0000"/>
              <w:left w:val="single" w:sz="8" w:space="0" w:color="FF0000"/>
              <w:bottom w:val="single" w:sz="8" w:space="0" w:color="FF0000"/>
              <w:right w:val="single" w:sz="8" w:space="0" w:color="FF0000"/>
            </w:tcBorders>
            <w:vAlign w:val="center"/>
          </w:tcPr>
          <w:p w14:paraId="51DDE30C"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控辩双方对证人证言有异议</w:t>
            </w:r>
          </w:p>
        </w:tc>
        <w:tc>
          <w:tcPr>
            <w:tcW w:w="2646" w:type="dxa"/>
            <w:vMerge w:val="restart"/>
            <w:tcBorders>
              <w:top w:val="single" w:sz="8" w:space="0" w:color="FF0000"/>
              <w:left w:val="single" w:sz="8" w:space="0" w:color="FF0000"/>
              <w:bottom w:val="single" w:sz="8" w:space="0" w:color="FF0000"/>
              <w:right w:val="single" w:sz="8" w:space="0" w:color="FF0000"/>
            </w:tcBorders>
            <w:vAlign w:val="center"/>
          </w:tcPr>
          <w:p w14:paraId="485C2FEE"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强制出庭（</w:t>
            </w:r>
            <w:r>
              <w:rPr>
                <w:rFonts w:ascii="汉仪书宋一简" w:eastAsia="汉仪书宋一简" w:hint="eastAsia"/>
                <w:color w:val="C00000"/>
                <w:sz w:val="13"/>
                <w:szCs w:val="13"/>
              </w:rPr>
              <w:t>被告人的配偶、父母、子女除外 但未免除其作证义务</w:t>
            </w:r>
            <w:r>
              <w:rPr>
                <w:rFonts w:ascii="汉仪书宋一简" w:eastAsia="汉仪书宋一简" w:hint="eastAsia"/>
                <w:sz w:val="13"/>
                <w:szCs w:val="13"/>
              </w:rPr>
              <w:t>）</w:t>
            </w:r>
          </w:p>
        </w:tc>
      </w:tr>
      <w:tr w:rsidR="006F177D" w14:paraId="5B6BF586" w14:textId="77777777" w:rsidTr="0027558E">
        <w:trPr>
          <w:jc w:val="center"/>
        </w:trPr>
        <w:tc>
          <w:tcPr>
            <w:tcW w:w="1025" w:type="dxa"/>
            <w:vMerge/>
            <w:tcBorders>
              <w:top w:val="single" w:sz="8" w:space="0" w:color="FF0000"/>
              <w:left w:val="single" w:sz="8" w:space="0" w:color="FF0000"/>
              <w:bottom w:val="single" w:sz="8" w:space="0" w:color="FF0000"/>
              <w:right w:val="single" w:sz="8" w:space="0" w:color="FF0000"/>
            </w:tcBorders>
            <w:vAlign w:val="center"/>
          </w:tcPr>
          <w:p w14:paraId="223E55CC" w14:textId="77777777" w:rsidR="006F177D" w:rsidRDefault="006F177D" w:rsidP="0027558E">
            <w:pPr>
              <w:spacing w:afterLines="10" w:after="31" w:line="280" w:lineRule="exact"/>
              <w:rPr>
                <w:rFonts w:ascii="汉仪书宋一简" w:eastAsia="汉仪书宋一简" w:hint="eastAsia"/>
                <w:sz w:val="13"/>
                <w:szCs w:val="13"/>
              </w:rPr>
            </w:pPr>
          </w:p>
        </w:tc>
        <w:tc>
          <w:tcPr>
            <w:tcW w:w="1276" w:type="dxa"/>
            <w:vMerge/>
            <w:tcBorders>
              <w:top w:val="single" w:sz="8" w:space="0" w:color="FF0000"/>
              <w:left w:val="single" w:sz="8" w:space="0" w:color="FF0000"/>
              <w:bottom w:val="single" w:sz="8" w:space="0" w:color="FF0000"/>
              <w:right w:val="single" w:sz="8" w:space="0" w:color="FF0000"/>
            </w:tcBorders>
            <w:vAlign w:val="center"/>
          </w:tcPr>
          <w:p w14:paraId="4C6E418F" w14:textId="77777777" w:rsidR="006F177D" w:rsidRDefault="006F177D" w:rsidP="0027558E">
            <w:pPr>
              <w:spacing w:afterLines="10" w:after="31" w:line="280" w:lineRule="exact"/>
              <w:rPr>
                <w:rFonts w:ascii="汉仪书宋一简" w:eastAsia="汉仪书宋一简" w:hint="eastAsia"/>
                <w:sz w:val="13"/>
                <w:szCs w:val="13"/>
              </w:rPr>
            </w:pPr>
          </w:p>
        </w:tc>
        <w:tc>
          <w:tcPr>
            <w:tcW w:w="3705" w:type="dxa"/>
            <w:tcBorders>
              <w:top w:val="single" w:sz="8" w:space="0" w:color="FF0000"/>
              <w:left w:val="single" w:sz="8" w:space="0" w:color="FF0000"/>
              <w:bottom w:val="single" w:sz="8" w:space="0" w:color="FF0000"/>
              <w:right w:val="single" w:sz="8" w:space="0" w:color="FF0000"/>
            </w:tcBorders>
            <w:vAlign w:val="center"/>
          </w:tcPr>
          <w:p w14:paraId="3CD5EB9B"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证人证言对案件定罪量刑有重大影响</w:t>
            </w:r>
          </w:p>
        </w:tc>
        <w:tc>
          <w:tcPr>
            <w:tcW w:w="2646" w:type="dxa"/>
            <w:vMerge/>
            <w:tcBorders>
              <w:top w:val="single" w:sz="8" w:space="0" w:color="FF0000"/>
              <w:left w:val="single" w:sz="8" w:space="0" w:color="FF0000"/>
              <w:bottom w:val="single" w:sz="8" w:space="0" w:color="FF0000"/>
              <w:right w:val="single" w:sz="8" w:space="0" w:color="FF0000"/>
            </w:tcBorders>
            <w:vAlign w:val="center"/>
          </w:tcPr>
          <w:p w14:paraId="75BC7F48" w14:textId="77777777" w:rsidR="006F177D" w:rsidRDefault="006F177D" w:rsidP="0027558E">
            <w:pPr>
              <w:spacing w:afterLines="10" w:after="31" w:line="280" w:lineRule="exact"/>
              <w:rPr>
                <w:rFonts w:ascii="汉仪书宋一简" w:eastAsia="汉仪书宋一简" w:hint="eastAsia"/>
                <w:sz w:val="13"/>
                <w:szCs w:val="13"/>
              </w:rPr>
            </w:pPr>
          </w:p>
        </w:tc>
      </w:tr>
      <w:tr w:rsidR="006F177D" w14:paraId="46A8BFFA" w14:textId="77777777" w:rsidTr="0027558E">
        <w:trPr>
          <w:trHeight w:val="90"/>
          <w:jc w:val="center"/>
        </w:trPr>
        <w:tc>
          <w:tcPr>
            <w:tcW w:w="1025" w:type="dxa"/>
            <w:vMerge/>
            <w:tcBorders>
              <w:top w:val="single" w:sz="8" w:space="0" w:color="FF0000"/>
              <w:left w:val="single" w:sz="8" w:space="0" w:color="FF0000"/>
              <w:bottom w:val="single" w:sz="8" w:space="0" w:color="FF0000"/>
              <w:right w:val="single" w:sz="8" w:space="0" w:color="FF0000"/>
            </w:tcBorders>
            <w:vAlign w:val="center"/>
          </w:tcPr>
          <w:p w14:paraId="57B705FF" w14:textId="77777777" w:rsidR="006F177D" w:rsidRDefault="006F177D" w:rsidP="0027558E">
            <w:pPr>
              <w:spacing w:afterLines="10" w:after="31" w:line="280" w:lineRule="exact"/>
              <w:rPr>
                <w:rFonts w:ascii="汉仪书宋一简" w:eastAsia="汉仪书宋一简" w:hint="eastAsia"/>
                <w:sz w:val="13"/>
                <w:szCs w:val="13"/>
              </w:rPr>
            </w:pPr>
          </w:p>
        </w:tc>
        <w:tc>
          <w:tcPr>
            <w:tcW w:w="1276" w:type="dxa"/>
            <w:vMerge/>
            <w:tcBorders>
              <w:top w:val="single" w:sz="8" w:space="0" w:color="FF0000"/>
              <w:left w:val="single" w:sz="8" w:space="0" w:color="FF0000"/>
              <w:bottom w:val="single" w:sz="8" w:space="0" w:color="FF0000"/>
              <w:right w:val="single" w:sz="8" w:space="0" w:color="FF0000"/>
            </w:tcBorders>
            <w:vAlign w:val="center"/>
          </w:tcPr>
          <w:p w14:paraId="236DEC31" w14:textId="77777777" w:rsidR="006F177D" w:rsidRDefault="006F177D" w:rsidP="0027558E">
            <w:pPr>
              <w:spacing w:afterLines="10" w:after="31" w:line="280" w:lineRule="exact"/>
              <w:rPr>
                <w:rFonts w:ascii="汉仪书宋一简" w:eastAsia="汉仪书宋一简" w:hint="eastAsia"/>
                <w:sz w:val="13"/>
                <w:szCs w:val="13"/>
              </w:rPr>
            </w:pPr>
          </w:p>
        </w:tc>
        <w:tc>
          <w:tcPr>
            <w:tcW w:w="3705" w:type="dxa"/>
            <w:tcBorders>
              <w:top w:val="single" w:sz="8" w:space="0" w:color="FF0000"/>
              <w:left w:val="single" w:sz="8" w:space="0" w:color="FF0000"/>
              <w:bottom w:val="single" w:sz="8" w:space="0" w:color="FF0000"/>
              <w:right w:val="single" w:sz="8" w:space="0" w:color="FF0000"/>
            </w:tcBorders>
            <w:vAlign w:val="center"/>
          </w:tcPr>
          <w:p w14:paraId="4B0AE480"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人民法院认为证人有必要出庭作证</w:t>
            </w:r>
          </w:p>
        </w:tc>
        <w:tc>
          <w:tcPr>
            <w:tcW w:w="2646" w:type="dxa"/>
            <w:vMerge/>
            <w:tcBorders>
              <w:top w:val="single" w:sz="8" w:space="0" w:color="FF0000"/>
              <w:left w:val="single" w:sz="8" w:space="0" w:color="FF0000"/>
              <w:bottom w:val="single" w:sz="8" w:space="0" w:color="FF0000"/>
              <w:right w:val="single" w:sz="8" w:space="0" w:color="FF0000"/>
            </w:tcBorders>
            <w:vAlign w:val="center"/>
          </w:tcPr>
          <w:p w14:paraId="7BECCE06" w14:textId="77777777" w:rsidR="006F177D" w:rsidRDefault="006F177D" w:rsidP="0027558E">
            <w:pPr>
              <w:spacing w:afterLines="10" w:after="31" w:line="280" w:lineRule="exact"/>
              <w:rPr>
                <w:rFonts w:ascii="汉仪书宋一简" w:eastAsia="汉仪书宋一简" w:hint="eastAsia"/>
                <w:sz w:val="13"/>
                <w:szCs w:val="13"/>
              </w:rPr>
            </w:pPr>
          </w:p>
        </w:tc>
      </w:tr>
      <w:tr w:rsidR="006F177D" w14:paraId="3853B69C" w14:textId="77777777" w:rsidTr="0027558E">
        <w:trPr>
          <w:jc w:val="center"/>
        </w:trPr>
        <w:tc>
          <w:tcPr>
            <w:tcW w:w="1025" w:type="dxa"/>
            <w:vMerge/>
            <w:tcBorders>
              <w:top w:val="single" w:sz="8" w:space="0" w:color="FF0000"/>
              <w:left w:val="single" w:sz="8" w:space="0" w:color="FF0000"/>
              <w:bottom w:val="single" w:sz="8" w:space="0" w:color="FF0000"/>
              <w:right w:val="single" w:sz="8" w:space="0" w:color="FF0000"/>
            </w:tcBorders>
            <w:vAlign w:val="center"/>
          </w:tcPr>
          <w:p w14:paraId="52D9C724" w14:textId="77777777" w:rsidR="006F177D" w:rsidRDefault="006F177D" w:rsidP="0027558E">
            <w:pPr>
              <w:spacing w:afterLines="10" w:after="31" w:line="280" w:lineRule="exact"/>
              <w:rPr>
                <w:rFonts w:ascii="汉仪书宋一简" w:eastAsia="汉仪书宋一简" w:hint="eastAsia"/>
                <w:sz w:val="13"/>
                <w:szCs w:val="13"/>
              </w:rPr>
            </w:pPr>
          </w:p>
        </w:tc>
        <w:tc>
          <w:tcPr>
            <w:tcW w:w="1276" w:type="dxa"/>
            <w:vMerge w:val="restart"/>
            <w:tcBorders>
              <w:top w:val="single" w:sz="8" w:space="0" w:color="FF0000"/>
              <w:left w:val="single" w:sz="8" w:space="0" w:color="FF0000"/>
              <w:bottom w:val="single" w:sz="8" w:space="0" w:color="FF0000"/>
              <w:right w:val="single" w:sz="8" w:space="0" w:color="FF0000"/>
            </w:tcBorders>
            <w:vAlign w:val="center"/>
          </w:tcPr>
          <w:p w14:paraId="07B98A72"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消极条件（可以准许其不出庭）</w:t>
            </w:r>
          </w:p>
        </w:tc>
        <w:tc>
          <w:tcPr>
            <w:tcW w:w="3705" w:type="dxa"/>
            <w:tcBorders>
              <w:top w:val="single" w:sz="8" w:space="0" w:color="FF0000"/>
              <w:left w:val="single" w:sz="8" w:space="0" w:color="FF0000"/>
              <w:bottom w:val="single" w:sz="8" w:space="0" w:color="FF0000"/>
              <w:right w:val="single" w:sz="8" w:space="0" w:color="FF0000"/>
            </w:tcBorders>
            <w:vAlign w:val="center"/>
          </w:tcPr>
          <w:p w14:paraId="7400ED23"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庭审期间身患严重疾病或行动极为不便</w:t>
            </w:r>
          </w:p>
        </w:tc>
        <w:tc>
          <w:tcPr>
            <w:tcW w:w="2646" w:type="dxa"/>
            <w:vMerge w:val="restart"/>
            <w:tcBorders>
              <w:top w:val="single" w:sz="8" w:space="0" w:color="FF0000"/>
              <w:left w:val="single" w:sz="8" w:space="0" w:color="FF0000"/>
              <w:bottom w:val="single" w:sz="8" w:space="0" w:color="FF0000"/>
              <w:right w:val="single" w:sz="8" w:space="0" w:color="FF0000"/>
            </w:tcBorders>
            <w:vAlign w:val="center"/>
          </w:tcPr>
          <w:p w14:paraId="62963A9E"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可通过视频等方式作证</w:t>
            </w:r>
          </w:p>
        </w:tc>
      </w:tr>
      <w:tr w:rsidR="006F177D" w14:paraId="569C7BB1" w14:textId="77777777" w:rsidTr="0027558E">
        <w:trPr>
          <w:jc w:val="center"/>
        </w:trPr>
        <w:tc>
          <w:tcPr>
            <w:tcW w:w="1025" w:type="dxa"/>
            <w:vMerge/>
            <w:tcBorders>
              <w:top w:val="single" w:sz="8" w:space="0" w:color="FF0000"/>
              <w:left w:val="single" w:sz="8" w:space="0" w:color="FF0000"/>
              <w:bottom w:val="single" w:sz="8" w:space="0" w:color="FF0000"/>
              <w:right w:val="single" w:sz="8" w:space="0" w:color="FF0000"/>
            </w:tcBorders>
            <w:vAlign w:val="center"/>
          </w:tcPr>
          <w:p w14:paraId="7E915822" w14:textId="77777777" w:rsidR="006F177D" w:rsidRDefault="006F177D" w:rsidP="0027558E">
            <w:pPr>
              <w:spacing w:afterLines="10" w:after="31" w:line="280" w:lineRule="exact"/>
              <w:rPr>
                <w:rFonts w:ascii="汉仪书宋一简" w:eastAsia="汉仪书宋一简" w:hint="eastAsia"/>
                <w:sz w:val="13"/>
                <w:szCs w:val="13"/>
              </w:rPr>
            </w:pPr>
          </w:p>
        </w:tc>
        <w:tc>
          <w:tcPr>
            <w:tcW w:w="1276" w:type="dxa"/>
            <w:vMerge/>
            <w:tcBorders>
              <w:top w:val="single" w:sz="8" w:space="0" w:color="FF0000"/>
              <w:left w:val="single" w:sz="8" w:space="0" w:color="FF0000"/>
              <w:bottom w:val="single" w:sz="8" w:space="0" w:color="FF0000"/>
              <w:right w:val="single" w:sz="8" w:space="0" w:color="FF0000"/>
            </w:tcBorders>
            <w:vAlign w:val="center"/>
          </w:tcPr>
          <w:p w14:paraId="28EF0BE9" w14:textId="77777777" w:rsidR="006F177D" w:rsidRDefault="006F177D" w:rsidP="0027558E">
            <w:pPr>
              <w:spacing w:afterLines="10" w:after="31" w:line="280" w:lineRule="exact"/>
              <w:rPr>
                <w:rFonts w:ascii="汉仪书宋一简" w:eastAsia="汉仪书宋一简" w:hint="eastAsia"/>
                <w:sz w:val="13"/>
                <w:szCs w:val="13"/>
              </w:rPr>
            </w:pPr>
          </w:p>
        </w:tc>
        <w:tc>
          <w:tcPr>
            <w:tcW w:w="3705" w:type="dxa"/>
            <w:tcBorders>
              <w:top w:val="single" w:sz="8" w:space="0" w:color="FF0000"/>
              <w:left w:val="single" w:sz="8" w:space="0" w:color="FF0000"/>
              <w:bottom w:val="single" w:sz="8" w:space="0" w:color="FF0000"/>
              <w:right w:val="single" w:sz="8" w:space="0" w:color="FF0000"/>
            </w:tcBorders>
            <w:vAlign w:val="center"/>
          </w:tcPr>
          <w:p w14:paraId="75A8B159"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居所远离开庭地点且交通极为不便的</w:t>
            </w:r>
          </w:p>
        </w:tc>
        <w:tc>
          <w:tcPr>
            <w:tcW w:w="2646" w:type="dxa"/>
            <w:vMerge/>
            <w:tcBorders>
              <w:top w:val="single" w:sz="8" w:space="0" w:color="FF0000"/>
              <w:left w:val="single" w:sz="8" w:space="0" w:color="FF0000"/>
              <w:bottom w:val="single" w:sz="8" w:space="0" w:color="FF0000"/>
              <w:right w:val="single" w:sz="8" w:space="0" w:color="FF0000"/>
            </w:tcBorders>
            <w:vAlign w:val="center"/>
          </w:tcPr>
          <w:p w14:paraId="63A89D04" w14:textId="77777777" w:rsidR="006F177D" w:rsidRDefault="006F177D" w:rsidP="0027558E">
            <w:pPr>
              <w:spacing w:afterLines="10" w:after="31" w:line="280" w:lineRule="exact"/>
              <w:rPr>
                <w:rFonts w:ascii="汉仪书宋一简" w:eastAsia="汉仪书宋一简" w:hint="eastAsia"/>
                <w:sz w:val="13"/>
                <w:szCs w:val="13"/>
              </w:rPr>
            </w:pPr>
          </w:p>
        </w:tc>
      </w:tr>
      <w:tr w:rsidR="006F177D" w14:paraId="3A4A0330" w14:textId="77777777" w:rsidTr="0027558E">
        <w:trPr>
          <w:jc w:val="center"/>
        </w:trPr>
        <w:tc>
          <w:tcPr>
            <w:tcW w:w="1025" w:type="dxa"/>
            <w:vMerge/>
            <w:tcBorders>
              <w:top w:val="single" w:sz="8" w:space="0" w:color="FF0000"/>
              <w:left w:val="single" w:sz="8" w:space="0" w:color="FF0000"/>
              <w:bottom w:val="single" w:sz="8" w:space="0" w:color="FF0000"/>
              <w:right w:val="single" w:sz="8" w:space="0" w:color="FF0000"/>
            </w:tcBorders>
            <w:vAlign w:val="center"/>
          </w:tcPr>
          <w:p w14:paraId="4C421BF4" w14:textId="77777777" w:rsidR="006F177D" w:rsidRDefault="006F177D" w:rsidP="0027558E">
            <w:pPr>
              <w:spacing w:afterLines="10" w:after="31" w:line="280" w:lineRule="exact"/>
              <w:rPr>
                <w:rFonts w:ascii="汉仪书宋一简" w:eastAsia="汉仪书宋一简" w:hint="eastAsia"/>
                <w:sz w:val="13"/>
                <w:szCs w:val="13"/>
              </w:rPr>
            </w:pPr>
          </w:p>
        </w:tc>
        <w:tc>
          <w:tcPr>
            <w:tcW w:w="1276" w:type="dxa"/>
            <w:vMerge/>
            <w:tcBorders>
              <w:top w:val="single" w:sz="8" w:space="0" w:color="FF0000"/>
              <w:left w:val="single" w:sz="8" w:space="0" w:color="FF0000"/>
              <w:bottom w:val="single" w:sz="8" w:space="0" w:color="FF0000"/>
              <w:right w:val="single" w:sz="8" w:space="0" w:color="FF0000"/>
            </w:tcBorders>
            <w:vAlign w:val="center"/>
          </w:tcPr>
          <w:p w14:paraId="1F3733A3" w14:textId="77777777" w:rsidR="006F177D" w:rsidRDefault="006F177D" w:rsidP="0027558E">
            <w:pPr>
              <w:spacing w:afterLines="10" w:after="31" w:line="280" w:lineRule="exact"/>
              <w:rPr>
                <w:rFonts w:ascii="汉仪书宋一简" w:eastAsia="汉仪书宋一简" w:hint="eastAsia"/>
                <w:sz w:val="13"/>
                <w:szCs w:val="13"/>
              </w:rPr>
            </w:pPr>
          </w:p>
        </w:tc>
        <w:tc>
          <w:tcPr>
            <w:tcW w:w="3705" w:type="dxa"/>
            <w:tcBorders>
              <w:top w:val="single" w:sz="8" w:space="0" w:color="FF0000"/>
              <w:left w:val="single" w:sz="8" w:space="0" w:color="FF0000"/>
              <w:bottom w:val="single" w:sz="8" w:space="0" w:color="FF0000"/>
              <w:right w:val="single" w:sz="8" w:space="0" w:color="FF0000"/>
            </w:tcBorders>
            <w:vAlign w:val="center"/>
          </w:tcPr>
          <w:p w14:paraId="23C4BF72"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身处国外短期无法回国的</w:t>
            </w:r>
          </w:p>
        </w:tc>
        <w:tc>
          <w:tcPr>
            <w:tcW w:w="2646" w:type="dxa"/>
            <w:vMerge/>
            <w:tcBorders>
              <w:top w:val="single" w:sz="8" w:space="0" w:color="FF0000"/>
              <w:left w:val="single" w:sz="8" w:space="0" w:color="FF0000"/>
              <w:bottom w:val="single" w:sz="8" w:space="0" w:color="FF0000"/>
              <w:right w:val="single" w:sz="8" w:space="0" w:color="FF0000"/>
            </w:tcBorders>
            <w:vAlign w:val="center"/>
          </w:tcPr>
          <w:p w14:paraId="4DF139FA" w14:textId="77777777" w:rsidR="006F177D" w:rsidRDefault="006F177D" w:rsidP="0027558E">
            <w:pPr>
              <w:spacing w:afterLines="10" w:after="31" w:line="280" w:lineRule="exact"/>
              <w:rPr>
                <w:rFonts w:ascii="汉仪书宋一简" w:eastAsia="汉仪书宋一简" w:hint="eastAsia"/>
                <w:sz w:val="13"/>
                <w:szCs w:val="13"/>
              </w:rPr>
            </w:pPr>
          </w:p>
        </w:tc>
      </w:tr>
      <w:tr w:rsidR="006F177D" w14:paraId="1CBAAEB4" w14:textId="77777777" w:rsidTr="0027558E">
        <w:trPr>
          <w:trHeight w:val="90"/>
          <w:jc w:val="center"/>
        </w:trPr>
        <w:tc>
          <w:tcPr>
            <w:tcW w:w="1025" w:type="dxa"/>
            <w:vMerge/>
            <w:tcBorders>
              <w:top w:val="single" w:sz="8" w:space="0" w:color="FF0000"/>
              <w:left w:val="single" w:sz="8" w:space="0" w:color="FF0000"/>
              <w:bottom w:val="single" w:sz="8" w:space="0" w:color="FF0000"/>
              <w:right w:val="single" w:sz="8" w:space="0" w:color="FF0000"/>
            </w:tcBorders>
            <w:vAlign w:val="center"/>
          </w:tcPr>
          <w:p w14:paraId="44691A56" w14:textId="77777777" w:rsidR="006F177D" w:rsidRDefault="006F177D" w:rsidP="0027558E">
            <w:pPr>
              <w:spacing w:afterLines="10" w:after="31" w:line="280" w:lineRule="exact"/>
              <w:rPr>
                <w:rFonts w:ascii="汉仪书宋一简" w:eastAsia="汉仪书宋一简" w:hint="eastAsia"/>
                <w:sz w:val="13"/>
                <w:szCs w:val="13"/>
              </w:rPr>
            </w:pPr>
          </w:p>
        </w:tc>
        <w:tc>
          <w:tcPr>
            <w:tcW w:w="1276" w:type="dxa"/>
            <w:vMerge/>
            <w:tcBorders>
              <w:top w:val="single" w:sz="8" w:space="0" w:color="FF0000"/>
              <w:left w:val="single" w:sz="8" w:space="0" w:color="FF0000"/>
              <w:bottom w:val="single" w:sz="8" w:space="0" w:color="FF0000"/>
              <w:right w:val="single" w:sz="8" w:space="0" w:color="FF0000"/>
            </w:tcBorders>
            <w:vAlign w:val="center"/>
          </w:tcPr>
          <w:p w14:paraId="0F241D2D" w14:textId="77777777" w:rsidR="006F177D" w:rsidRDefault="006F177D" w:rsidP="0027558E">
            <w:pPr>
              <w:spacing w:afterLines="10" w:after="31" w:line="280" w:lineRule="exact"/>
              <w:rPr>
                <w:rFonts w:ascii="汉仪书宋一简" w:eastAsia="汉仪书宋一简" w:hint="eastAsia"/>
                <w:sz w:val="13"/>
                <w:szCs w:val="13"/>
              </w:rPr>
            </w:pPr>
          </w:p>
        </w:tc>
        <w:tc>
          <w:tcPr>
            <w:tcW w:w="3705" w:type="dxa"/>
            <w:tcBorders>
              <w:top w:val="single" w:sz="8" w:space="0" w:color="FF0000"/>
              <w:left w:val="single" w:sz="8" w:space="0" w:color="FF0000"/>
              <w:bottom w:val="single" w:sz="8" w:space="0" w:color="FF0000"/>
              <w:right w:val="single" w:sz="8" w:space="0" w:color="FF0000"/>
            </w:tcBorders>
            <w:vAlign w:val="center"/>
          </w:tcPr>
          <w:p w14:paraId="77800935"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有其他客观原因，确实无法出庭的</w:t>
            </w:r>
          </w:p>
        </w:tc>
        <w:tc>
          <w:tcPr>
            <w:tcW w:w="2646" w:type="dxa"/>
            <w:vMerge/>
            <w:tcBorders>
              <w:top w:val="single" w:sz="8" w:space="0" w:color="FF0000"/>
              <w:left w:val="single" w:sz="8" w:space="0" w:color="FF0000"/>
              <w:bottom w:val="single" w:sz="8" w:space="0" w:color="FF0000"/>
              <w:right w:val="single" w:sz="8" w:space="0" w:color="FF0000"/>
            </w:tcBorders>
            <w:vAlign w:val="center"/>
          </w:tcPr>
          <w:p w14:paraId="05EE297F" w14:textId="77777777" w:rsidR="006F177D" w:rsidRDefault="006F177D" w:rsidP="0027558E">
            <w:pPr>
              <w:spacing w:afterLines="10" w:after="31" w:line="280" w:lineRule="exact"/>
              <w:rPr>
                <w:rFonts w:ascii="汉仪书宋一简" w:eastAsia="汉仪书宋一简" w:hint="eastAsia"/>
                <w:sz w:val="13"/>
                <w:szCs w:val="13"/>
              </w:rPr>
            </w:pPr>
          </w:p>
        </w:tc>
      </w:tr>
      <w:tr w:rsidR="006F177D" w14:paraId="36E514C4" w14:textId="77777777" w:rsidTr="0027558E">
        <w:trPr>
          <w:jc w:val="center"/>
        </w:trPr>
        <w:tc>
          <w:tcPr>
            <w:tcW w:w="1025" w:type="dxa"/>
            <w:vMerge w:val="restart"/>
            <w:tcBorders>
              <w:top w:val="single" w:sz="8" w:space="0" w:color="FF0000"/>
              <w:left w:val="single" w:sz="8" w:space="0" w:color="FF0000"/>
              <w:bottom w:val="single" w:sz="8" w:space="0" w:color="FF0000"/>
              <w:right w:val="single" w:sz="8" w:space="0" w:color="FF0000"/>
            </w:tcBorders>
            <w:vAlign w:val="center"/>
          </w:tcPr>
          <w:p w14:paraId="40CCE065"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鉴定人</w:t>
            </w:r>
          </w:p>
        </w:tc>
        <w:tc>
          <w:tcPr>
            <w:tcW w:w="1276" w:type="dxa"/>
            <w:vMerge w:val="restart"/>
            <w:tcBorders>
              <w:top w:val="single" w:sz="8" w:space="0" w:color="FF0000"/>
              <w:left w:val="single" w:sz="8" w:space="0" w:color="FF0000"/>
              <w:bottom w:val="single" w:sz="8" w:space="0" w:color="FF0000"/>
              <w:right w:val="single" w:sz="8" w:space="0" w:color="FF0000"/>
            </w:tcBorders>
            <w:vAlign w:val="center"/>
          </w:tcPr>
          <w:p w14:paraId="0EC95497"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积极条件</w:t>
            </w:r>
          </w:p>
        </w:tc>
        <w:tc>
          <w:tcPr>
            <w:tcW w:w="3705" w:type="dxa"/>
            <w:tcBorders>
              <w:top w:val="single" w:sz="8" w:space="0" w:color="FF0000"/>
              <w:left w:val="single" w:sz="8" w:space="0" w:color="FF0000"/>
              <w:bottom w:val="single" w:sz="8" w:space="0" w:color="FF0000"/>
              <w:right w:val="single" w:sz="8" w:space="0" w:color="FF0000"/>
            </w:tcBorders>
            <w:vAlign w:val="center"/>
          </w:tcPr>
          <w:p w14:paraId="5CBEECC9"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控辩双方对鉴定意见有异议</w:t>
            </w:r>
          </w:p>
        </w:tc>
        <w:tc>
          <w:tcPr>
            <w:tcW w:w="2646" w:type="dxa"/>
            <w:vMerge w:val="restart"/>
            <w:tcBorders>
              <w:top w:val="single" w:sz="8" w:space="0" w:color="FF0000"/>
              <w:left w:val="single" w:sz="8" w:space="0" w:color="FF0000"/>
              <w:bottom w:val="single" w:sz="8" w:space="0" w:color="FF0000"/>
              <w:right w:val="single" w:sz="8" w:space="0" w:color="FF0000"/>
            </w:tcBorders>
            <w:vAlign w:val="center"/>
          </w:tcPr>
          <w:p w14:paraId="238EC33F"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鉴定意见不得作为定案的根据</w:t>
            </w:r>
          </w:p>
        </w:tc>
      </w:tr>
      <w:tr w:rsidR="006F177D" w14:paraId="2D918F63" w14:textId="77777777" w:rsidTr="0027558E">
        <w:trPr>
          <w:jc w:val="center"/>
        </w:trPr>
        <w:tc>
          <w:tcPr>
            <w:tcW w:w="1025" w:type="dxa"/>
            <w:vMerge/>
            <w:tcBorders>
              <w:top w:val="single" w:sz="8" w:space="0" w:color="FF0000"/>
              <w:left w:val="single" w:sz="8" w:space="0" w:color="FF0000"/>
              <w:bottom w:val="single" w:sz="8" w:space="0" w:color="FF0000"/>
              <w:right w:val="single" w:sz="8" w:space="0" w:color="FF0000"/>
            </w:tcBorders>
            <w:vAlign w:val="center"/>
          </w:tcPr>
          <w:p w14:paraId="0D5A649E" w14:textId="77777777" w:rsidR="006F177D" w:rsidRDefault="006F177D" w:rsidP="0027558E">
            <w:pPr>
              <w:spacing w:afterLines="10" w:after="31" w:line="280" w:lineRule="exact"/>
              <w:rPr>
                <w:rFonts w:ascii="汉仪书宋一简" w:eastAsia="汉仪书宋一简" w:hint="eastAsia"/>
                <w:sz w:val="13"/>
                <w:szCs w:val="13"/>
              </w:rPr>
            </w:pPr>
          </w:p>
        </w:tc>
        <w:tc>
          <w:tcPr>
            <w:tcW w:w="1276" w:type="dxa"/>
            <w:vMerge/>
            <w:tcBorders>
              <w:top w:val="single" w:sz="8" w:space="0" w:color="FF0000"/>
              <w:left w:val="single" w:sz="8" w:space="0" w:color="FF0000"/>
              <w:bottom w:val="single" w:sz="8" w:space="0" w:color="FF0000"/>
              <w:right w:val="single" w:sz="8" w:space="0" w:color="FF0000"/>
            </w:tcBorders>
            <w:vAlign w:val="center"/>
          </w:tcPr>
          <w:p w14:paraId="5FD2CAD4" w14:textId="77777777" w:rsidR="006F177D" w:rsidRDefault="006F177D" w:rsidP="0027558E">
            <w:pPr>
              <w:spacing w:afterLines="10" w:after="31" w:line="280" w:lineRule="exact"/>
              <w:rPr>
                <w:rFonts w:ascii="汉仪书宋一简" w:eastAsia="汉仪书宋一简" w:hint="eastAsia"/>
                <w:sz w:val="13"/>
                <w:szCs w:val="13"/>
              </w:rPr>
            </w:pPr>
          </w:p>
        </w:tc>
        <w:tc>
          <w:tcPr>
            <w:tcW w:w="3705" w:type="dxa"/>
            <w:tcBorders>
              <w:top w:val="single" w:sz="8" w:space="0" w:color="FF0000"/>
              <w:left w:val="single" w:sz="8" w:space="0" w:color="FF0000"/>
              <w:bottom w:val="single" w:sz="8" w:space="0" w:color="FF0000"/>
              <w:right w:val="single" w:sz="8" w:space="0" w:color="FF0000"/>
            </w:tcBorders>
            <w:vAlign w:val="center"/>
          </w:tcPr>
          <w:p w14:paraId="34BC0128"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人民法院认为鉴定人有必要出庭</w:t>
            </w:r>
          </w:p>
        </w:tc>
        <w:tc>
          <w:tcPr>
            <w:tcW w:w="2646" w:type="dxa"/>
            <w:vMerge/>
            <w:tcBorders>
              <w:top w:val="single" w:sz="8" w:space="0" w:color="FF0000"/>
              <w:left w:val="single" w:sz="8" w:space="0" w:color="FF0000"/>
              <w:bottom w:val="single" w:sz="8" w:space="0" w:color="FF0000"/>
              <w:right w:val="single" w:sz="8" w:space="0" w:color="FF0000"/>
            </w:tcBorders>
            <w:vAlign w:val="center"/>
          </w:tcPr>
          <w:p w14:paraId="2B8522B7" w14:textId="77777777" w:rsidR="006F177D" w:rsidRDefault="006F177D" w:rsidP="0027558E">
            <w:pPr>
              <w:spacing w:afterLines="10" w:after="31" w:line="280" w:lineRule="exact"/>
              <w:rPr>
                <w:rFonts w:ascii="汉仪书宋一简" w:eastAsia="汉仪书宋一简" w:hint="eastAsia"/>
                <w:sz w:val="13"/>
                <w:szCs w:val="13"/>
              </w:rPr>
            </w:pPr>
          </w:p>
        </w:tc>
      </w:tr>
      <w:tr w:rsidR="006F177D" w14:paraId="5E6447CE" w14:textId="77777777" w:rsidTr="0027558E">
        <w:trPr>
          <w:trHeight w:val="60"/>
          <w:jc w:val="center"/>
        </w:trPr>
        <w:tc>
          <w:tcPr>
            <w:tcW w:w="1025" w:type="dxa"/>
            <w:vMerge w:val="restart"/>
            <w:tcBorders>
              <w:top w:val="single" w:sz="8" w:space="0" w:color="FF0000"/>
              <w:left w:val="single" w:sz="8" w:space="0" w:color="FF0000"/>
              <w:bottom w:val="single" w:sz="8" w:space="0" w:color="FF0000"/>
              <w:right w:val="single" w:sz="8" w:space="0" w:color="FF0000"/>
            </w:tcBorders>
            <w:vAlign w:val="center"/>
          </w:tcPr>
          <w:p w14:paraId="443698B0" w14:textId="77777777" w:rsidR="006F177D" w:rsidRDefault="006F177D" w:rsidP="0027558E">
            <w:pPr>
              <w:spacing w:afterLines="10" w:after="31" w:line="280" w:lineRule="exact"/>
              <w:rPr>
                <w:rFonts w:ascii="汉仪书宋一简" w:eastAsia="汉仪书宋一简" w:hint="eastAsia"/>
                <w:color w:val="C00000"/>
                <w:sz w:val="13"/>
                <w:szCs w:val="13"/>
              </w:rPr>
            </w:pPr>
            <w:r>
              <w:rPr>
                <w:rFonts w:ascii="汉仪书宋一简" w:eastAsia="汉仪书宋一简" w:hint="eastAsia"/>
                <w:color w:val="C00000"/>
                <w:sz w:val="13"/>
                <w:szCs w:val="13"/>
              </w:rPr>
              <w:t>有专门知识的人</w:t>
            </w:r>
          </w:p>
        </w:tc>
        <w:tc>
          <w:tcPr>
            <w:tcW w:w="1276" w:type="dxa"/>
            <w:vMerge w:val="restart"/>
            <w:tcBorders>
              <w:top w:val="single" w:sz="8" w:space="0" w:color="FF0000"/>
              <w:left w:val="single" w:sz="8" w:space="0" w:color="FF0000"/>
              <w:bottom w:val="single" w:sz="8" w:space="0" w:color="FF0000"/>
              <w:right w:val="single" w:sz="8" w:space="0" w:color="FF0000"/>
            </w:tcBorders>
            <w:vAlign w:val="center"/>
          </w:tcPr>
          <w:p w14:paraId="7D8C7BF7"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积极条件</w:t>
            </w:r>
          </w:p>
        </w:tc>
        <w:tc>
          <w:tcPr>
            <w:tcW w:w="3705" w:type="dxa"/>
            <w:tcBorders>
              <w:top w:val="single" w:sz="8" w:space="0" w:color="FF0000"/>
              <w:left w:val="single" w:sz="8" w:space="0" w:color="FF0000"/>
              <w:bottom w:val="single" w:sz="8" w:space="0" w:color="FF0000"/>
              <w:right w:val="single" w:sz="8" w:space="0" w:color="FF0000"/>
            </w:tcBorders>
            <w:vAlign w:val="center"/>
          </w:tcPr>
          <w:p w14:paraId="117C9F61"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需要</w:t>
            </w:r>
            <w:r>
              <w:rPr>
                <w:rFonts w:ascii="汉仪书宋一简" w:eastAsia="汉仪书宋一简" w:hint="eastAsia"/>
                <w:color w:val="C00000"/>
                <w:sz w:val="13"/>
                <w:szCs w:val="13"/>
              </w:rPr>
              <w:t>就鉴定意见提出意见的</w:t>
            </w:r>
            <w:r>
              <w:rPr>
                <w:rFonts w:ascii="汉仪书宋一简" w:eastAsia="汉仪书宋一简" w:hint="eastAsia"/>
                <w:sz w:val="13"/>
                <w:szCs w:val="13"/>
              </w:rPr>
              <w:t>，应当说明理由</w:t>
            </w:r>
          </w:p>
        </w:tc>
        <w:tc>
          <w:tcPr>
            <w:tcW w:w="2646" w:type="dxa"/>
            <w:vMerge w:val="restart"/>
            <w:tcBorders>
              <w:top w:val="single" w:sz="8" w:space="0" w:color="FF0000"/>
              <w:left w:val="single" w:sz="8" w:space="0" w:color="FF0000"/>
              <w:bottom w:val="single" w:sz="8" w:space="0" w:color="FF0000"/>
              <w:right w:val="single" w:sz="8" w:space="0" w:color="FF0000"/>
            </w:tcBorders>
            <w:vAlign w:val="center"/>
          </w:tcPr>
          <w:p w14:paraId="74FB0E66"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粗黑简" w:hint="eastAsia"/>
                <w:color w:val="C00000"/>
                <w:sz w:val="13"/>
                <w:szCs w:val="11"/>
              </w:rPr>
              <w:t>注意：</w:t>
            </w:r>
            <w:r>
              <w:rPr>
                <w:rFonts w:ascii="汉仪书宋一简" w:eastAsia="汉仪中黑简" w:hint="eastAsia"/>
                <w:color w:val="C00000"/>
                <w:sz w:val="13"/>
                <w:szCs w:val="13"/>
              </w:rPr>
              <w:t>有专门知识的人对鉴定意见发表的意见</w:t>
            </w:r>
            <w:r>
              <w:rPr>
                <w:rFonts w:ascii="汉仪书宋一简" w:eastAsia="汉仪中黑简" w:hint="eastAsia"/>
                <w:b/>
                <w:bCs/>
                <w:color w:val="C00000"/>
                <w:sz w:val="13"/>
                <w:szCs w:val="13"/>
              </w:rPr>
              <w:t>不属于单独的证据</w:t>
            </w:r>
            <w:r>
              <w:rPr>
                <w:rFonts w:ascii="汉仪书宋一简" w:eastAsia="汉仪中黑简" w:hint="eastAsia"/>
                <w:color w:val="C00000"/>
                <w:sz w:val="13"/>
                <w:szCs w:val="13"/>
              </w:rPr>
              <w:t>，是帮助法官审查判断鉴定意见的</w:t>
            </w:r>
            <w:r>
              <w:rPr>
                <w:rFonts w:ascii="汉仪书宋一简" w:eastAsia="汉仪中黑简" w:hint="eastAsia"/>
                <w:b/>
                <w:bCs/>
                <w:color w:val="C00000"/>
                <w:sz w:val="13"/>
                <w:szCs w:val="13"/>
              </w:rPr>
              <w:t>参考</w:t>
            </w:r>
            <w:r>
              <w:rPr>
                <w:rFonts w:ascii="汉仪书宋一简" w:eastAsia="汉仪中黑简" w:hint="eastAsia"/>
                <w:color w:val="C00000"/>
                <w:sz w:val="13"/>
                <w:szCs w:val="13"/>
              </w:rPr>
              <w:t>，根据申请者归属于控诉意见或者辩护意见</w:t>
            </w:r>
          </w:p>
        </w:tc>
      </w:tr>
      <w:tr w:rsidR="006F177D" w14:paraId="7F527E20" w14:textId="77777777" w:rsidTr="0027558E">
        <w:trPr>
          <w:trHeight w:val="60"/>
          <w:jc w:val="center"/>
        </w:trPr>
        <w:tc>
          <w:tcPr>
            <w:tcW w:w="1025" w:type="dxa"/>
            <w:vMerge/>
            <w:tcBorders>
              <w:top w:val="single" w:sz="8" w:space="0" w:color="FF0000"/>
              <w:left w:val="single" w:sz="8" w:space="0" w:color="FF0000"/>
              <w:bottom w:val="single" w:sz="8" w:space="0" w:color="FF0000"/>
              <w:right w:val="single" w:sz="8" w:space="0" w:color="FF0000"/>
            </w:tcBorders>
            <w:vAlign w:val="center"/>
          </w:tcPr>
          <w:p w14:paraId="48238147" w14:textId="77777777" w:rsidR="006F177D" w:rsidRDefault="006F177D" w:rsidP="0027558E">
            <w:pPr>
              <w:spacing w:afterLines="10" w:after="31" w:line="280" w:lineRule="exact"/>
              <w:rPr>
                <w:rFonts w:ascii="汉仪书宋一简" w:eastAsia="汉仪书宋一简" w:hint="eastAsia"/>
                <w:sz w:val="13"/>
                <w:szCs w:val="13"/>
              </w:rPr>
            </w:pPr>
          </w:p>
        </w:tc>
        <w:tc>
          <w:tcPr>
            <w:tcW w:w="1276" w:type="dxa"/>
            <w:vMerge/>
            <w:tcBorders>
              <w:top w:val="single" w:sz="8" w:space="0" w:color="FF0000"/>
              <w:left w:val="single" w:sz="8" w:space="0" w:color="FF0000"/>
              <w:bottom w:val="single" w:sz="8" w:space="0" w:color="FF0000"/>
              <w:right w:val="single" w:sz="8" w:space="0" w:color="FF0000"/>
            </w:tcBorders>
            <w:vAlign w:val="center"/>
          </w:tcPr>
          <w:p w14:paraId="152359A9" w14:textId="77777777" w:rsidR="006F177D" w:rsidRDefault="006F177D" w:rsidP="0027558E">
            <w:pPr>
              <w:spacing w:afterLines="10" w:after="31" w:line="280" w:lineRule="exact"/>
              <w:rPr>
                <w:rFonts w:ascii="汉仪书宋一简" w:eastAsia="汉仪书宋一简" w:hint="eastAsia"/>
                <w:sz w:val="13"/>
                <w:szCs w:val="13"/>
              </w:rPr>
            </w:pPr>
          </w:p>
        </w:tc>
        <w:tc>
          <w:tcPr>
            <w:tcW w:w="3705" w:type="dxa"/>
            <w:tcBorders>
              <w:top w:val="single" w:sz="8" w:space="0" w:color="FF0000"/>
              <w:left w:val="single" w:sz="8" w:space="0" w:color="FF0000"/>
              <w:bottom w:val="single" w:sz="8" w:space="0" w:color="FF0000"/>
              <w:right w:val="single" w:sz="8" w:space="0" w:color="FF0000"/>
            </w:tcBorders>
            <w:vAlign w:val="center"/>
          </w:tcPr>
          <w:p w14:paraId="08336C35"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人民法院认为有必要的</w:t>
            </w:r>
          </w:p>
        </w:tc>
        <w:tc>
          <w:tcPr>
            <w:tcW w:w="2646" w:type="dxa"/>
            <w:vMerge/>
            <w:tcBorders>
              <w:top w:val="single" w:sz="8" w:space="0" w:color="FF0000"/>
              <w:left w:val="single" w:sz="8" w:space="0" w:color="FF0000"/>
              <w:bottom w:val="single" w:sz="8" w:space="0" w:color="FF0000"/>
              <w:right w:val="single" w:sz="8" w:space="0" w:color="FF0000"/>
            </w:tcBorders>
            <w:vAlign w:val="center"/>
          </w:tcPr>
          <w:p w14:paraId="37CAEF7E" w14:textId="77777777" w:rsidR="006F177D" w:rsidRDefault="006F177D" w:rsidP="0027558E">
            <w:pPr>
              <w:spacing w:afterLines="10" w:after="31" w:line="280" w:lineRule="exact"/>
              <w:rPr>
                <w:rFonts w:ascii="汉仪书宋一简" w:eastAsia="汉仪书宋一简" w:hint="eastAsia"/>
                <w:sz w:val="13"/>
                <w:szCs w:val="13"/>
              </w:rPr>
            </w:pPr>
          </w:p>
        </w:tc>
      </w:tr>
      <w:tr w:rsidR="006F177D" w14:paraId="064CE61F" w14:textId="77777777" w:rsidTr="0027558E">
        <w:trPr>
          <w:trHeight w:val="60"/>
          <w:jc w:val="center"/>
        </w:trPr>
        <w:tc>
          <w:tcPr>
            <w:tcW w:w="1025" w:type="dxa"/>
            <w:vMerge/>
            <w:tcBorders>
              <w:top w:val="single" w:sz="8" w:space="0" w:color="FF0000"/>
              <w:left w:val="single" w:sz="8" w:space="0" w:color="FF0000"/>
              <w:bottom w:val="single" w:sz="8" w:space="0" w:color="FF0000"/>
              <w:right w:val="single" w:sz="8" w:space="0" w:color="FF0000"/>
            </w:tcBorders>
            <w:vAlign w:val="center"/>
          </w:tcPr>
          <w:p w14:paraId="1ABD8B29" w14:textId="77777777" w:rsidR="006F177D" w:rsidRDefault="006F177D" w:rsidP="0027558E">
            <w:pPr>
              <w:spacing w:afterLines="10" w:after="31" w:line="280" w:lineRule="exact"/>
              <w:rPr>
                <w:rFonts w:ascii="汉仪书宋一简" w:eastAsia="汉仪书宋一简" w:hint="eastAsia"/>
                <w:sz w:val="13"/>
                <w:szCs w:val="13"/>
              </w:rPr>
            </w:pPr>
          </w:p>
        </w:tc>
        <w:tc>
          <w:tcPr>
            <w:tcW w:w="1276" w:type="dxa"/>
            <w:vMerge/>
            <w:tcBorders>
              <w:top w:val="single" w:sz="8" w:space="0" w:color="FF0000"/>
              <w:left w:val="single" w:sz="8" w:space="0" w:color="FF0000"/>
              <w:bottom w:val="single" w:sz="8" w:space="0" w:color="FF0000"/>
              <w:right w:val="single" w:sz="8" w:space="0" w:color="FF0000"/>
            </w:tcBorders>
            <w:vAlign w:val="center"/>
          </w:tcPr>
          <w:p w14:paraId="74906F58" w14:textId="77777777" w:rsidR="006F177D" w:rsidRDefault="006F177D" w:rsidP="0027558E">
            <w:pPr>
              <w:spacing w:afterLines="10" w:after="31" w:line="280" w:lineRule="exact"/>
              <w:rPr>
                <w:rFonts w:ascii="汉仪书宋一简" w:eastAsia="汉仪书宋一简" w:hint="eastAsia"/>
                <w:sz w:val="13"/>
                <w:szCs w:val="13"/>
              </w:rPr>
            </w:pPr>
          </w:p>
        </w:tc>
        <w:tc>
          <w:tcPr>
            <w:tcW w:w="3705" w:type="dxa"/>
            <w:tcBorders>
              <w:top w:val="single" w:sz="8" w:space="0" w:color="FF0000"/>
              <w:left w:val="single" w:sz="8" w:space="0" w:color="FF0000"/>
              <w:bottom w:val="single" w:sz="8" w:space="0" w:color="FF0000"/>
              <w:right w:val="single" w:sz="8" w:space="0" w:color="FF0000"/>
            </w:tcBorders>
            <w:vAlign w:val="center"/>
          </w:tcPr>
          <w:p w14:paraId="640C7FCC"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申请有专门知识的人出庭，</w:t>
            </w:r>
            <w:r>
              <w:rPr>
                <w:rFonts w:ascii="汉仪书宋一简" w:eastAsia="汉仪书宋一简" w:hint="eastAsia"/>
                <w:color w:val="C00000"/>
                <w:sz w:val="13"/>
                <w:szCs w:val="13"/>
              </w:rPr>
              <w:t>不得超过二人</w:t>
            </w:r>
          </w:p>
          <w:p w14:paraId="4E8FA6A0" w14:textId="77777777" w:rsidR="006F177D" w:rsidRDefault="006F177D" w:rsidP="0027558E">
            <w:pPr>
              <w:spacing w:afterLines="10" w:after="31" w:line="280" w:lineRule="exact"/>
              <w:rPr>
                <w:rFonts w:ascii="汉仪书宋一简" w:eastAsia="汉仪书宋一简" w:hint="eastAsia"/>
                <w:sz w:val="13"/>
                <w:szCs w:val="13"/>
              </w:rPr>
            </w:pPr>
            <w:r>
              <w:rPr>
                <w:rFonts w:ascii="汉仪书宋一简" w:eastAsia="汉仪书宋一简" w:hint="eastAsia"/>
                <w:sz w:val="13"/>
                <w:szCs w:val="13"/>
              </w:rPr>
              <w:t>有</w:t>
            </w:r>
            <w:r>
              <w:rPr>
                <w:rFonts w:ascii="汉仪书宋一简" w:eastAsia="汉仪书宋一简" w:hint="eastAsia"/>
                <w:color w:val="C00000"/>
                <w:sz w:val="13"/>
                <w:szCs w:val="13"/>
              </w:rPr>
              <w:t>多种类</w:t>
            </w:r>
            <w:r>
              <w:rPr>
                <w:rFonts w:ascii="汉仪书宋一简" w:eastAsia="汉仪书宋一简" w:hint="eastAsia"/>
                <w:sz w:val="13"/>
                <w:szCs w:val="13"/>
              </w:rPr>
              <w:t>鉴定意见的，</w:t>
            </w:r>
            <w:r>
              <w:rPr>
                <w:rFonts w:ascii="汉仪书宋一简" w:eastAsia="汉仪书宋一简" w:hint="eastAsia"/>
                <w:color w:val="C00000"/>
                <w:sz w:val="13"/>
                <w:szCs w:val="13"/>
              </w:rPr>
              <w:t>可以相应增加人数</w:t>
            </w:r>
          </w:p>
        </w:tc>
        <w:tc>
          <w:tcPr>
            <w:tcW w:w="2646" w:type="dxa"/>
            <w:vMerge/>
            <w:tcBorders>
              <w:top w:val="single" w:sz="8" w:space="0" w:color="FF0000"/>
              <w:left w:val="single" w:sz="8" w:space="0" w:color="FF0000"/>
              <w:bottom w:val="single" w:sz="8" w:space="0" w:color="FF0000"/>
              <w:right w:val="single" w:sz="8" w:space="0" w:color="FF0000"/>
            </w:tcBorders>
            <w:vAlign w:val="center"/>
          </w:tcPr>
          <w:p w14:paraId="77F82914" w14:textId="77777777" w:rsidR="006F177D" w:rsidRDefault="006F177D" w:rsidP="0027558E">
            <w:pPr>
              <w:spacing w:afterLines="10" w:after="31" w:line="280" w:lineRule="exact"/>
              <w:rPr>
                <w:rFonts w:ascii="汉仪书宋一简" w:eastAsia="汉仪书宋一简" w:hint="eastAsia"/>
                <w:sz w:val="13"/>
                <w:szCs w:val="13"/>
              </w:rPr>
            </w:pPr>
          </w:p>
        </w:tc>
      </w:tr>
    </w:tbl>
    <w:p w14:paraId="4F24DE7F" w14:textId="77777777" w:rsidR="006F177D" w:rsidRDefault="006F177D" w:rsidP="006F177D">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（二）强制证人出庭制度：熟记刑事诉讼法</w:t>
      </w:r>
      <w:r>
        <w:rPr>
          <w:rFonts w:ascii="宋体" w:eastAsia="宋体" w:hAnsi="宋体" w:cs="宋体" w:hint="eastAsia"/>
          <w:color w:val="000000" w:themeColor="text1"/>
          <w:sz w:val="18"/>
          <w:szCs w:val="18"/>
          <w:u w:val="single"/>
        </w:rPr>
        <w:t>第一百九十三条</w:t>
      </w:r>
      <w:r>
        <w:rPr>
          <w:rFonts w:ascii="宋体" w:eastAsia="宋体" w:hAnsi="宋体" w:cs="宋体" w:hint="eastAsia"/>
          <w:color w:val="000000" w:themeColor="text1"/>
          <w:sz w:val="18"/>
          <w:szCs w:val="18"/>
        </w:rPr>
        <w:t>即可（</w:t>
      </w:r>
      <w:r>
        <w:rPr>
          <w:rFonts w:ascii="宋体" w:eastAsia="宋体" w:hAnsi="宋体" w:cs="宋体" w:hint="eastAsia"/>
          <w:b/>
          <w:bCs/>
          <w:color w:val="C00000"/>
          <w:sz w:val="18"/>
          <w:szCs w:val="18"/>
        </w:rPr>
        <w:t>与违反法庭秩序的异同 对比记忆</w:t>
      </w:r>
      <w:r>
        <w:rPr>
          <w:rFonts w:ascii="宋体" w:eastAsia="宋体" w:hAnsi="宋体" w:cs="宋体" w:hint="eastAsia"/>
          <w:color w:val="000000" w:themeColor="text1"/>
          <w:sz w:val="18"/>
          <w:szCs w:val="18"/>
        </w:rPr>
        <w:t>）</w:t>
      </w:r>
    </w:p>
    <w:p w14:paraId="5478808F" w14:textId="77777777" w:rsidR="006F177D" w:rsidRDefault="006F177D" w:rsidP="006F177D">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三、法庭调查的基本流程</w:t>
      </w:r>
    </w:p>
    <w:p w14:paraId="2DE8C04C" w14:textId="77777777" w:rsidR="006F177D" w:rsidRDefault="006F177D" w:rsidP="006F177D">
      <w:pPr>
        <w:ind w:firstLine="420"/>
        <w:rPr>
          <w:rFonts w:ascii="宋体" w:eastAsia="宋体" w:hAnsi="宋体" w:cs="宋体" w:hint="eastAsia"/>
          <w:color w:val="000000" w:themeColor="text1"/>
          <w:sz w:val="18"/>
          <w:szCs w:val="18"/>
        </w:rPr>
      </w:pPr>
      <w:r>
        <w:rPr>
          <w:rFonts w:ascii="宋体" w:eastAsia="宋体" w:hAnsi="宋体" w:cs="宋体"/>
          <w:color w:val="000000" w:themeColor="text1"/>
          <w:sz w:val="18"/>
          <w:szCs w:val="18"/>
        </w:rPr>
        <w:t>宣读起诉书及向当事人发问</w:t>
      </w:r>
      <w:r>
        <w:rPr>
          <w:rFonts w:ascii="宋体" w:eastAsia="宋体" w:hAnsi="宋体" w:cs="宋体" w:hint="eastAsia"/>
          <w:color w:val="000000" w:themeColor="text1"/>
          <w:sz w:val="18"/>
          <w:szCs w:val="18"/>
        </w:rPr>
        <w:t>：讯问同案审理的被告人，</w:t>
      </w:r>
      <w:r>
        <w:rPr>
          <w:rFonts w:ascii="宋体" w:eastAsia="宋体" w:hAnsi="宋体" w:cs="宋体" w:hint="eastAsia"/>
          <w:color w:val="C00000"/>
          <w:sz w:val="18"/>
          <w:szCs w:val="18"/>
        </w:rPr>
        <w:t>应分别进行</w:t>
      </w:r>
      <w:r>
        <w:rPr>
          <w:rFonts w:ascii="宋体" w:eastAsia="宋体" w:hAnsi="宋体" w:cs="宋体" w:hint="eastAsia"/>
          <w:color w:val="000000" w:themeColor="text1"/>
          <w:sz w:val="18"/>
          <w:szCs w:val="18"/>
        </w:rPr>
        <w:t>。</w:t>
      </w:r>
      <w:r>
        <w:rPr>
          <w:rFonts w:ascii="宋体" w:eastAsia="宋体" w:hAnsi="宋体" w:cs="宋体" w:hint="eastAsia"/>
          <w:color w:val="C00000"/>
          <w:sz w:val="18"/>
          <w:szCs w:val="18"/>
        </w:rPr>
        <w:t>法庭认为有必要的，可以传唤同案被告人、分案审理的共同犯罪或者关联犯罪案件的被告人等</w:t>
      </w:r>
      <w:r>
        <w:rPr>
          <w:rFonts w:ascii="宋体" w:eastAsia="宋体" w:hAnsi="宋体" w:cs="宋体" w:hint="eastAsia"/>
          <w:b/>
          <w:bCs/>
          <w:color w:val="C00000"/>
          <w:sz w:val="18"/>
          <w:szCs w:val="18"/>
        </w:rPr>
        <w:t>到庭对质</w:t>
      </w:r>
      <w:r>
        <w:rPr>
          <w:rFonts w:ascii="宋体" w:eastAsia="宋体" w:hAnsi="宋体" w:cs="宋体" w:hint="eastAsia"/>
          <w:color w:val="C00000"/>
          <w:sz w:val="18"/>
          <w:szCs w:val="18"/>
        </w:rPr>
        <w:t>。</w:t>
      </w:r>
      <w:r>
        <w:rPr>
          <w:rFonts w:ascii="宋体" w:eastAsia="宋体" w:hAnsi="宋体" w:cs="宋体" w:hint="eastAsia"/>
          <w:b/>
          <w:bCs/>
          <w:color w:val="C00000"/>
          <w:sz w:val="18"/>
          <w:szCs w:val="18"/>
        </w:rPr>
        <w:t>注意：对可能影响定罪量刑的关键证据和控辩双方存在争议的证据，一般应当单独举证、质证，充分听取质证意见。</w:t>
      </w:r>
      <w:r>
        <w:rPr>
          <w:rFonts w:ascii="宋体" w:eastAsia="宋体" w:hAnsi="宋体" w:cs="宋体" w:hint="eastAsia"/>
          <w:color w:val="000000" w:themeColor="text1"/>
          <w:sz w:val="18"/>
          <w:szCs w:val="18"/>
        </w:rPr>
        <w:t>对控辩双方无异议的非关键证据，</w:t>
      </w:r>
      <w:r>
        <w:rPr>
          <w:rFonts w:ascii="宋体" w:eastAsia="宋体" w:hAnsi="宋体" w:cs="宋体" w:hint="eastAsia"/>
          <w:color w:val="C00000"/>
          <w:sz w:val="18"/>
          <w:szCs w:val="18"/>
        </w:rPr>
        <w:t>举证方可以仅就证据的名称及拟证明的事实作出说明</w:t>
      </w:r>
      <w:r>
        <w:rPr>
          <w:rFonts w:ascii="宋体" w:eastAsia="宋体" w:hAnsi="宋体" w:cs="宋体" w:hint="eastAsia"/>
          <w:color w:val="000000" w:themeColor="text1"/>
          <w:sz w:val="18"/>
          <w:szCs w:val="18"/>
        </w:rPr>
        <w:t>。</w:t>
      </w:r>
    </w:p>
    <w:p w14:paraId="5525EEFC" w14:textId="77777777" w:rsidR="006F177D" w:rsidRDefault="006F177D" w:rsidP="006F177D">
      <w:pPr>
        <w:ind w:firstLine="420"/>
        <w:rPr>
          <w:rFonts w:ascii="宋体" w:eastAsia="宋体" w:hAnsi="宋体" w:cs="宋体" w:hint="eastAsia"/>
          <w:color w:val="C00000"/>
          <w:sz w:val="18"/>
          <w:szCs w:val="18"/>
        </w:rPr>
      </w:pPr>
      <w:r>
        <w:rPr>
          <w:rFonts w:ascii="宋体" w:eastAsia="宋体" w:hAnsi="宋体" w:cs="宋体" w:hint="eastAsia"/>
          <w:color w:val="000000" w:themeColor="text1"/>
          <w:sz w:val="18"/>
          <w:szCs w:val="18"/>
        </w:rPr>
        <w:t>向出庭的证人、鉴定人、有专门知识的人发问（交叉发问）：</w:t>
      </w:r>
      <w:r>
        <w:rPr>
          <w:rFonts w:ascii="宋体" w:eastAsia="宋体" w:hAnsi="宋体" w:cs="宋体" w:hint="eastAsia"/>
          <w:color w:val="C00000"/>
          <w:sz w:val="18"/>
          <w:szCs w:val="18"/>
        </w:rPr>
        <w:t>证人出庭后，一般先向法庭陈述证言</w:t>
      </w:r>
      <w:r>
        <w:rPr>
          <w:rFonts w:ascii="宋体" w:eastAsia="宋体" w:hAnsi="宋体" w:cs="宋体" w:hint="eastAsia"/>
          <w:color w:val="000000" w:themeColor="text1"/>
          <w:sz w:val="18"/>
          <w:szCs w:val="18"/>
        </w:rPr>
        <w:t>；其后，经审判长许可，</w:t>
      </w:r>
      <w:r>
        <w:rPr>
          <w:rFonts w:ascii="宋体" w:eastAsia="宋体" w:hAnsi="宋体" w:cs="宋体" w:hint="eastAsia"/>
          <w:color w:val="C00000"/>
          <w:sz w:val="18"/>
          <w:szCs w:val="18"/>
        </w:rPr>
        <w:t>由申请通知证人出庭的一方发问</w:t>
      </w:r>
      <w:r>
        <w:rPr>
          <w:rFonts w:ascii="宋体" w:eastAsia="宋体" w:hAnsi="宋体" w:cs="宋体" w:hint="eastAsia"/>
          <w:color w:val="000000" w:themeColor="text1"/>
          <w:sz w:val="18"/>
          <w:szCs w:val="18"/>
        </w:rPr>
        <w:t>，发问完毕后，对方也可以发问。</w:t>
      </w:r>
      <w:r>
        <w:rPr>
          <w:rFonts w:ascii="宋体" w:eastAsia="宋体" w:hAnsi="宋体" w:cs="宋体" w:hint="eastAsia"/>
          <w:color w:val="C00000"/>
          <w:sz w:val="18"/>
          <w:szCs w:val="18"/>
        </w:rPr>
        <w:t>法庭依职权通知证人出庭的，发问顺序</w:t>
      </w:r>
      <w:r>
        <w:rPr>
          <w:rFonts w:ascii="宋体" w:eastAsia="宋体" w:hAnsi="宋体" w:cs="宋体" w:hint="eastAsia"/>
          <w:b/>
          <w:bCs/>
          <w:color w:val="C00000"/>
          <w:sz w:val="18"/>
          <w:szCs w:val="18"/>
        </w:rPr>
        <w:t>由审判长根据案件情况确定</w:t>
      </w:r>
      <w:r>
        <w:rPr>
          <w:rFonts w:ascii="宋体" w:eastAsia="宋体" w:hAnsi="宋体" w:cs="宋体" w:hint="eastAsia"/>
          <w:color w:val="C00000"/>
          <w:sz w:val="18"/>
          <w:szCs w:val="18"/>
        </w:rPr>
        <w:t>。</w:t>
      </w:r>
    </w:p>
    <w:p w14:paraId="2B4E2F69" w14:textId="77777777" w:rsidR="006F177D" w:rsidRDefault="006F177D" w:rsidP="006F177D">
      <w:pPr>
        <w:ind w:firstLine="420"/>
        <w:rPr>
          <w:rFonts w:ascii="宋体" w:eastAsia="宋体" w:hAnsi="宋体" w:cs="宋体" w:hint="eastAsia"/>
          <w:color w:val="C00000"/>
          <w:sz w:val="18"/>
          <w:szCs w:val="18"/>
        </w:rPr>
      </w:pPr>
      <w:r>
        <w:rPr>
          <w:rFonts w:ascii="宋体" w:eastAsia="宋体" w:hAnsi="宋体" w:cs="宋体" w:hint="eastAsia"/>
          <w:color w:val="C00000"/>
          <w:sz w:val="18"/>
          <w:szCs w:val="18"/>
        </w:rPr>
        <w:t>讯问、发问方式不当或内容与本案无关，对方可提出异议，申请审判长制止，审判长应判明情况予以支持或者驳回；审判长也可依职权予以制止。</w:t>
      </w:r>
    </w:p>
    <w:p w14:paraId="717D9E44" w14:textId="77777777" w:rsidR="006F177D" w:rsidRDefault="006F177D" w:rsidP="006F177D">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lastRenderedPageBreak/>
        <w:t>庭外调查：法庭对证据有疑问的，</w:t>
      </w:r>
      <w:r>
        <w:rPr>
          <w:rFonts w:ascii="宋体" w:eastAsia="宋体" w:hAnsi="宋体" w:cs="宋体" w:hint="eastAsia"/>
          <w:color w:val="C00000"/>
          <w:sz w:val="18"/>
          <w:szCs w:val="18"/>
        </w:rPr>
        <w:t>必要时</w:t>
      </w:r>
      <w:r>
        <w:rPr>
          <w:rFonts w:ascii="宋体" w:eastAsia="宋体" w:hAnsi="宋体" w:cs="宋体" w:hint="eastAsia"/>
          <w:color w:val="000000" w:themeColor="text1"/>
          <w:sz w:val="18"/>
          <w:szCs w:val="18"/>
        </w:rPr>
        <w:t>，可以</w:t>
      </w:r>
      <w:r>
        <w:rPr>
          <w:rFonts w:ascii="宋体" w:eastAsia="宋体" w:hAnsi="宋体" w:cs="宋体" w:hint="eastAsia"/>
          <w:color w:val="C00000"/>
          <w:sz w:val="18"/>
          <w:szCs w:val="18"/>
        </w:rPr>
        <w:t>宣布休庭</w:t>
      </w:r>
      <w:r>
        <w:rPr>
          <w:rFonts w:ascii="宋体" w:eastAsia="宋体" w:hAnsi="宋体" w:cs="宋体" w:hint="eastAsia"/>
          <w:color w:val="000000" w:themeColor="text1"/>
          <w:sz w:val="18"/>
          <w:szCs w:val="18"/>
        </w:rPr>
        <w:t>，对证据进行调查核实。</w:t>
      </w:r>
      <w:r>
        <w:rPr>
          <w:rFonts w:ascii="宋体" w:eastAsia="宋体" w:hAnsi="宋体" w:cs="宋体" w:hint="eastAsia"/>
          <w:color w:val="C00000"/>
          <w:sz w:val="18"/>
          <w:szCs w:val="18"/>
        </w:rPr>
        <w:t>对公诉人、当事人及其法定代理人、辩护人、诉讼代理人补充的和审判人员庭外调查核实取得的证据，</w:t>
      </w:r>
      <w:r>
        <w:rPr>
          <w:rFonts w:ascii="宋体" w:eastAsia="宋体" w:hAnsi="宋体" w:cs="宋体" w:hint="eastAsia"/>
          <w:b/>
          <w:bCs/>
          <w:color w:val="C00000"/>
          <w:sz w:val="18"/>
          <w:szCs w:val="18"/>
        </w:rPr>
        <w:t>应当经过当庭质证才能作为定案的根据。</w:t>
      </w:r>
      <w:r>
        <w:rPr>
          <w:rFonts w:ascii="宋体" w:eastAsia="宋体" w:hAnsi="宋体" w:cs="宋体" w:hint="eastAsia"/>
          <w:color w:val="000000" w:themeColor="text1"/>
          <w:sz w:val="18"/>
          <w:szCs w:val="18"/>
        </w:rPr>
        <w:t>但是，</w:t>
      </w:r>
      <w:r>
        <w:rPr>
          <w:rFonts w:ascii="宋体" w:eastAsia="宋体" w:hAnsi="宋体" w:cs="宋体" w:hint="eastAsia"/>
          <w:color w:val="C00000"/>
          <w:sz w:val="18"/>
          <w:szCs w:val="18"/>
        </w:rPr>
        <w:t>对不影响定罪量刑的非关键证据、有利于被告人的量刑证据以及认定被告人有犯罪前科的裁判文书等证据，</w:t>
      </w:r>
      <w:r>
        <w:rPr>
          <w:rFonts w:ascii="宋体" w:eastAsia="宋体" w:hAnsi="宋体" w:cs="宋体" w:hint="eastAsia"/>
          <w:b/>
          <w:bCs/>
          <w:color w:val="C00000"/>
          <w:sz w:val="18"/>
          <w:szCs w:val="18"/>
        </w:rPr>
        <w:t>经庭外征求意见，控辩双方没有异议的除外</w:t>
      </w:r>
      <w:r>
        <w:rPr>
          <w:rFonts w:ascii="宋体" w:eastAsia="宋体" w:hAnsi="宋体" w:cs="宋体" w:hint="eastAsia"/>
          <w:color w:val="000000" w:themeColor="text1"/>
          <w:sz w:val="18"/>
          <w:szCs w:val="18"/>
        </w:rPr>
        <w:t>。</w:t>
      </w:r>
      <w:r>
        <w:rPr>
          <w:rFonts w:ascii="宋体" w:eastAsia="宋体" w:hAnsi="宋体" w:cs="宋体" w:hint="eastAsia"/>
          <w:b/>
          <w:bCs/>
          <w:color w:val="0070C0"/>
          <w:sz w:val="18"/>
          <w:szCs w:val="18"/>
        </w:rPr>
        <w:t>（简化庭审质证的程序）</w:t>
      </w:r>
    </w:p>
    <w:p w14:paraId="7B2D8FB6" w14:textId="77777777" w:rsidR="006F177D" w:rsidRDefault="006F177D" w:rsidP="006F177D">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法庭秩序：1．违反法庭秩序的</w:t>
      </w:r>
      <w:r>
        <w:rPr>
          <w:rFonts w:ascii="宋体" w:eastAsia="宋体" w:hAnsi="宋体" w:cs="宋体" w:hint="eastAsia"/>
          <w:color w:val="C00000"/>
          <w:sz w:val="18"/>
          <w:szCs w:val="18"/>
        </w:rPr>
        <w:t>处罚</w:t>
      </w:r>
      <w:r>
        <w:rPr>
          <w:rFonts w:ascii="宋体" w:eastAsia="宋体" w:hAnsi="宋体" w:cs="宋体" w:hint="eastAsia"/>
          <w:color w:val="000000" w:themeColor="text1"/>
          <w:sz w:val="18"/>
          <w:szCs w:val="18"/>
        </w:rPr>
        <w:t>：有关人员危害法庭安全或者扰乱法庭秩序的，审判长应当按照下列情形</w:t>
      </w:r>
      <w:r>
        <w:rPr>
          <w:rFonts w:ascii="宋体" w:eastAsia="宋体" w:hAnsi="宋体" w:cs="宋体" w:hint="eastAsia"/>
          <w:color w:val="C00000"/>
          <w:sz w:val="18"/>
          <w:szCs w:val="18"/>
        </w:rPr>
        <w:t>分别处理</w:t>
      </w:r>
      <w:r>
        <w:rPr>
          <w:rFonts w:ascii="宋体" w:eastAsia="宋体" w:hAnsi="宋体" w:cs="宋体" w:hint="eastAsia"/>
          <w:color w:val="000000" w:themeColor="text1"/>
          <w:sz w:val="18"/>
          <w:szCs w:val="18"/>
        </w:rPr>
        <w:t>：（1）情节较轻的，应当</w:t>
      </w:r>
      <w:r>
        <w:rPr>
          <w:rFonts w:ascii="宋体" w:eastAsia="宋体" w:hAnsi="宋体" w:cs="宋体" w:hint="eastAsia"/>
          <w:color w:val="C00000"/>
          <w:sz w:val="18"/>
          <w:szCs w:val="18"/>
        </w:rPr>
        <w:t>警告制止</w:t>
      </w:r>
      <w:r>
        <w:rPr>
          <w:rFonts w:ascii="宋体" w:eastAsia="宋体" w:hAnsi="宋体" w:cs="宋体" w:hint="eastAsia"/>
          <w:color w:val="000000" w:themeColor="text1"/>
          <w:sz w:val="18"/>
          <w:szCs w:val="18"/>
        </w:rPr>
        <w:t>；根据具体情况，也可以进行</w:t>
      </w:r>
      <w:r>
        <w:rPr>
          <w:rFonts w:ascii="宋体" w:eastAsia="宋体" w:hAnsi="宋体" w:cs="宋体" w:hint="eastAsia"/>
          <w:color w:val="C00000"/>
          <w:sz w:val="18"/>
          <w:szCs w:val="18"/>
        </w:rPr>
        <w:t>训诫</w:t>
      </w:r>
      <w:r>
        <w:rPr>
          <w:rFonts w:ascii="宋体" w:eastAsia="宋体" w:hAnsi="宋体" w:cs="宋体" w:hint="eastAsia"/>
          <w:color w:val="000000" w:themeColor="text1"/>
          <w:sz w:val="18"/>
          <w:szCs w:val="18"/>
        </w:rPr>
        <w:t>；（2）训诫无效的，</w:t>
      </w:r>
      <w:r>
        <w:rPr>
          <w:rFonts w:ascii="宋体" w:eastAsia="宋体" w:hAnsi="宋体" w:cs="宋体" w:hint="eastAsia"/>
          <w:color w:val="C00000"/>
          <w:sz w:val="18"/>
          <w:szCs w:val="18"/>
        </w:rPr>
        <w:t>责令退出法庭</w:t>
      </w:r>
      <w:r>
        <w:rPr>
          <w:rFonts w:ascii="宋体" w:eastAsia="宋体" w:hAnsi="宋体" w:cs="宋体" w:hint="eastAsia"/>
          <w:color w:val="000000" w:themeColor="text1"/>
          <w:sz w:val="18"/>
          <w:szCs w:val="18"/>
        </w:rPr>
        <w:t>；拒不退出的，</w:t>
      </w:r>
      <w:r>
        <w:rPr>
          <w:rFonts w:ascii="宋体" w:eastAsia="宋体" w:hAnsi="宋体" w:cs="宋体" w:hint="eastAsia"/>
          <w:color w:val="C00000"/>
          <w:sz w:val="18"/>
          <w:szCs w:val="18"/>
        </w:rPr>
        <w:t>指令法警强行带出法庭</w:t>
      </w:r>
      <w:r>
        <w:rPr>
          <w:rFonts w:ascii="宋体" w:eastAsia="宋体" w:hAnsi="宋体" w:cs="宋体" w:hint="eastAsia"/>
          <w:color w:val="000000" w:themeColor="text1"/>
          <w:sz w:val="18"/>
          <w:szCs w:val="18"/>
        </w:rPr>
        <w:t>；（3）情节严重的，</w:t>
      </w:r>
      <w:r>
        <w:rPr>
          <w:rFonts w:ascii="宋体" w:eastAsia="宋体" w:hAnsi="宋体" w:cs="宋体" w:hint="eastAsia"/>
          <w:color w:val="C00000"/>
          <w:sz w:val="18"/>
          <w:szCs w:val="18"/>
        </w:rPr>
        <w:t>报经院长批准后</w:t>
      </w:r>
      <w:r>
        <w:rPr>
          <w:rFonts w:ascii="宋体" w:eastAsia="宋体" w:hAnsi="宋体" w:cs="宋体" w:hint="eastAsia"/>
          <w:color w:val="000000" w:themeColor="text1"/>
          <w:sz w:val="18"/>
          <w:szCs w:val="18"/>
        </w:rPr>
        <w:t>，</w:t>
      </w:r>
      <w:r>
        <w:rPr>
          <w:rFonts w:ascii="宋体" w:eastAsia="宋体" w:hAnsi="宋体" w:cs="宋体" w:hint="eastAsia"/>
          <w:color w:val="C00000"/>
          <w:sz w:val="18"/>
          <w:szCs w:val="18"/>
        </w:rPr>
        <w:t>可以对行为人处一千元以下的罚款或者十五日以下的拘留</w:t>
      </w:r>
      <w:r>
        <w:rPr>
          <w:rFonts w:ascii="宋体" w:eastAsia="宋体" w:hAnsi="宋体" w:cs="宋体" w:hint="eastAsia"/>
          <w:color w:val="000000" w:themeColor="text1"/>
          <w:sz w:val="18"/>
          <w:szCs w:val="18"/>
        </w:rPr>
        <w:t>。2．</w:t>
      </w:r>
      <w:r>
        <w:rPr>
          <w:rFonts w:ascii="宋体" w:eastAsia="宋体" w:hAnsi="宋体" w:cs="宋体" w:hint="eastAsia"/>
          <w:color w:val="C00000"/>
          <w:sz w:val="18"/>
          <w:szCs w:val="18"/>
        </w:rPr>
        <w:t>对罚款、拘留决定的</w:t>
      </w:r>
      <w:r>
        <w:rPr>
          <w:rFonts w:ascii="宋体" w:eastAsia="宋体" w:hAnsi="宋体" w:cs="宋体" w:hint="eastAsia"/>
          <w:b/>
          <w:bCs/>
          <w:color w:val="C00000"/>
          <w:sz w:val="18"/>
          <w:szCs w:val="18"/>
        </w:rPr>
        <w:t>复议</w:t>
      </w:r>
      <w:r>
        <w:rPr>
          <w:rFonts w:ascii="宋体" w:eastAsia="宋体" w:hAnsi="宋体" w:cs="宋体" w:hint="eastAsia"/>
          <w:color w:val="000000" w:themeColor="text1"/>
          <w:sz w:val="18"/>
          <w:szCs w:val="18"/>
        </w:rPr>
        <w:t>：有关人员对罚款、拘留的决定不服的，可以</w:t>
      </w:r>
      <w:r>
        <w:rPr>
          <w:rFonts w:ascii="宋体" w:eastAsia="宋体" w:hAnsi="宋体" w:cs="宋体" w:hint="eastAsia"/>
          <w:color w:val="C00000"/>
          <w:sz w:val="18"/>
          <w:szCs w:val="18"/>
        </w:rPr>
        <w:t>直接向上一级人民法院申请复议</w:t>
      </w:r>
      <w:r>
        <w:rPr>
          <w:rFonts w:ascii="宋体" w:eastAsia="宋体" w:hAnsi="宋体" w:cs="宋体" w:hint="eastAsia"/>
          <w:color w:val="000000" w:themeColor="text1"/>
          <w:sz w:val="18"/>
          <w:szCs w:val="18"/>
        </w:rPr>
        <w:t>，也可以</w:t>
      </w:r>
      <w:r>
        <w:rPr>
          <w:rFonts w:ascii="宋体" w:eastAsia="宋体" w:hAnsi="宋体" w:cs="宋体" w:hint="eastAsia"/>
          <w:color w:val="C00000"/>
          <w:sz w:val="18"/>
          <w:szCs w:val="18"/>
        </w:rPr>
        <w:t>通过决定罚款、拘留的人民法院向上一级人民法院申请复议</w:t>
      </w:r>
      <w:r>
        <w:rPr>
          <w:rFonts w:ascii="宋体" w:eastAsia="宋体" w:hAnsi="宋体" w:cs="宋体" w:hint="eastAsia"/>
          <w:color w:val="000000" w:themeColor="text1"/>
          <w:sz w:val="18"/>
          <w:szCs w:val="18"/>
        </w:rPr>
        <w:t>。通过决定罚款、拘留的人民法院申请复议的，该人民法院应当自收到复议申请之日起三日以内，将复议申请、罚款或者拘留决定书和有关事实、证据材料一并报上一级人民法院复议。</w:t>
      </w:r>
      <w:r>
        <w:rPr>
          <w:rFonts w:ascii="宋体" w:eastAsia="宋体" w:hAnsi="宋体" w:cs="宋体" w:hint="eastAsia"/>
          <w:color w:val="C00000"/>
          <w:sz w:val="18"/>
          <w:szCs w:val="18"/>
        </w:rPr>
        <w:t>复议期间，不停止决定的执行。</w:t>
      </w:r>
      <w:r>
        <w:rPr>
          <w:rFonts w:ascii="宋体" w:eastAsia="宋体" w:hAnsi="宋体" w:cs="宋体" w:hint="eastAsia"/>
          <w:color w:val="000000" w:themeColor="text1"/>
          <w:sz w:val="18"/>
          <w:szCs w:val="18"/>
        </w:rPr>
        <w:t>3．</w:t>
      </w:r>
      <w:r>
        <w:rPr>
          <w:rFonts w:ascii="宋体" w:eastAsia="宋体" w:hAnsi="宋体" w:cs="宋体" w:hint="eastAsia"/>
          <w:b/>
          <w:bCs/>
          <w:color w:val="0070C0"/>
          <w:sz w:val="18"/>
          <w:szCs w:val="18"/>
        </w:rPr>
        <w:t>辩护人、诉讼代理人违反法庭秩序的处理（注意）：</w:t>
      </w:r>
      <w:r>
        <w:rPr>
          <w:rFonts w:ascii="宋体" w:eastAsia="宋体" w:hAnsi="宋体" w:cs="宋体" w:hint="eastAsia"/>
          <w:color w:val="000000" w:themeColor="text1"/>
          <w:sz w:val="18"/>
          <w:szCs w:val="18"/>
        </w:rPr>
        <w:t>（1）辩护人严重扰乱法庭秩序，</w:t>
      </w:r>
      <w:r>
        <w:rPr>
          <w:rFonts w:ascii="宋体" w:eastAsia="宋体" w:hAnsi="宋体" w:cs="宋体" w:hint="eastAsia"/>
          <w:color w:val="C00000"/>
          <w:sz w:val="18"/>
          <w:szCs w:val="18"/>
        </w:rPr>
        <w:t>被责令退出法庭、强行带出法庭或者被处以罚款、拘留</w:t>
      </w:r>
      <w:r>
        <w:rPr>
          <w:rFonts w:ascii="宋体" w:eastAsia="宋体" w:hAnsi="宋体" w:cs="宋体" w:hint="eastAsia"/>
          <w:color w:val="000000" w:themeColor="text1"/>
          <w:sz w:val="18"/>
          <w:szCs w:val="18"/>
        </w:rPr>
        <w:t>，被告人自行辩护的，庭审继续进行；被告人要求另行委托辩护人，或者被告人属于应当提供法律援助情形的，</w:t>
      </w:r>
      <w:r>
        <w:rPr>
          <w:rFonts w:ascii="宋体" w:eastAsia="宋体" w:hAnsi="宋体" w:cs="宋体" w:hint="eastAsia"/>
          <w:color w:val="C00000"/>
          <w:sz w:val="18"/>
          <w:szCs w:val="18"/>
        </w:rPr>
        <w:t>应当宣布休庭</w:t>
      </w:r>
      <w:r>
        <w:rPr>
          <w:rFonts w:ascii="宋体" w:eastAsia="宋体" w:hAnsi="宋体" w:cs="宋体" w:hint="eastAsia"/>
          <w:color w:val="000000" w:themeColor="text1"/>
          <w:sz w:val="18"/>
          <w:szCs w:val="18"/>
        </w:rPr>
        <w:t>。（2）辩护人、诉讼代理人被责令退出法庭、强行带出法庭或者被处以罚款（没有拘留）后，</w:t>
      </w:r>
      <w:r>
        <w:rPr>
          <w:rFonts w:ascii="宋体" w:eastAsia="宋体" w:hAnsi="宋体" w:cs="宋体" w:hint="eastAsia"/>
          <w:color w:val="C00000"/>
          <w:sz w:val="18"/>
          <w:szCs w:val="18"/>
        </w:rPr>
        <w:t>具结保证书，</w:t>
      </w:r>
      <w:r>
        <w:rPr>
          <w:rFonts w:ascii="宋体" w:eastAsia="宋体" w:hAnsi="宋体" w:cs="宋体" w:hint="eastAsia"/>
          <w:color w:val="000000" w:themeColor="text1"/>
          <w:sz w:val="18"/>
          <w:szCs w:val="18"/>
        </w:rPr>
        <w:t>保证服从法庭指挥、不再扰乱法庭秩序的，</w:t>
      </w:r>
      <w:r>
        <w:rPr>
          <w:rFonts w:ascii="宋体" w:eastAsia="宋体" w:hAnsi="宋体" w:cs="宋体" w:hint="eastAsia"/>
          <w:color w:val="C00000"/>
          <w:sz w:val="18"/>
          <w:szCs w:val="18"/>
        </w:rPr>
        <w:t>经法庭许可，</w:t>
      </w:r>
      <w:r>
        <w:rPr>
          <w:rFonts w:ascii="宋体" w:eastAsia="宋体" w:hAnsi="宋体" w:cs="宋体" w:hint="eastAsia"/>
          <w:b/>
          <w:bCs/>
          <w:color w:val="C00000"/>
          <w:sz w:val="18"/>
          <w:szCs w:val="18"/>
        </w:rPr>
        <w:t>可以继续担任</w:t>
      </w:r>
      <w:r>
        <w:rPr>
          <w:rFonts w:ascii="宋体" w:eastAsia="宋体" w:hAnsi="宋体" w:cs="宋体" w:hint="eastAsia"/>
          <w:color w:val="C00000"/>
          <w:sz w:val="18"/>
          <w:szCs w:val="18"/>
        </w:rPr>
        <w:t>辩护人、诉讼代理人</w:t>
      </w:r>
      <w:r>
        <w:rPr>
          <w:rFonts w:ascii="宋体" w:eastAsia="宋体" w:hAnsi="宋体" w:cs="宋体" w:hint="eastAsia"/>
          <w:color w:val="000000" w:themeColor="text1"/>
          <w:sz w:val="18"/>
          <w:szCs w:val="18"/>
        </w:rPr>
        <w:t>。（3）辩护人、诉讼代理人具有下列情形之一的，</w:t>
      </w:r>
      <w:r>
        <w:rPr>
          <w:rFonts w:ascii="宋体" w:eastAsia="宋体" w:hAnsi="宋体" w:cs="宋体" w:hint="eastAsia"/>
          <w:b/>
          <w:bCs/>
          <w:color w:val="C00000"/>
          <w:sz w:val="18"/>
          <w:szCs w:val="18"/>
        </w:rPr>
        <w:t>不得继续担任</w:t>
      </w:r>
      <w:r>
        <w:rPr>
          <w:rFonts w:ascii="宋体" w:eastAsia="宋体" w:hAnsi="宋体" w:cs="宋体" w:hint="eastAsia"/>
          <w:color w:val="C00000"/>
          <w:sz w:val="18"/>
          <w:szCs w:val="18"/>
        </w:rPr>
        <w:t>同一案件的辩护人、诉讼代理人：a．擅自退庭的；b．无正当理由不出庭或者不按时出庭，严重影响审判顺利进行的；c．被拘留或者具结保证后再次被责令退出法庭、强行带出法庭的</w:t>
      </w:r>
      <w:r>
        <w:rPr>
          <w:rFonts w:ascii="宋体" w:eastAsia="宋体" w:hAnsi="宋体" w:cs="宋体" w:hint="eastAsia"/>
          <w:color w:val="000000" w:themeColor="text1"/>
          <w:sz w:val="18"/>
          <w:szCs w:val="18"/>
        </w:rPr>
        <w:t>。</w:t>
      </w:r>
    </w:p>
    <w:p w14:paraId="1DEF2072" w14:textId="0C5070CC" w:rsidR="006F177D" w:rsidRDefault="006F177D" w:rsidP="006F177D">
      <w:pPr>
        <w:pStyle w:val="1"/>
        <w:tabs>
          <w:tab w:val="left" w:pos="420"/>
        </w:tabs>
        <w:spacing w:before="0" w:after="0" w:line="240" w:lineRule="auto"/>
        <w:jc w:val="center"/>
        <w:rPr>
          <w:rFonts w:ascii="宋体" w:hAnsi="宋体" w:hint="eastAsia"/>
          <w:bCs w:val="0"/>
          <w:sz w:val="18"/>
          <w:szCs w:val="18"/>
        </w:rPr>
      </w:pPr>
      <w:r>
        <w:rPr>
          <w:rFonts w:ascii="宋体" w:hAnsi="宋体" w:hint="eastAsia"/>
          <w:bCs w:val="0"/>
          <w:sz w:val="18"/>
          <w:szCs w:val="18"/>
        </w:rPr>
        <w:t>考点49  单位犯罪案件的审理程序</w:t>
      </w:r>
      <w:r w:rsidRPr="00356327">
        <w:rPr>
          <w:rFonts w:ascii="宋体" w:hAnsi="宋体" w:cs="宋体" w:hint="eastAsia"/>
          <w:bCs w:val="0"/>
          <w:sz w:val="18"/>
          <w:szCs w:val="18"/>
        </w:rPr>
        <w:t>（</w:t>
      </w:r>
      <w:r>
        <w:rPr>
          <w:rFonts w:ascii="宋体" w:hAnsi="宋体" w:cs="宋体"/>
          <w:bCs w:val="0"/>
          <w:sz w:val="18"/>
          <w:szCs w:val="18"/>
        </w:rPr>
        <w:t>1</w:t>
      </w:r>
      <w:r w:rsidR="005770ED">
        <w:rPr>
          <w:rFonts w:ascii="宋体" w:hAnsi="宋体" w:cs="宋体" w:hint="eastAsia"/>
          <w:bCs w:val="0"/>
          <w:sz w:val="18"/>
          <w:szCs w:val="18"/>
        </w:rPr>
        <w:t>0</w:t>
      </w:r>
      <w:r w:rsidRPr="00356327">
        <w:rPr>
          <w:rFonts w:ascii="宋体" w:hAnsi="宋体" w:cs="宋体"/>
          <w:bCs w:val="0"/>
          <w:sz w:val="18"/>
          <w:szCs w:val="18"/>
        </w:rPr>
        <w:t>:</w:t>
      </w:r>
      <w:r w:rsidR="005770ED">
        <w:rPr>
          <w:rFonts w:ascii="宋体" w:hAnsi="宋体" w:cs="宋体" w:hint="eastAsia"/>
          <w:bCs w:val="0"/>
          <w:sz w:val="18"/>
          <w:szCs w:val="18"/>
        </w:rPr>
        <w:t>05</w:t>
      </w:r>
      <w:r w:rsidRPr="00356327">
        <w:rPr>
          <w:rFonts w:ascii="宋体" w:hAnsi="宋体" w:cs="宋体"/>
          <w:bCs w:val="0"/>
          <w:sz w:val="18"/>
          <w:szCs w:val="18"/>
        </w:rPr>
        <w:t>:00-</w:t>
      </w:r>
      <w:r>
        <w:rPr>
          <w:rFonts w:ascii="宋体" w:hAnsi="宋体" w:cs="宋体"/>
          <w:bCs w:val="0"/>
          <w:sz w:val="18"/>
          <w:szCs w:val="18"/>
        </w:rPr>
        <w:t>1</w:t>
      </w:r>
      <w:r w:rsidR="00F813F3">
        <w:rPr>
          <w:rFonts w:ascii="宋体" w:hAnsi="宋体" w:cs="宋体" w:hint="eastAsia"/>
          <w:bCs w:val="0"/>
          <w:sz w:val="18"/>
          <w:szCs w:val="18"/>
        </w:rPr>
        <w:t>0</w:t>
      </w:r>
      <w:r w:rsidRPr="00356327">
        <w:rPr>
          <w:rFonts w:ascii="宋体" w:hAnsi="宋体" w:cs="宋体"/>
          <w:bCs w:val="0"/>
          <w:sz w:val="18"/>
          <w:szCs w:val="18"/>
        </w:rPr>
        <w:t>:</w:t>
      </w:r>
      <w:r w:rsidR="00F813F3">
        <w:rPr>
          <w:rFonts w:ascii="宋体" w:hAnsi="宋体" w:cs="宋体" w:hint="eastAsia"/>
          <w:bCs w:val="0"/>
          <w:sz w:val="18"/>
          <w:szCs w:val="18"/>
        </w:rPr>
        <w:t>19</w:t>
      </w:r>
      <w:r w:rsidRPr="00356327">
        <w:rPr>
          <w:rFonts w:ascii="宋体" w:hAnsi="宋体" w:cs="宋体"/>
          <w:bCs w:val="0"/>
          <w:sz w:val="18"/>
          <w:szCs w:val="18"/>
        </w:rPr>
        <w:t>:00）</w:t>
      </w:r>
    </w:p>
    <w:p w14:paraId="79BC7B78" w14:textId="77777777" w:rsidR="006F177D" w:rsidRDefault="006F177D" w:rsidP="006F177D">
      <w:pPr>
        <w:pStyle w:val="1"/>
        <w:tabs>
          <w:tab w:val="left" w:pos="420"/>
        </w:tabs>
        <w:spacing w:before="0" w:after="0" w:line="240" w:lineRule="auto"/>
        <w:rPr>
          <w:rFonts w:ascii="宋体" w:hAnsi="宋体" w:hint="eastAsia"/>
          <w:b w:val="0"/>
          <w:sz w:val="18"/>
          <w:szCs w:val="18"/>
        </w:rPr>
      </w:pPr>
      <w:r>
        <w:rPr>
          <w:rFonts w:ascii="宋体" w:hAnsi="宋体" w:hint="eastAsia"/>
          <w:b w:val="0"/>
          <w:sz w:val="18"/>
          <w:szCs w:val="18"/>
        </w:rPr>
        <w:tab/>
        <w:t>一、能够担任被告单位诉讼代表人的人员范围及条件</w:t>
      </w:r>
      <w:r>
        <w:rPr>
          <w:rFonts w:ascii="宋体" w:hAnsi="宋体" w:hint="eastAsia"/>
          <w:bCs w:val="0"/>
          <w:color w:val="0070C0"/>
          <w:sz w:val="18"/>
          <w:szCs w:val="18"/>
        </w:rPr>
        <w:t>（常见考点）</w:t>
      </w:r>
      <w:r>
        <w:rPr>
          <w:rFonts w:ascii="宋体" w:hAnsi="宋体" w:hint="eastAsia"/>
          <w:b w:val="0"/>
          <w:sz w:val="18"/>
          <w:szCs w:val="18"/>
        </w:rPr>
        <w:t>——</w:t>
      </w:r>
      <w:r>
        <w:rPr>
          <w:rFonts w:ascii="宋体" w:hAnsi="宋体" w:hint="eastAsia"/>
          <w:bCs w:val="0"/>
          <w:color w:val="0070C0"/>
          <w:sz w:val="18"/>
          <w:szCs w:val="18"/>
        </w:rPr>
        <w:t>熟记刑事诉讼法司法解释第三百三十六条（注意可担任诉讼代表人的顺位）</w:t>
      </w:r>
    </w:p>
    <w:p w14:paraId="4ED9A46D" w14:textId="77777777" w:rsidR="006F177D" w:rsidRDefault="006F177D" w:rsidP="006F177D">
      <w:pPr>
        <w:ind w:left="420"/>
        <w:rPr>
          <w:rFonts w:ascii="宋体" w:eastAsia="宋体" w:hAnsi="宋体" w:cs="Times New Roman" w:hint="eastAsia"/>
          <w:bCs/>
          <w:kern w:val="44"/>
          <w:sz w:val="18"/>
          <w:szCs w:val="18"/>
        </w:rPr>
      </w:pPr>
      <w:r>
        <w:rPr>
          <w:rFonts w:ascii="宋体" w:eastAsia="宋体" w:hAnsi="宋体" w:cs="Times New Roman"/>
          <w:bCs/>
          <w:kern w:val="44"/>
          <w:sz w:val="18"/>
          <w:szCs w:val="18"/>
        </w:rPr>
        <w:t>诉讼代表人</w:t>
      </w:r>
      <w:r>
        <w:rPr>
          <w:rFonts w:ascii="宋体" w:eastAsia="宋体" w:hAnsi="宋体" w:cs="Times New Roman"/>
          <w:bCs/>
          <w:color w:val="C00000"/>
          <w:kern w:val="44"/>
          <w:sz w:val="18"/>
          <w:szCs w:val="18"/>
        </w:rPr>
        <w:t>不得同时担任被告单位或者被指控为单位犯罪直接责任人员的有关人员的辩护人</w:t>
      </w:r>
      <w:r>
        <w:rPr>
          <w:rFonts w:ascii="宋体" w:eastAsia="宋体" w:hAnsi="宋体" w:cs="Times New Roman" w:hint="eastAsia"/>
          <w:bCs/>
          <w:color w:val="C00000"/>
          <w:kern w:val="44"/>
          <w:sz w:val="18"/>
          <w:szCs w:val="18"/>
        </w:rPr>
        <w:t>。</w:t>
      </w:r>
    </w:p>
    <w:p w14:paraId="0E85D0ED" w14:textId="77777777" w:rsidR="006F177D" w:rsidRDefault="006F177D" w:rsidP="006F177D">
      <w:pPr>
        <w:ind w:left="420"/>
        <w:rPr>
          <w:rFonts w:ascii="宋体" w:eastAsia="宋体" w:hAnsi="宋体" w:cs="Times New Roman" w:hint="eastAsia"/>
          <w:bCs/>
          <w:kern w:val="44"/>
          <w:sz w:val="18"/>
          <w:szCs w:val="18"/>
        </w:rPr>
      </w:pPr>
      <w:r>
        <w:rPr>
          <w:rFonts w:ascii="宋体" w:eastAsia="宋体" w:hAnsi="宋体" w:cs="Times New Roman" w:hint="eastAsia"/>
          <w:bCs/>
          <w:kern w:val="44"/>
          <w:sz w:val="18"/>
          <w:szCs w:val="18"/>
        </w:rPr>
        <w:t>二、被告单位诉讼代表人的出庭程序</w:t>
      </w:r>
    </w:p>
    <w:p w14:paraId="3EACDA15" w14:textId="77777777" w:rsidR="006F177D" w:rsidRDefault="006F177D" w:rsidP="006F177D">
      <w:pPr>
        <w:ind w:firstLine="420"/>
        <w:rPr>
          <w:rFonts w:ascii="宋体" w:eastAsia="宋体" w:hAnsi="宋体" w:cs="Times New Roman" w:hint="eastAsia"/>
          <w:bCs/>
          <w:kern w:val="44"/>
          <w:sz w:val="18"/>
          <w:szCs w:val="18"/>
        </w:rPr>
      </w:pPr>
      <w:r>
        <w:rPr>
          <w:rFonts w:ascii="宋体" w:eastAsia="宋体" w:hAnsi="宋体" w:cs="Times New Roman" w:hint="eastAsia"/>
          <w:bCs/>
          <w:kern w:val="44"/>
          <w:sz w:val="18"/>
          <w:szCs w:val="18"/>
        </w:rPr>
        <w:t>刑事诉讼法司法解释第三百三十七条 开庭审理单位犯罪案件，应当通知被告单位的诉讼代表人出庭；诉讼代表人不符合前条规定的，应当要求人民检察院另行确定。</w:t>
      </w:r>
    </w:p>
    <w:p w14:paraId="08372422" w14:textId="77777777" w:rsidR="006F177D" w:rsidRDefault="006F177D" w:rsidP="006F177D">
      <w:pPr>
        <w:ind w:firstLine="420"/>
        <w:rPr>
          <w:rFonts w:ascii="宋体" w:eastAsia="宋体" w:hAnsi="宋体" w:cs="Times New Roman" w:hint="eastAsia"/>
          <w:bCs/>
          <w:kern w:val="44"/>
          <w:sz w:val="18"/>
          <w:szCs w:val="18"/>
        </w:rPr>
      </w:pPr>
      <w:r>
        <w:rPr>
          <w:rFonts w:ascii="宋体" w:eastAsia="宋体" w:hAnsi="宋体" w:cs="Times New Roman" w:hint="eastAsia"/>
          <w:bCs/>
          <w:kern w:val="44"/>
          <w:sz w:val="18"/>
          <w:szCs w:val="18"/>
        </w:rPr>
        <w:t>被告单位的诉讼代表人不出庭的，应当按照下列情形分别处理：</w:t>
      </w:r>
    </w:p>
    <w:p w14:paraId="4671F149" w14:textId="77777777" w:rsidR="006F177D" w:rsidRDefault="006F177D" w:rsidP="006F177D">
      <w:pPr>
        <w:ind w:firstLine="420"/>
        <w:rPr>
          <w:rFonts w:ascii="宋体" w:eastAsia="宋体" w:hAnsi="宋体" w:cs="Times New Roman" w:hint="eastAsia"/>
          <w:bCs/>
          <w:kern w:val="44"/>
          <w:sz w:val="18"/>
          <w:szCs w:val="18"/>
        </w:rPr>
      </w:pPr>
      <w:r>
        <w:rPr>
          <w:rFonts w:ascii="宋体" w:eastAsia="宋体" w:hAnsi="宋体" w:cs="Times New Roman" w:hint="eastAsia"/>
          <w:bCs/>
          <w:kern w:val="44"/>
          <w:sz w:val="18"/>
          <w:szCs w:val="18"/>
        </w:rPr>
        <w:t>（一）诉讼代表人系被告单位的</w:t>
      </w:r>
      <w:r>
        <w:rPr>
          <w:rFonts w:ascii="宋体" w:eastAsia="宋体" w:hAnsi="宋体" w:cs="Times New Roman" w:hint="eastAsia"/>
          <w:bCs/>
          <w:color w:val="C00000"/>
          <w:kern w:val="44"/>
          <w:sz w:val="18"/>
          <w:szCs w:val="18"/>
        </w:rPr>
        <w:t>法定代表人、实际控制人或者主要负责人</w:t>
      </w:r>
      <w:r>
        <w:rPr>
          <w:rFonts w:ascii="宋体" w:eastAsia="宋体" w:hAnsi="宋体" w:cs="Times New Roman" w:hint="eastAsia"/>
          <w:bCs/>
          <w:kern w:val="44"/>
          <w:sz w:val="18"/>
          <w:szCs w:val="18"/>
        </w:rPr>
        <w:t>，</w:t>
      </w:r>
      <w:r>
        <w:rPr>
          <w:rFonts w:ascii="宋体" w:eastAsia="宋体" w:hAnsi="宋体" w:cs="Times New Roman" w:hint="eastAsia"/>
          <w:bCs/>
          <w:color w:val="C00000"/>
          <w:kern w:val="44"/>
          <w:sz w:val="18"/>
          <w:szCs w:val="18"/>
        </w:rPr>
        <w:t>无正当理由拒不出庭的，可以拘传其到庭；因客观原因无法出庭，或者下落不明的</w:t>
      </w:r>
      <w:r>
        <w:rPr>
          <w:rFonts w:ascii="宋体" w:eastAsia="宋体" w:hAnsi="宋体" w:cs="Times New Roman" w:hint="eastAsia"/>
          <w:bCs/>
          <w:kern w:val="44"/>
          <w:sz w:val="18"/>
          <w:szCs w:val="18"/>
        </w:rPr>
        <w:t>，应当要求人民检察院</w:t>
      </w:r>
      <w:r>
        <w:rPr>
          <w:rFonts w:ascii="宋体" w:eastAsia="宋体" w:hAnsi="宋体" w:cs="Times New Roman" w:hint="eastAsia"/>
          <w:bCs/>
          <w:color w:val="C00000"/>
          <w:kern w:val="44"/>
          <w:sz w:val="18"/>
          <w:szCs w:val="18"/>
        </w:rPr>
        <w:t>另行确定</w:t>
      </w:r>
      <w:r>
        <w:rPr>
          <w:rFonts w:ascii="宋体" w:eastAsia="宋体" w:hAnsi="宋体" w:cs="Times New Roman" w:hint="eastAsia"/>
          <w:bCs/>
          <w:kern w:val="44"/>
          <w:sz w:val="18"/>
          <w:szCs w:val="18"/>
        </w:rPr>
        <w:t>诉讼代表人；</w:t>
      </w:r>
    </w:p>
    <w:p w14:paraId="1C425B8F" w14:textId="77777777" w:rsidR="006F177D" w:rsidRDefault="006F177D" w:rsidP="006F177D">
      <w:pPr>
        <w:ind w:firstLine="420"/>
        <w:rPr>
          <w:rFonts w:ascii="宋体" w:eastAsia="宋体" w:hAnsi="宋体" w:cs="Times New Roman" w:hint="eastAsia"/>
          <w:bCs/>
          <w:kern w:val="44"/>
          <w:sz w:val="18"/>
          <w:szCs w:val="18"/>
        </w:rPr>
      </w:pPr>
      <w:r>
        <w:rPr>
          <w:rFonts w:ascii="宋体" w:eastAsia="宋体" w:hAnsi="宋体" w:cs="Times New Roman" w:hint="eastAsia"/>
          <w:bCs/>
          <w:kern w:val="44"/>
          <w:sz w:val="18"/>
          <w:szCs w:val="18"/>
        </w:rPr>
        <w:t>（二）诉讼代表人</w:t>
      </w:r>
      <w:r>
        <w:rPr>
          <w:rFonts w:ascii="宋体" w:eastAsia="宋体" w:hAnsi="宋体" w:cs="Times New Roman" w:hint="eastAsia"/>
          <w:bCs/>
          <w:color w:val="C00000"/>
          <w:kern w:val="44"/>
          <w:sz w:val="18"/>
          <w:szCs w:val="18"/>
        </w:rPr>
        <w:t>系其他人员的</w:t>
      </w:r>
      <w:r>
        <w:rPr>
          <w:rFonts w:ascii="宋体" w:eastAsia="宋体" w:hAnsi="宋体" w:cs="Times New Roman" w:hint="eastAsia"/>
          <w:bCs/>
          <w:kern w:val="44"/>
          <w:sz w:val="18"/>
          <w:szCs w:val="18"/>
        </w:rPr>
        <w:t>，应当要求人民检察院</w:t>
      </w:r>
      <w:r>
        <w:rPr>
          <w:rFonts w:ascii="宋体" w:eastAsia="宋体" w:hAnsi="宋体" w:cs="Times New Roman" w:hint="eastAsia"/>
          <w:bCs/>
          <w:color w:val="C00000"/>
          <w:kern w:val="44"/>
          <w:sz w:val="18"/>
          <w:szCs w:val="18"/>
        </w:rPr>
        <w:t>另行确定诉讼代表人</w:t>
      </w:r>
      <w:r>
        <w:rPr>
          <w:rFonts w:ascii="宋体" w:eastAsia="宋体" w:hAnsi="宋体" w:cs="Times New Roman" w:hint="eastAsia"/>
          <w:bCs/>
          <w:kern w:val="44"/>
          <w:sz w:val="18"/>
          <w:szCs w:val="18"/>
        </w:rPr>
        <w:t>。</w:t>
      </w:r>
    </w:p>
    <w:p w14:paraId="38BF2EDA" w14:textId="77777777" w:rsidR="006F177D" w:rsidRDefault="006F177D" w:rsidP="006F177D">
      <w:pPr>
        <w:ind w:firstLine="420"/>
        <w:rPr>
          <w:rFonts w:ascii="宋体" w:eastAsia="宋体" w:hAnsi="宋体" w:cs="Times New Roman" w:hint="eastAsia"/>
          <w:bCs/>
          <w:kern w:val="44"/>
          <w:sz w:val="18"/>
          <w:szCs w:val="18"/>
        </w:rPr>
      </w:pPr>
      <w:r>
        <w:rPr>
          <w:rFonts w:ascii="宋体" w:eastAsia="宋体" w:hAnsi="宋体" w:cs="Times New Roman" w:hint="eastAsia"/>
          <w:bCs/>
          <w:kern w:val="44"/>
          <w:sz w:val="18"/>
          <w:szCs w:val="18"/>
        </w:rPr>
        <w:t>三、对单位被告的追加起诉：对应当认定为单位犯罪的案件，人民检察院</w:t>
      </w:r>
      <w:r>
        <w:rPr>
          <w:rFonts w:ascii="宋体" w:eastAsia="宋体" w:hAnsi="宋体" w:cs="Times New Roman" w:hint="eastAsia"/>
          <w:bCs/>
          <w:color w:val="C00000"/>
          <w:kern w:val="44"/>
          <w:sz w:val="18"/>
          <w:szCs w:val="18"/>
        </w:rPr>
        <w:t>只作为自然人犯罪起诉的</w:t>
      </w:r>
      <w:r>
        <w:rPr>
          <w:rFonts w:ascii="宋体" w:eastAsia="宋体" w:hAnsi="宋体" w:cs="Times New Roman" w:hint="eastAsia"/>
          <w:bCs/>
          <w:kern w:val="44"/>
          <w:sz w:val="18"/>
          <w:szCs w:val="18"/>
        </w:rPr>
        <w:t>，</w:t>
      </w:r>
      <w:r>
        <w:rPr>
          <w:rFonts w:ascii="宋体" w:eastAsia="宋体" w:hAnsi="宋体" w:cs="Times New Roman" w:hint="eastAsia"/>
          <w:b/>
          <w:color w:val="C00000"/>
          <w:kern w:val="44"/>
          <w:sz w:val="18"/>
          <w:szCs w:val="18"/>
        </w:rPr>
        <w:t>人民法院应当建议人民检察院对犯罪单位追加起诉</w:t>
      </w:r>
      <w:r>
        <w:rPr>
          <w:rFonts w:ascii="宋体" w:eastAsia="宋体" w:hAnsi="宋体" w:cs="Times New Roman" w:hint="eastAsia"/>
          <w:bCs/>
          <w:kern w:val="44"/>
          <w:sz w:val="18"/>
          <w:szCs w:val="18"/>
        </w:rPr>
        <w:t>。人民检察院仍以自然人犯罪起诉的，</w:t>
      </w:r>
      <w:r>
        <w:rPr>
          <w:rFonts w:ascii="宋体" w:eastAsia="宋体" w:hAnsi="宋体" w:cs="Times New Roman" w:hint="eastAsia"/>
          <w:bCs/>
          <w:color w:val="C00000"/>
          <w:kern w:val="44"/>
          <w:sz w:val="18"/>
          <w:szCs w:val="18"/>
        </w:rPr>
        <w:t>人民法院应当依法审理，</w:t>
      </w:r>
      <w:r>
        <w:rPr>
          <w:rFonts w:ascii="宋体" w:eastAsia="宋体" w:hAnsi="宋体" w:cs="Times New Roman" w:hint="eastAsia"/>
          <w:b/>
          <w:color w:val="C00000"/>
          <w:kern w:val="44"/>
          <w:sz w:val="18"/>
          <w:szCs w:val="18"/>
        </w:rPr>
        <w:t>按照单位犯罪</w:t>
      </w:r>
      <w:r>
        <w:rPr>
          <w:rFonts w:ascii="宋体" w:eastAsia="宋体" w:hAnsi="宋体" w:cs="Times New Roman" w:hint="eastAsia"/>
          <w:bCs/>
          <w:color w:val="C00000"/>
          <w:kern w:val="44"/>
          <w:sz w:val="18"/>
          <w:szCs w:val="18"/>
        </w:rPr>
        <w:t>直接负责的主管人员或者其他直接责任人员追究刑事责任，并</w:t>
      </w:r>
      <w:r>
        <w:rPr>
          <w:rFonts w:ascii="宋体" w:eastAsia="宋体" w:hAnsi="宋体" w:cs="Times New Roman" w:hint="eastAsia"/>
          <w:b/>
          <w:color w:val="C00000"/>
          <w:kern w:val="44"/>
          <w:sz w:val="18"/>
          <w:szCs w:val="18"/>
        </w:rPr>
        <w:t>援引刑法分则</w:t>
      </w:r>
      <w:r>
        <w:rPr>
          <w:rFonts w:ascii="宋体" w:eastAsia="宋体" w:hAnsi="宋体" w:cs="Times New Roman" w:hint="eastAsia"/>
          <w:bCs/>
          <w:color w:val="C00000"/>
          <w:kern w:val="44"/>
          <w:sz w:val="18"/>
          <w:szCs w:val="18"/>
        </w:rPr>
        <w:t>关于追究单位犯罪中直接负责的主管人员和其他直接责任人员刑事责任的条款</w:t>
      </w:r>
      <w:r>
        <w:rPr>
          <w:rFonts w:ascii="宋体" w:eastAsia="宋体" w:hAnsi="宋体" w:cs="Times New Roman" w:hint="eastAsia"/>
          <w:bCs/>
          <w:kern w:val="44"/>
          <w:sz w:val="18"/>
          <w:szCs w:val="18"/>
        </w:rPr>
        <w:t>。</w:t>
      </w:r>
    </w:p>
    <w:p w14:paraId="197539FD" w14:textId="77777777" w:rsidR="006F177D" w:rsidRDefault="006F177D" w:rsidP="006F177D">
      <w:pPr>
        <w:ind w:firstLine="420"/>
        <w:rPr>
          <w:rFonts w:ascii="宋体" w:eastAsia="宋体" w:hAnsi="宋体" w:cs="Times New Roman" w:hint="eastAsia"/>
          <w:bCs/>
          <w:kern w:val="44"/>
          <w:sz w:val="18"/>
          <w:szCs w:val="18"/>
        </w:rPr>
      </w:pPr>
      <w:r>
        <w:rPr>
          <w:rFonts w:ascii="宋体" w:eastAsia="宋体" w:hAnsi="宋体" w:cs="Times New Roman" w:hint="eastAsia"/>
          <w:bCs/>
          <w:kern w:val="44"/>
          <w:sz w:val="18"/>
          <w:szCs w:val="18"/>
        </w:rPr>
        <w:t>四、</w:t>
      </w:r>
      <w:r>
        <w:rPr>
          <w:rFonts w:ascii="宋体" w:eastAsia="宋体" w:hAnsi="宋体" w:cs="Times New Roman" w:hint="eastAsia"/>
          <w:b/>
          <w:color w:val="C00000"/>
          <w:kern w:val="44"/>
          <w:sz w:val="18"/>
          <w:szCs w:val="18"/>
        </w:rPr>
        <w:t>被告单位发生变化的处理</w:t>
      </w:r>
      <w:r>
        <w:rPr>
          <w:rFonts w:ascii="宋体" w:eastAsia="宋体" w:hAnsi="宋体" w:cs="Times New Roman" w:hint="eastAsia"/>
          <w:bCs/>
          <w:kern w:val="44"/>
          <w:sz w:val="18"/>
          <w:szCs w:val="18"/>
        </w:rPr>
        <w:t>：刑事诉讼法司法解释第三百四十四条和第三百四十五条</w:t>
      </w:r>
    </w:p>
    <w:p w14:paraId="222A1034" w14:textId="15FD4307" w:rsidR="00464ADF" w:rsidRDefault="00000000">
      <w:pPr>
        <w:pStyle w:val="1"/>
        <w:tabs>
          <w:tab w:val="left" w:pos="420"/>
        </w:tabs>
        <w:spacing w:before="0" w:after="0" w:line="240" w:lineRule="auto"/>
        <w:jc w:val="center"/>
        <w:rPr>
          <w:rFonts w:ascii="宋体" w:hAnsi="宋体" w:hint="eastAsia"/>
          <w:bCs w:val="0"/>
          <w:sz w:val="18"/>
          <w:szCs w:val="18"/>
        </w:rPr>
      </w:pPr>
      <w:r>
        <w:rPr>
          <w:rFonts w:ascii="宋体" w:hAnsi="宋体" w:hint="eastAsia"/>
          <w:bCs w:val="0"/>
          <w:sz w:val="18"/>
          <w:szCs w:val="18"/>
        </w:rPr>
        <w:t>考点50  自诉案件第一审程序</w:t>
      </w:r>
      <w:r w:rsidR="00622946">
        <w:rPr>
          <w:rFonts w:ascii="宋体" w:hAnsi="宋体" w:cs="宋体" w:hint="eastAsia"/>
          <w:bCs w:val="0"/>
          <w:sz w:val="18"/>
          <w:szCs w:val="18"/>
        </w:rPr>
        <w:t>（</w:t>
      </w:r>
      <w:r w:rsidR="00F813F3">
        <w:rPr>
          <w:rFonts w:ascii="宋体" w:hAnsi="宋体" w:cs="宋体" w:hint="eastAsia"/>
          <w:bCs w:val="0"/>
          <w:sz w:val="18"/>
          <w:szCs w:val="18"/>
        </w:rPr>
        <w:t>10</w:t>
      </w:r>
      <w:r w:rsidR="00622946">
        <w:rPr>
          <w:rFonts w:ascii="宋体" w:hAnsi="宋体" w:cs="宋体" w:hint="eastAsia"/>
          <w:bCs w:val="0"/>
          <w:sz w:val="18"/>
          <w:szCs w:val="18"/>
        </w:rPr>
        <w:t>:</w:t>
      </w:r>
      <w:r w:rsidR="00F813F3">
        <w:rPr>
          <w:rFonts w:ascii="宋体" w:hAnsi="宋体" w:cs="宋体" w:hint="eastAsia"/>
          <w:bCs w:val="0"/>
          <w:sz w:val="18"/>
          <w:szCs w:val="18"/>
        </w:rPr>
        <w:t>19</w:t>
      </w:r>
      <w:r w:rsidR="00622946">
        <w:rPr>
          <w:rFonts w:ascii="宋体" w:hAnsi="宋体" w:cs="宋体" w:hint="eastAsia"/>
          <w:bCs w:val="0"/>
          <w:sz w:val="18"/>
          <w:szCs w:val="18"/>
        </w:rPr>
        <w:t>:00-</w:t>
      </w:r>
      <w:r w:rsidR="00F813F3">
        <w:rPr>
          <w:rFonts w:ascii="宋体" w:hAnsi="宋体" w:cs="宋体" w:hint="eastAsia"/>
          <w:bCs w:val="0"/>
          <w:sz w:val="18"/>
          <w:szCs w:val="18"/>
        </w:rPr>
        <w:t>10</w:t>
      </w:r>
      <w:r w:rsidR="00622946">
        <w:rPr>
          <w:rFonts w:ascii="宋体" w:hAnsi="宋体" w:cs="宋体" w:hint="eastAsia"/>
          <w:bCs w:val="0"/>
          <w:sz w:val="18"/>
          <w:szCs w:val="18"/>
        </w:rPr>
        <w:t>:</w:t>
      </w:r>
      <w:r w:rsidR="002C2BDB">
        <w:rPr>
          <w:rFonts w:ascii="宋体" w:hAnsi="宋体" w:cs="宋体" w:hint="eastAsia"/>
          <w:bCs w:val="0"/>
          <w:sz w:val="18"/>
          <w:szCs w:val="18"/>
        </w:rPr>
        <w:t>29</w:t>
      </w:r>
      <w:r w:rsidR="00622946">
        <w:rPr>
          <w:rFonts w:ascii="宋体" w:hAnsi="宋体" w:cs="宋体" w:hint="eastAsia"/>
          <w:bCs w:val="0"/>
          <w:sz w:val="18"/>
          <w:szCs w:val="18"/>
        </w:rPr>
        <w:t>:00）</w:t>
      </w:r>
    </w:p>
    <w:p w14:paraId="42BC54BC" w14:textId="77777777" w:rsidR="00464ADF" w:rsidRDefault="00000000">
      <w:pPr>
        <w:ind w:firstLine="420"/>
        <w:rPr>
          <w:rFonts w:ascii="宋体" w:eastAsia="宋体" w:hAnsi="宋体" w:cs="Times New Roman" w:hint="eastAsia"/>
          <w:bCs/>
          <w:kern w:val="44"/>
          <w:sz w:val="18"/>
          <w:szCs w:val="18"/>
        </w:rPr>
      </w:pPr>
      <w:r>
        <w:rPr>
          <w:rFonts w:ascii="宋体" w:eastAsia="宋体" w:hAnsi="宋体" w:cs="Times New Roman" w:hint="eastAsia"/>
          <w:bCs/>
          <w:kern w:val="44"/>
          <w:sz w:val="18"/>
          <w:szCs w:val="18"/>
        </w:rPr>
        <w:t>一、有权提起自诉的人：自诉案件被害人；如果被害人死亡、丧失行为能力或者因受强制、威吓等无法告诉，或者是限制行为能力人以及因年老、患病、盲、聋、哑等不能亲自告诉，其</w:t>
      </w:r>
      <w:r>
        <w:rPr>
          <w:rFonts w:ascii="宋体" w:eastAsia="宋体" w:hAnsi="宋体" w:cs="Times New Roman" w:hint="eastAsia"/>
          <w:b/>
          <w:color w:val="C00000"/>
          <w:kern w:val="44"/>
          <w:sz w:val="18"/>
          <w:szCs w:val="18"/>
        </w:rPr>
        <w:t>法定代理人、近亲属</w:t>
      </w:r>
      <w:r>
        <w:rPr>
          <w:rFonts w:ascii="宋体" w:eastAsia="宋体" w:hAnsi="宋体" w:cs="Times New Roman" w:hint="eastAsia"/>
          <w:bCs/>
          <w:kern w:val="44"/>
          <w:sz w:val="18"/>
          <w:szCs w:val="18"/>
        </w:rPr>
        <w:t>告诉或者代为告诉。</w:t>
      </w:r>
    </w:p>
    <w:p w14:paraId="4E0B92D4" w14:textId="2A7075FA" w:rsidR="00464ADF" w:rsidRDefault="00000000">
      <w:pPr>
        <w:ind w:firstLine="420"/>
        <w:rPr>
          <w:rFonts w:ascii="宋体" w:eastAsia="宋体" w:hAnsi="宋体" w:cs="Times New Roman" w:hint="eastAsia"/>
          <w:bCs/>
          <w:kern w:val="44"/>
          <w:sz w:val="18"/>
          <w:szCs w:val="18"/>
        </w:rPr>
      </w:pPr>
      <w:r>
        <w:rPr>
          <w:rFonts w:ascii="宋体" w:eastAsia="宋体" w:hAnsi="宋体" w:cs="Times New Roman" w:hint="eastAsia"/>
          <w:bCs/>
          <w:kern w:val="44"/>
          <w:sz w:val="18"/>
          <w:szCs w:val="18"/>
        </w:rPr>
        <w:t>二、自诉案件的受理程序——</w:t>
      </w:r>
      <w:r>
        <w:rPr>
          <w:rFonts w:ascii="宋体" w:eastAsia="宋体" w:hAnsi="宋体" w:cs="Times New Roman" w:hint="eastAsia"/>
          <w:b/>
          <w:color w:val="0070C0"/>
          <w:kern w:val="44"/>
          <w:sz w:val="18"/>
          <w:szCs w:val="18"/>
        </w:rPr>
        <w:t>根据讲义表格进行记忆即可</w:t>
      </w:r>
    </w:p>
    <w:p w14:paraId="2D0CA363" w14:textId="77777777" w:rsidR="00464ADF" w:rsidRDefault="00000000">
      <w:pPr>
        <w:ind w:firstLine="420"/>
        <w:rPr>
          <w:rFonts w:ascii="宋体" w:eastAsia="宋体" w:hAnsi="宋体" w:cs="Times New Roman" w:hint="eastAsia"/>
          <w:bCs/>
          <w:kern w:val="44"/>
          <w:sz w:val="18"/>
          <w:szCs w:val="18"/>
        </w:rPr>
      </w:pPr>
      <w:r>
        <w:rPr>
          <w:rFonts w:ascii="宋体" w:eastAsia="宋体" w:hAnsi="宋体" w:cs="Times New Roman" w:hint="eastAsia"/>
          <w:bCs/>
          <w:kern w:val="44"/>
          <w:sz w:val="18"/>
          <w:szCs w:val="18"/>
        </w:rPr>
        <w:t>三、自诉案件的审理程序</w:t>
      </w:r>
    </w:p>
    <w:p w14:paraId="58E4D4AC" w14:textId="77777777" w:rsidR="00464ADF" w:rsidRDefault="00000000">
      <w:pPr>
        <w:ind w:firstLine="420"/>
        <w:rPr>
          <w:rFonts w:ascii="宋体" w:eastAsia="宋体" w:hAnsi="宋体" w:cs="Times New Roman" w:hint="eastAsia"/>
          <w:bCs/>
          <w:kern w:val="44"/>
          <w:sz w:val="18"/>
          <w:szCs w:val="18"/>
        </w:rPr>
      </w:pPr>
      <w:r>
        <w:rPr>
          <w:rFonts w:ascii="宋体" w:eastAsia="宋体" w:hAnsi="宋体" w:cs="Times New Roman" w:hint="eastAsia"/>
          <w:bCs/>
          <w:kern w:val="44"/>
          <w:sz w:val="18"/>
          <w:szCs w:val="18"/>
        </w:rPr>
        <w:t>（一）开庭审判的条件：犯罪事实清楚，有足够证据（自诉案件当事人</w:t>
      </w:r>
      <w:r>
        <w:rPr>
          <w:rFonts w:ascii="宋体" w:eastAsia="宋体" w:hAnsi="宋体" w:cs="Times New Roman" w:hint="eastAsia"/>
          <w:bCs/>
          <w:color w:val="C00000"/>
          <w:kern w:val="44"/>
          <w:sz w:val="18"/>
          <w:szCs w:val="18"/>
        </w:rPr>
        <w:t>因客观原因</w:t>
      </w:r>
      <w:r>
        <w:rPr>
          <w:rFonts w:ascii="宋体" w:eastAsia="宋体" w:hAnsi="宋体" w:cs="Times New Roman" w:hint="eastAsia"/>
          <w:bCs/>
          <w:kern w:val="44"/>
          <w:sz w:val="18"/>
          <w:szCs w:val="18"/>
        </w:rPr>
        <w:t>不能取得的证据，申请人民法院调取的，</w:t>
      </w:r>
      <w:r>
        <w:rPr>
          <w:rFonts w:ascii="宋体" w:eastAsia="宋体" w:hAnsi="宋体" w:cs="Times New Roman" w:hint="eastAsia"/>
          <w:bCs/>
          <w:color w:val="C00000"/>
          <w:kern w:val="44"/>
          <w:sz w:val="18"/>
          <w:szCs w:val="18"/>
        </w:rPr>
        <w:t>应当说明理由</w:t>
      </w:r>
      <w:r>
        <w:rPr>
          <w:rFonts w:ascii="宋体" w:eastAsia="宋体" w:hAnsi="宋体" w:cs="Times New Roman" w:hint="eastAsia"/>
          <w:bCs/>
          <w:kern w:val="44"/>
          <w:sz w:val="18"/>
          <w:szCs w:val="18"/>
        </w:rPr>
        <w:t>，</w:t>
      </w:r>
      <w:r>
        <w:rPr>
          <w:rFonts w:ascii="宋体" w:eastAsia="宋体" w:hAnsi="宋体" w:cs="Times New Roman" w:hint="eastAsia"/>
          <w:bCs/>
          <w:color w:val="C00000"/>
          <w:kern w:val="44"/>
          <w:sz w:val="18"/>
          <w:szCs w:val="18"/>
        </w:rPr>
        <w:t>并提供相关线索或者材料</w:t>
      </w:r>
      <w:r>
        <w:rPr>
          <w:rFonts w:ascii="宋体" w:eastAsia="宋体" w:hAnsi="宋体" w:cs="Times New Roman" w:hint="eastAsia"/>
          <w:bCs/>
          <w:kern w:val="44"/>
          <w:sz w:val="18"/>
          <w:szCs w:val="18"/>
        </w:rPr>
        <w:t>。</w:t>
      </w:r>
      <w:r>
        <w:rPr>
          <w:rFonts w:ascii="宋体" w:eastAsia="宋体" w:hAnsi="宋体" w:cs="Times New Roman" w:hint="eastAsia"/>
          <w:bCs/>
          <w:color w:val="C00000"/>
          <w:kern w:val="44"/>
          <w:sz w:val="18"/>
          <w:szCs w:val="18"/>
        </w:rPr>
        <w:t>人民法院认为有必要的</w:t>
      </w:r>
      <w:r>
        <w:rPr>
          <w:rFonts w:ascii="宋体" w:eastAsia="宋体" w:hAnsi="宋体" w:cs="Times New Roman" w:hint="eastAsia"/>
          <w:bCs/>
          <w:kern w:val="44"/>
          <w:sz w:val="18"/>
          <w:szCs w:val="18"/>
        </w:rPr>
        <w:t>，应当及时调取。</w:t>
      </w:r>
      <w:r>
        <w:rPr>
          <w:rFonts w:ascii="宋体" w:eastAsia="宋体" w:hAnsi="宋体" w:cs="Times New Roman" w:hint="eastAsia"/>
          <w:bCs/>
          <w:color w:val="C00000"/>
          <w:kern w:val="44"/>
          <w:sz w:val="18"/>
          <w:szCs w:val="18"/>
        </w:rPr>
        <w:t>对通过信息网络实施的侮辱、诽谤行为，被害人向人民法院告诉，但提供证据确有困难的，人民法院可以要求公安机关提供协助。</w:t>
      </w:r>
      <w:r>
        <w:rPr>
          <w:rFonts w:ascii="宋体" w:eastAsia="宋体" w:hAnsi="宋体" w:cs="Times New Roman" w:hint="eastAsia"/>
          <w:bCs/>
          <w:kern w:val="44"/>
          <w:sz w:val="18"/>
          <w:szCs w:val="18"/>
        </w:rPr>
        <w:t>）</w:t>
      </w:r>
    </w:p>
    <w:p w14:paraId="5DBF9DCE" w14:textId="77777777" w:rsidR="00464ADF" w:rsidRDefault="00000000">
      <w:pPr>
        <w:ind w:firstLine="420"/>
        <w:rPr>
          <w:rFonts w:ascii="宋体" w:eastAsia="宋体" w:hAnsi="宋体" w:cs="Times New Roman" w:hint="eastAsia"/>
          <w:bCs/>
          <w:kern w:val="44"/>
          <w:sz w:val="18"/>
          <w:szCs w:val="18"/>
        </w:rPr>
      </w:pPr>
      <w:r>
        <w:rPr>
          <w:rFonts w:ascii="宋体" w:eastAsia="宋体" w:hAnsi="宋体" w:cs="Times New Roman" w:hint="eastAsia"/>
          <w:bCs/>
          <w:kern w:val="44"/>
          <w:sz w:val="18"/>
          <w:szCs w:val="18"/>
        </w:rPr>
        <w:lastRenderedPageBreak/>
        <w:t>（二）审判程序</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430"/>
        <w:gridCol w:w="2320"/>
        <w:gridCol w:w="817"/>
        <w:gridCol w:w="3322"/>
      </w:tblGrid>
      <w:tr w:rsidR="00464ADF" w14:paraId="0D1D4CFD" w14:textId="77777777">
        <w:trPr>
          <w:jc w:val="center"/>
        </w:trPr>
        <w:tc>
          <w:tcPr>
            <w:tcW w:w="1783" w:type="dxa"/>
            <w:tcBorders>
              <w:top w:val="single" w:sz="8" w:space="0" w:color="FF0000"/>
              <w:left w:val="single" w:sz="8" w:space="0" w:color="FF0000"/>
              <w:bottom w:val="single" w:sz="8" w:space="0" w:color="FF0000"/>
              <w:right w:val="single" w:sz="8" w:space="0" w:color="FF0000"/>
            </w:tcBorders>
            <w:vAlign w:val="center"/>
          </w:tcPr>
          <w:p w14:paraId="1B15C114" w14:textId="77777777" w:rsidR="00464ADF" w:rsidRDefault="00000000">
            <w:pPr>
              <w:spacing w:beforeLines="10" w:before="31" w:afterLines="10" w:after="31" w:line="280" w:lineRule="exact"/>
              <w:jc w:val="center"/>
              <w:rPr>
                <w:rFonts w:ascii="汉仪中黑简" w:eastAsia="汉仪中黑简" w:hint="eastAsia"/>
                <w:bCs/>
                <w:sz w:val="15"/>
                <w:szCs w:val="15"/>
              </w:rPr>
            </w:pPr>
            <w:r>
              <w:rPr>
                <w:rFonts w:ascii="汉仪中黑简" w:eastAsia="汉仪中黑简" w:hint="eastAsia"/>
                <w:bCs/>
                <w:sz w:val="15"/>
                <w:szCs w:val="15"/>
              </w:rPr>
              <w:t>情形</w:t>
            </w:r>
          </w:p>
        </w:tc>
        <w:tc>
          <w:tcPr>
            <w:tcW w:w="2750" w:type="dxa"/>
            <w:gridSpan w:val="2"/>
            <w:tcBorders>
              <w:top w:val="single" w:sz="8" w:space="0" w:color="FF0000"/>
              <w:left w:val="single" w:sz="8" w:space="0" w:color="FF0000"/>
              <w:bottom w:val="single" w:sz="8" w:space="0" w:color="FF0000"/>
              <w:right w:val="single" w:sz="8" w:space="0" w:color="FF0000"/>
            </w:tcBorders>
            <w:vAlign w:val="center"/>
          </w:tcPr>
          <w:p w14:paraId="2C9CDC8E" w14:textId="77777777" w:rsidR="00464ADF" w:rsidRDefault="00000000">
            <w:pPr>
              <w:spacing w:beforeLines="10" w:before="31" w:afterLines="10" w:after="31" w:line="280" w:lineRule="exact"/>
              <w:jc w:val="center"/>
              <w:rPr>
                <w:rFonts w:ascii="汉仪中黑简" w:eastAsia="汉仪中黑简" w:hint="eastAsia"/>
                <w:bCs/>
                <w:sz w:val="15"/>
                <w:szCs w:val="15"/>
              </w:rPr>
            </w:pPr>
            <w:r>
              <w:rPr>
                <w:rFonts w:ascii="汉仪中黑简" w:eastAsia="汉仪中黑简" w:hint="eastAsia"/>
                <w:bCs/>
                <w:sz w:val="15"/>
                <w:szCs w:val="15"/>
              </w:rPr>
              <w:t>条件</w:t>
            </w:r>
          </w:p>
        </w:tc>
        <w:tc>
          <w:tcPr>
            <w:tcW w:w="817" w:type="dxa"/>
            <w:tcBorders>
              <w:top w:val="single" w:sz="8" w:space="0" w:color="FF0000"/>
              <w:left w:val="single" w:sz="8" w:space="0" w:color="FF0000"/>
              <w:bottom w:val="single" w:sz="8" w:space="0" w:color="FF0000"/>
              <w:right w:val="single" w:sz="8" w:space="0" w:color="FF0000"/>
            </w:tcBorders>
            <w:vAlign w:val="center"/>
          </w:tcPr>
          <w:p w14:paraId="18C60795" w14:textId="77777777" w:rsidR="00464ADF" w:rsidRDefault="00000000">
            <w:pPr>
              <w:spacing w:beforeLines="10" w:before="31" w:afterLines="10" w:after="31" w:line="280" w:lineRule="exact"/>
              <w:jc w:val="center"/>
              <w:rPr>
                <w:rFonts w:ascii="汉仪中黑简" w:eastAsia="汉仪中黑简" w:hint="eastAsia"/>
                <w:bCs/>
                <w:sz w:val="15"/>
                <w:szCs w:val="15"/>
              </w:rPr>
            </w:pPr>
            <w:r>
              <w:rPr>
                <w:rFonts w:ascii="汉仪中黑简" w:eastAsia="汉仪中黑简" w:hint="eastAsia"/>
                <w:bCs/>
                <w:sz w:val="15"/>
                <w:szCs w:val="15"/>
              </w:rPr>
              <w:t>处理</w:t>
            </w:r>
          </w:p>
        </w:tc>
        <w:tc>
          <w:tcPr>
            <w:tcW w:w="3322" w:type="dxa"/>
            <w:tcBorders>
              <w:top w:val="single" w:sz="8" w:space="0" w:color="FF0000"/>
              <w:left w:val="single" w:sz="8" w:space="0" w:color="FF0000"/>
              <w:bottom w:val="single" w:sz="8" w:space="0" w:color="FF0000"/>
              <w:right w:val="single" w:sz="8" w:space="0" w:color="FF0000"/>
            </w:tcBorders>
            <w:vAlign w:val="center"/>
          </w:tcPr>
          <w:p w14:paraId="001DAA5C" w14:textId="77777777" w:rsidR="00464ADF" w:rsidRDefault="00000000">
            <w:pPr>
              <w:spacing w:beforeLines="10" w:before="31" w:afterLines="10" w:after="31" w:line="280" w:lineRule="exact"/>
              <w:jc w:val="center"/>
              <w:rPr>
                <w:rFonts w:ascii="汉仪中黑简" w:eastAsia="汉仪中黑简" w:hint="eastAsia"/>
                <w:bCs/>
                <w:sz w:val="15"/>
                <w:szCs w:val="15"/>
              </w:rPr>
            </w:pPr>
            <w:r>
              <w:rPr>
                <w:rFonts w:ascii="汉仪中黑简" w:eastAsia="汉仪中黑简" w:hint="eastAsia"/>
                <w:bCs/>
                <w:sz w:val="15"/>
                <w:szCs w:val="15"/>
              </w:rPr>
              <w:t>备注</w:t>
            </w:r>
          </w:p>
        </w:tc>
      </w:tr>
      <w:tr w:rsidR="00464ADF" w14:paraId="3617D78A" w14:textId="77777777">
        <w:trPr>
          <w:jc w:val="center"/>
        </w:trPr>
        <w:tc>
          <w:tcPr>
            <w:tcW w:w="1783" w:type="dxa"/>
            <w:vMerge w:val="restart"/>
            <w:tcBorders>
              <w:top w:val="single" w:sz="8" w:space="0" w:color="FF0000"/>
              <w:left w:val="single" w:sz="8" w:space="0" w:color="FF0000"/>
              <w:bottom w:val="single" w:sz="8" w:space="0" w:color="FF0000"/>
              <w:right w:val="single" w:sz="8" w:space="0" w:color="FF0000"/>
            </w:tcBorders>
            <w:vAlign w:val="center"/>
          </w:tcPr>
          <w:p w14:paraId="381F36EA" w14:textId="77777777" w:rsidR="00464ADF" w:rsidRDefault="00000000">
            <w:pPr>
              <w:spacing w:beforeLines="10" w:before="31" w:afterLines="10" w:after="31" w:line="280" w:lineRule="exact"/>
              <w:rPr>
                <w:rFonts w:ascii="汉仪书宋一简" w:eastAsia="汉仪书宋一简" w:hint="eastAsia"/>
                <w:sz w:val="15"/>
                <w:szCs w:val="15"/>
              </w:rPr>
            </w:pPr>
            <w:r>
              <w:rPr>
                <w:rFonts w:ascii="汉仪书宋一简" w:eastAsia="汉仪书宋一简" w:hint="eastAsia"/>
                <w:sz w:val="15"/>
                <w:szCs w:val="15"/>
              </w:rPr>
              <w:t>当事人自行和解或自诉人撤回自诉</w:t>
            </w:r>
          </w:p>
        </w:tc>
        <w:tc>
          <w:tcPr>
            <w:tcW w:w="430" w:type="dxa"/>
            <w:vMerge w:val="restart"/>
            <w:tcBorders>
              <w:top w:val="single" w:sz="8" w:space="0" w:color="FF0000"/>
              <w:left w:val="single" w:sz="8" w:space="0" w:color="FF0000"/>
              <w:bottom w:val="single" w:sz="8" w:space="0" w:color="FF0000"/>
              <w:right w:val="single" w:sz="8" w:space="0" w:color="FF0000"/>
            </w:tcBorders>
            <w:vAlign w:val="center"/>
          </w:tcPr>
          <w:p w14:paraId="208A8F49" w14:textId="77777777" w:rsidR="00464ADF" w:rsidRDefault="00000000">
            <w:pPr>
              <w:spacing w:beforeLines="10" w:before="31" w:afterLines="10" w:after="31" w:line="280" w:lineRule="exact"/>
              <w:rPr>
                <w:rFonts w:ascii="汉仪书宋一简" w:eastAsia="汉仪书宋一简" w:hint="eastAsia"/>
                <w:sz w:val="15"/>
                <w:szCs w:val="15"/>
              </w:rPr>
            </w:pPr>
            <w:r>
              <w:rPr>
                <w:rFonts w:ascii="汉仪书宋一简" w:eastAsia="汉仪书宋一简" w:hint="eastAsia"/>
                <w:sz w:val="15"/>
                <w:szCs w:val="15"/>
              </w:rPr>
              <w:t>审查</w:t>
            </w:r>
          </w:p>
        </w:tc>
        <w:tc>
          <w:tcPr>
            <w:tcW w:w="2320" w:type="dxa"/>
            <w:tcBorders>
              <w:top w:val="single" w:sz="8" w:space="0" w:color="FF0000"/>
              <w:left w:val="single" w:sz="8" w:space="0" w:color="FF0000"/>
              <w:bottom w:val="single" w:sz="8" w:space="0" w:color="FF0000"/>
              <w:right w:val="single" w:sz="8" w:space="0" w:color="FF0000"/>
            </w:tcBorders>
            <w:vAlign w:val="center"/>
          </w:tcPr>
          <w:p w14:paraId="7EA7975E" w14:textId="77777777" w:rsidR="00464ADF" w:rsidRDefault="00000000">
            <w:pPr>
              <w:spacing w:beforeLines="10" w:before="31" w:afterLines="10" w:after="31" w:line="280" w:lineRule="exact"/>
              <w:rPr>
                <w:rFonts w:ascii="汉仪书宋一简" w:eastAsia="汉仪书宋一简" w:hint="eastAsia"/>
                <w:sz w:val="15"/>
                <w:szCs w:val="15"/>
              </w:rPr>
            </w:pPr>
            <w:r>
              <w:rPr>
                <w:rFonts w:ascii="汉仪书宋一简" w:eastAsia="汉仪书宋一简" w:hint="eastAsia"/>
                <w:sz w:val="15"/>
                <w:szCs w:val="15"/>
              </w:rPr>
              <w:t>确属自愿</w:t>
            </w:r>
          </w:p>
        </w:tc>
        <w:tc>
          <w:tcPr>
            <w:tcW w:w="817" w:type="dxa"/>
            <w:tcBorders>
              <w:top w:val="single" w:sz="8" w:space="0" w:color="FF0000"/>
              <w:left w:val="single" w:sz="8" w:space="0" w:color="FF0000"/>
              <w:bottom w:val="single" w:sz="8" w:space="0" w:color="FF0000"/>
              <w:right w:val="single" w:sz="8" w:space="0" w:color="FF0000"/>
            </w:tcBorders>
            <w:vAlign w:val="center"/>
          </w:tcPr>
          <w:p w14:paraId="7E66E5A9" w14:textId="77777777" w:rsidR="00464ADF" w:rsidRDefault="00000000">
            <w:pPr>
              <w:spacing w:beforeLines="10" w:before="31" w:afterLines="10" w:after="31" w:line="280" w:lineRule="exact"/>
              <w:rPr>
                <w:rFonts w:ascii="汉仪书宋一简" w:eastAsia="汉仪书宋一简" w:hint="eastAsia"/>
                <w:sz w:val="15"/>
                <w:szCs w:val="15"/>
              </w:rPr>
            </w:pPr>
            <w:r>
              <w:rPr>
                <w:rFonts w:ascii="汉仪书宋一简" w:eastAsia="汉仪书宋一简" w:hint="eastAsia"/>
                <w:sz w:val="15"/>
                <w:szCs w:val="15"/>
              </w:rPr>
              <w:t>裁定准许</w:t>
            </w:r>
          </w:p>
        </w:tc>
        <w:tc>
          <w:tcPr>
            <w:tcW w:w="3322" w:type="dxa"/>
            <w:tcBorders>
              <w:top w:val="single" w:sz="8" w:space="0" w:color="FF0000"/>
              <w:left w:val="single" w:sz="8" w:space="0" w:color="FF0000"/>
              <w:bottom w:val="single" w:sz="8" w:space="0" w:color="FF0000"/>
              <w:right w:val="single" w:sz="8" w:space="0" w:color="FF0000"/>
            </w:tcBorders>
            <w:vAlign w:val="center"/>
          </w:tcPr>
          <w:p w14:paraId="4C856F9E" w14:textId="77777777" w:rsidR="00464ADF" w:rsidRDefault="00000000">
            <w:pPr>
              <w:spacing w:beforeLines="10" w:before="31" w:afterLines="10" w:after="31" w:line="280" w:lineRule="exact"/>
              <w:rPr>
                <w:rFonts w:ascii="汉仪书宋一简" w:eastAsia="汉仪书宋一简" w:hint="eastAsia"/>
                <w:sz w:val="15"/>
                <w:szCs w:val="15"/>
              </w:rPr>
            </w:pPr>
            <w:r>
              <w:rPr>
                <w:rFonts w:ascii="汉仪书宋一简" w:eastAsia="汉仪书宋一简" w:hint="eastAsia"/>
                <w:sz w:val="15"/>
                <w:szCs w:val="15"/>
              </w:rPr>
              <w:t>立即解除被告人的强制措施</w:t>
            </w:r>
          </w:p>
        </w:tc>
      </w:tr>
      <w:tr w:rsidR="00464ADF" w14:paraId="043EE2A5" w14:textId="77777777">
        <w:trPr>
          <w:jc w:val="center"/>
        </w:trPr>
        <w:tc>
          <w:tcPr>
            <w:tcW w:w="1783" w:type="dxa"/>
            <w:vMerge/>
            <w:tcBorders>
              <w:top w:val="single" w:sz="8" w:space="0" w:color="FF0000"/>
              <w:left w:val="single" w:sz="8" w:space="0" w:color="FF0000"/>
              <w:bottom w:val="single" w:sz="8" w:space="0" w:color="FF0000"/>
              <w:right w:val="single" w:sz="8" w:space="0" w:color="FF0000"/>
            </w:tcBorders>
            <w:vAlign w:val="center"/>
          </w:tcPr>
          <w:p w14:paraId="4BB4AC7D" w14:textId="77777777" w:rsidR="00464ADF" w:rsidRDefault="00464ADF">
            <w:pPr>
              <w:spacing w:beforeLines="10" w:before="31" w:afterLines="10" w:after="31" w:line="280" w:lineRule="exact"/>
              <w:rPr>
                <w:rFonts w:ascii="汉仪书宋一简" w:eastAsia="汉仪书宋一简" w:hint="eastAsia"/>
                <w:sz w:val="15"/>
                <w:szCs w:val="15"/>
              </w:rPr>
            </w:pPr>
          </w:p>
        </w:tc>
        <w:tc>
          <w:tcPr>
            <w:tcW w:w="430" w:type="dxa"/>
            <w:vMerge/>
            <w:tcBorders>
              <w:top w:val="single" w:sz="8" w:space="0" w:color="FF0000"/>
              <w:left w:val="single" w:sz="8" w:space="0" w:color="FF0000"/>
              <w:bottom w:val="single" w:sz="8" w:space="0" w:color="FF0000"/>
              <w:right w:val="single" w:sz="8" w:space="0" w:color="FF0000"/>
            </w:tcBorders>
            <w:vAlign w:val="center"/>
          </w:tcPr>
          <w:p w14:paraId="6D4A0BB4" w14:textId="77777777" w:rsidR="00464ADF" w:rsidRDefault="00464ADF">
            <w:pPr>
              <w:spacing w:beforeLines="10" w:before="31" w:afterLines="10" w:after="31" w:line="280" w:lineRule="exact"/>
              <w:rPr>
                <w:rFonts w:ascii="汉仪书宋一简" w:eastAsia="汉仪书宋一简" w:hint="eastAsia"/>
                <w:sz w:val="15"/>
                <w:szCs w:val="15"/>
              </w:rPr>
            </w:pPr>
          </w:p>
        </w:tc>
        <w:tc>
          <w:tcPr>
            <w:tcW w:w="2320" w:type="dxa"/>
            <w:tcBorders>
              <w:top w:val="single" w:sz="8" w:space="0" w:color="FF0000"/>
              <w:left w:val="single" w:sz="8" w:space="0" w:color="FF0000"/>
              <w:bottom w:val="single" w:sz="8" w:space="0" w:color="FF0000"/>
              <w:right w:val="single" w:sz="8" w:space="0" w:color="FF0000"/>
            </w:tcBorders>
            <w:vAlign w:val="center"/>
          </w:tcPr>
          <w:p w14:paraId="4CAFDF7E" w14:textId="77777777" w:rsidR="00464ADF" w:rsidRDefault="00000000">
            <w:pPr>
              <w:spacing w:beforeLines="10" w:before="31" w:afterLines="10" w:after="31" w:line="280" w:lineRule="exact"/>
              <w:rPr>
                <w:rFonts w:ascii="汉仪书宋一简" w:eastAsia="汉仪书宋一简" w:hint="eastAsia"/>
                <w:sz w:val="15"/>
                <w:szCs w:val="15"/>
              </w:rPr>
            </w:pPr>
            <w:r>
              <w:rPr>
                <w:rFonts w:ascii="汉仪书宋一简" w:eastAsia="汉仪书宋一简" w:hint="eastAsia"/>
                <w:sz w:val="15"/>
                <w:szCs w:val="15"/>
              </w:rPr>
              <w:t>系被强迫、威吓等，非出于自愿</w:t>
            </w:r>
          </w:p>
        </w:tc>
        <w:tc>
          <w:tcPr>
            <w:tcW w:w="817" w:type="dxa"/>
            <w:tcBorders>
              <w:top w:val="single" w:sz="8" w:space="0" w:color="FF0000"/>
              <w:left w:val="single" w:sz="8" w:space="0" w:color="FF0000"/>
              <w:bottom w:val="single" w:sz="8" w:space="0" w:color="FF0000"/>
              <w:right w:val="single" w:sz="8" w:space="0" w:color="FF0000"/>
            </w:tcBorders>
            <w:vAlign w:val="center"/>
          </w:tcPr>
          <w:p w14:paraId="121DBC38" w14:textId="77777777" w:rsidR="00464ADF" w:rsidRDefault="00000000">
            <w:pPr>
              <w:spacing w:beforeLines="10" w:before="31" w:afterLines="10" w:after="31" w:line="280" w:lineRule="exact"/>
              <w:rPr>
                <w:rFonts w:ascii="汉仪书宋一简" w:eastAsia="汉仪书宋一简" w:hint="eastAsia"/>
                <w:sz w:val="15"/>
                <w:szCs w:val="15"/>
              </w:rPr>
            </w:pPr>
            <w:r>
              <w:rPr>
                <w:rFonts w:ascii="汉仪书宋一简" w:eastAsia="汉仪书宋一简" w:hint="eastAsia"/>
                <w:sz w:val="15"/>
                <w:szCs w:val="15"/>
              </w:rPr>
              <w:t>不予准许</w:t>
            </w:r>
          </w:p>
        </w:tc>
        <w:tc>
          <w:tcPr>
            <w:tcW w:w="3322" w:type="dxa"/>
            <w:tcBorders>
              <w:top w:val="single" w:sz="8" w:space="0" w:color="FF0000"/>
              <w:left w:val="single" w:sz="8" w:space="0" w:color="FF0000"/>
              <w:bottom w:val="single" w:sz="8" w:space="0" w:color="FF0000"/>
              <w:right w:val="single" w:sz="8" w:space="0" w:color="FF0000"/>
            </w:tcBorders>
            <w:vAlign w:val="center"/>
          </w:tcPr>
          <w:p w14:paraId="19CA62D9" w14:textId="77777777" w:rsidR="00464ADF" w:rsidRDefault="00464ADF">
            <w:pPr>
              <w:spacing w:beforeLines="10" w:before="31" w:afterLines="10" w:after="31" w:line="280" w:lineRule="exact"/>
              <w:rPr>
                <w:rFonts w:ascii="汉仪书宋一简" w:eastAsia="汉仪书宋一简" w:hint="eastAsia"/>
                <w:sz w:val="15"/>
                <w:szCs w:val="15"/>
              </w:rPr>
            </w:pPr>
          </w:p>
        </w:tc>
      </w:tr>
      <w:tr w:rsidR="00464ADF" w14:paraId="5C961081" w14:textId="77777777">
        <w:trPr>
          <w:jc w:val="center"/>
        </w:trPr>
        <w:tc>
          <w:tcPr>
            <w:tcW w:w="4533" w:type="dxa"/>
            <w:gridSpan w:val="3"/>
            <w:tcBorders>
              <w:top w:val="single" w:sz="8" w:space="0" w:color="FF0000"/>
              <w:left w:val="single" w:sz="8" w:space="0" w:color="FF0000"/>
              <w:bottom w:val="single" w:sz="8" w:space="0" w:color="FF0000"/>
              <w:right w:val="single" w:sz="8" w:space="0" w:color="FF0000"/>
            </w:tcBorders>
            <w:vAlign w:val="center"/>
          </w:tcPr>
          <w:p w14:paraId="7B89962D" w14:textId="77777777" w:rsidR="00464ADF" w:rsidRDefault="00000000">
            <w:pPr>
              <w:spacing w:beforeLines="10" w:before="31" w:afterLines="10" w:after="31" w:line="280" w:lineRule="exact"/>
              <w:rPr>
                <w:rFonts w:ascii="汉仪书宋一简" w:eastAsia="汉仪书宋一简" w:hint="eastAsia"/>
                <w:sz w:val="15"/>
                <w:szCs w:val="15"/>
              </w:rPr>
            </w:pPr>
            <w:r>
              <w:rPr>
                <w:rFonts w:ascii="汉仪书宋一简" w:eastAsia="汉仪书宋一简" w:hint="eastAsia"/>
                <w:b/>
                <w:bCs/>
                <w:color w:val="C00000"/>
                <w:sz w:val="15"/>
                <w:szCs w:val="15"/>
              </w:rPr>
              <w:t>自诉人经两次传唤</w:t>
            </w:r>
            <w:r>
              <w:rPr>
                <w:rFonts w:ascii="汉仪书宋一简" w:eastAsia="汉仪书宋一简" w:hint="eastAsia"/>
                <w:sz w:val="15"/>
                <w:szCs w:val="15"/>
              </w:rPr>
              <w:t>，无正当理由拒不到庭</w:t>
            </w:r>
          </w:p>
        </w:tc>
        <w:tc>
          <w:tcPr>
            <w:tcW w:w="817" w:type="dxa"/>
            <w:vMerge w:val="restart"/>
            <w:tcBorders>
              <w:top w:val="single" w:sz="8" w:space="0" w:color="FF0000"/>
              <w:left w:val="single" w:sz="8" w:space="0" w:color="FF0000"/>
              <w:bottom w:val="single" w:sz="8" w:space="0" w:color="FF0000"/>
              <w:right w:val="single" w:sz="8" w:space="0" w:color="FF0000"/>
            </w:tcBorders>
            <w:vAlign w:val="center"/>
          </w:tcPr>
          <w:p w14:paraId="68532C10" w14:textId="77777777" w:rsidR="00464ADF" w:rsidRDefault="00000000">
            <w:pPr>
              <w:spacing w:beforeLines="10" w:before="31" w:afterLines="10" w:after="31" w:line="280" w:lineRule="exact"/>
              <w:rPr>
                <w:rFonts w:ascii="汉仪书宋一简" w:eastAsia="汉仪书宋一简" w:hint="eastAsia"/>
                <w:sz w:val="15"/>
                <w:szCs w:val="15"/>
              </w:rPr>
            </w:pPr>
            <w:r>
              <w:rPr>
                <w:rFonts w:ascii="汉仪书宋一简" w:eastAsia="汉仪书宋一简" w:hint="eastAsia"/>
                <w:sz w:val="15"/>
                <w:szCs w:val="15"/>
              </w:rPr>
              <w:t>裁定按撤诉处理</w:t>
            </w:r>
          </w:p>
        </w:tc>
        <w:tc>
          <w:tcPr>
            <w:tcW w:w="3322" w:type="dxa"/>
            <w:vMerge w:val="restart"/>
            <w:tcBorders>
              <w:top w:val="single" w:sz="8" w:space="0" w:color="FF0000"/>
              <w:left w:val="single" w:sz="8" w:space="0" w:color="FF0000"/>
              <w:bottom w:val="single" w:sz="8" w:space="0" w:color="FF0000"/>
              <w:right w:val="single" w:sz="8" w:space="0" w:color="FF0000"/>
            </w:tcBorders>
            <w:vAlign w:val="center"/>
          </w:tcPr>
          <w:p w14:paraId="59CE5B6B" w14:textId="77777777" w:rsidR="00464ADF" w:rsidRDefault="00000000">
            <w:pPr>
              <w:spacing w:beforeLines="10" w:before="31" w:afterLines="10" w:after="31" w:line="280" w:lineRule="exact"/>
              <w:rPr>
                <w:rFonts w:ascii="汉仪书宋一简" w:eastAsia="汉仪书宋一简" w:hint="eastAsia"/>
                <w:sz w:val="15"/>
                <w:szCs w:val="15"/>
              </w:rPr>
            </w:pPr>
            <w:r>
              <w:rPr>
                <w:rFonts w:ascii="汉仪书宋一简" w:eastAsia="汉仪书宋一简" w:hint="eastAsia"/>
                <w:sz w:val="15"/>
                <w:szCs w:val="15"/>
              </w:rPr>
              <w:t>部分自诉人撤诉或者被裁定按撤诉处理的，不影响案件的继续审理</w:t>
            </w:r>
          </w:p>
        </w:tc>
      </w:tr>
      <w:tr w:rsidR="00464ADF" w14:paraId="50F8A2F1" w14:textId="77777777">
        <w:trPr>
          <w:jc w:val="center"/>
        </w:trPr>
        <w:tc>
          <w:tcPr>
            <w:tcW w:w="4533" w:type="dxa"/>
            <w:gridSpan w:val="3"/>
            <w:tcBorders>
              <w:top w:val="single" w:sz="8" w:space="0" w:color="FF0000"/>
              <w:left w:val="single" w:sz="8" w:space="0" w:color="FF0000"/>
              <w:bottom w:val="single" w:sz="8" w:space="0" w:color="FF0000"/>
              <w:right w:val="single" w:sz="8" w:space="0" w:color="FF0000"/>
            </w:tcBorders>
            <w:vAlign w:val="center"/>
          </w:tcPr>
          <w:p w14:paraId="04040FA4" w14:textId="77777777" w:rsidR="00464ADF" w:rsidRDefault="00000000">
            <w:pPr>
              <w:spacing w:beforeLines="10" w:before="31" w:afterLines="10" w:after="31" w:line="280" w:lineRule="exact"/>
              <w:rPr>
                <w:rFonts w:ascii="汉仪书宋一简" w:eastAsia="汉仪书宋一简" w:hint="eastAsia"/>
                <w:sz w:val="15"/>
                <w:szCs w:val="15"/>
              </w:rPr>
            </w:pPr>
            <w:r>
              <w:rPr>
                <w:rFonts w:ascii="汉仪书宋一简" w:eastAsia="汉仪书宋一简" w:hint="eastAsia"/>
                <w:sz w:val="15"/>
                <w:szCs w:val="15"/>
              </w:rPr>
              <w:t>未经法庭准许中途退庭</w:t>
            </w:r>
          </w:p>
        </w:tc>
        <w:tc>
          <w:tcPr>
            <w:tcW w:w="817" w:type="dxa"/>
            <w:vMerge/>
            <w:tcBorders>
              <w:top w:val="single" w:sz="8" w:space="0" w:color="FF0000"/>
              <w:left w:val="single" w:sz="8" w:space="0" w:color="FF0000"/>
              <w:bottom w:val="single" w:sz="8" w:space="0" w:color="FF0000"/>
              <w:right w:val="single" w:sz="8" w:space="0" w:color="FF0000"/>
            </w:tcBorders>
            <w:vAlign w:val="center"/>
          </w:tcPr>
          <w:p w14:paraId="2AD8B3D6" w14:textId="77777777" w:rsidR="00464ADF" w:rsidRDefault="00464ADF">
            <w:pPr>
              <w:spacing w:beforeLines="10" w:before="31" w:afterLines="10" w:after="31" w:line="280" w:lineRule="exact"/>
              <w:rPr>
                <w:rFonts w:ascii="汉仪书宋一简" w:eastAsia="汉仪书宋一简" w:hint="eastAsia"/>
                <w:sz w:val="15"/>
                <w:szCs w:val="15"/>
              </w:rPr>
            </w:pPr>
          </w:p>
        </w:tc>
        <w:tc>
          <w:tcPr>
            <w:tcW w:w="3322" w:type="dxa"/>
            <w:vMerge/>
            <w:tcBorders>
              <w:top w:val="single" w:sz="8" w:space="0" w:color="FF0000"/>
              <w:left w:val="single" w:sz="8" w:space="0" w:color="FF0000"/>
              <w:bottom w:val="single" w:sz="8" w:space="0" w:color="FF0000"/>
              <w:right w:val="single" w:sz="8" w:space="0" w:color="FF0000"/>
            </w:tcBorders>
            <w:vAlign w:val="center"/>
          </w:tcPr>
          <w:p w14:paraId="5677E77E" w14:textId="77777777" w:rsidR="00464ADF" w:rsidRDefault="00464ADF">
            <w:pPr>
              <w:spacing w:beforeLines="10" w:before="31" w:afterLines="10" w:after="31" w:line="280" w:lineRule="exact"/>
              <w:rPr>
                <w:rFonts w:ascii="汉仪书宋一简" w:eastAsia="汉仪书宋一简" w:hint="eastAsia"/>
                <w:sz w:val="15"/>
                <w:szCs w:val="15"/>
              </w:rPr>
            </w:pPr>
          </w:p>
        </w:tc>
      </w:tr>
      <w:tr w:rsidR="00464ADF" w14:paraId="5BB446CB" w14:textId="77777777">
        <w:trPr>
          <w:jc w:val="center"/>
        </w:trPr>
        <w:tc>
          <w:tcPr>
            <w:tcW w:w="4533" w:type="dxa"/>
            <w:gridSpan w:val="3"/>
            <w:tcBorders>
              <w:top w:val="single" w:sz="8" w:space="0" w:color="FF0000"/>
              <w:left w:val="single" w:sz="8" w:space="0" w:color="FF0000"/>
              <w:bottom w:val="single" w:sz="8" w:space="0" w:color="FF0000"/>
              <w:right w:val="single" w:sz="8" w:space="0" w:color="FF0000"/>
            </w:tcBorders>
            <w:vAlign w:val="center"/>
          </w:tcPr>
          <w:p w14:paraId="6D8FCD0B" w14:textId="77777777" w:rsidR="00464ADF" w:rsidRDefault="00000000">
            <w:pPr>
              <w:spacing w:beforeLines="10" w:before="31" w:afterLines="10" w:after="31" w:line="280" w:lineRule="exact"/>
              <w:rPr>
                <w:rFonts w:ascii="汉仪书宋一简" w:eastAsia="汉仪书宋一简" w:hint="eastAsia"/>
                <w:sz w:val="15"/>
                <w:szCs w:val="15"/>
              </w:rPr>
            </w:pPr>
            <w:r>
              <w:rPr>
                <w:rFonts w:ascii="汉仪书宋一简" w:eastAsia="汉仪书宋一简" w:hint="eastAsia"/>
                <w:sz w:val="15"/>
                <w:szCs w:val="15"/>
              </w:rPr>
              <w:t>被告人在自诉案件审判期间下落不明</w:t>
            </w:r>
          </w:p>
        </w:tc>
        <w:tc>
          <w:tcPr>
            <w:tcW w:w="817" w:type="dxa"/>
            <w:tcBorders>
              <w:top w:val="single" w:sz="8" w:space="0" w:color="FF0000"/>
              <w:left w:val="single" w:sz="8" w:space="0" w:color="FF0000"/>
              <w:bottom w:val="single" w:sz="8" w:space="0" w:color="FF0000"/>
              <w:right w:val="single" w:sz="8" w:space="0" w:color="FF0000"/>
            </w:tcBorders>
            <w:vAlign w:val="center"/>
          </w:tcPr>
          <w:p w14:paraId="40BA0280" w14:textId="77777777" w:rsidR="00464ADF" w:rsidRDefault="00000000">
            <w:pPr>
              <w:spacing w:beforeLines="10" w:before="31" w:afterLines="10" w:after="31" w:line="280" w:lineRule="exact"/>
              <w:rPr>
                <w:rFonts w:ascii="汉仪书宋一简" w:eastAsia="汉仪书宋一简" w:hint="eastAsia"/>
                <w:sz w:val="15"/>
                <w:szCs w:val="15"/>
              </w:rPr>
            </w:pPr>
            <w:r>
              <w:rPr>
                <w:rFonts w:ascii="汉仪书宋一简" w:eastAsia="汉仪书宋一简" w:hint="eastAsia"/>
                <w:sz w:val="15"/>
                <w:szCs w:val="15"/>
              </w:rPr>
              <w:t>可以裁定中止审理</w:t>
            </w:r>
          </w:p>
        </w:tc>
        <w:tc>
          <w:tcPr>
            <w:tcW w:w="3322" w:type="dxa"/>
            <w:tcBorders>
              <w:top w:val="single" w:sz="8" w:space="0" w:color="FF0000"/>
              <w:left w:val="single" w:sz="8" w:space="0" w:color="FF0000"/>
              <w:bottom w:val="single" w:sz="8" w:space="0" w:color="FF0000"/>
              <w:right w:val="single" w:sz="8" w:space="0" w:color="FF0000"/>
            </w:tcBorders>
            <w:vAlign w:val="center"/>
          </w:tcPr>
          <w:p w14:paraId="3AFECABB" w14:textId="77777777" w:rsidR="00464ADF" w:rsidRDefault="00000000">
            <w:pPr>
              <w:spacing w:beforeLines="10" w:before="31" w:afterLines="10" w:after="31" w:line="280" w:lineRule="exact"/>
              <w:rPr>
                <w:rFonts w:ascii="汉仪书宋一简" w:eastAsia="汉仪书宋一简" w:hint="eastAsia"/>
                <w:sz w:val="15"/>
                <w:szCs w:val="15"/>
              </w:rPr>
            </w:pPr>
            <w:r>
              <w:rPr>
                <w:rFonts w:ascii="汉仪书宋一简" w:eastAsia="汉仪书宋一简" w:hint="eastAsia"/>
                <w:sz w:val="15"/>
                <w:szCs w:val="15"/>
              </w:rPr>
              <w:t>符合条件的，可以对被告人依法决定逮捕</w:t>
            </w:r>
          </w:p>
        </w:tc>
      </w:tr>
      <w:tr w:rsidR="00464ADF" w14:paraId="6CCD0911" w14:textId="77777777">
        <w:trPr>
          <w:jc w:val="center"/>
        </w:trPr>
        <w:tc>
          <w:tcPr>
            <w:tcW w:w="4533" w:type="dxa"/>
            <w:gridSpan w:val="3"/>
            <w:tcBorders>
              <w:top w:val="single" w:sz="8" w:space="0" w:color="FF0000"/>
              <w:left w:val="single" w:sz="8" w:space="0" w:color="FF0000"/>
              <w:bottom w:val="single" w:sz="8" w:space="0" w:color="FF0000"/>
              <w:right w:val="single" w:sz="8" w:space="0" w:color="FF0000"/>
            </w:tcBorders>
            <w:vAlign w:val="center"/>
          </w:tcPr>
          <w:p w14:paraId="2E0CB1F0" w14:textId="77777777" w:rsidR="00464ADF" w:rsidRDefault="00000000">
            <w:pPr>
              <w:spacing w:beforeLines="10" w:before="31" w:afterLines="10" w:after="31" w:line="280" w:lineRule="exact"/>
              <w:rPr>
                <w:rFonts w:ascii="汉仪书宋一简" w:eastAsia="汉仪书宋一简" w:hint="eastAsia"/>
                <w:sz w:val="15"/>
                <w:szCs w:val="15"/>
              </w:rPr>
            </w:pPr>
            <w:r>
              <w:rPr>
                <w:rFonts w:ascii="汉仪书宋一简" w:eastAsia="汉仪书宋一简" w:hint="eastAsia"/>
                <w:sz w:val="15"/>
                <w:szCs w:val="15"/>
              </w:rPr>
              <w:t>合议庭对证据有疑问</w:t>
            </w:r>
          </w:p>
        </w:tc>
        <w:tc>
          <w:tcPr>
            <w:tcW w:w="817" w:type="dxa"/>
            <w:tcBorders>
              <w:top w:val="single" w:sz="8" w:space="0" w:color="FF0000"/>
              <w:left w:val="single" w:sz="8" w:space="0" w:color="FF0000"/>
              <w:bottom w:val="single" w:sz="8" w:space="0" w:color="FF0000"/>
              <w:right w:val="single" w:sz="8" w:space="0" w:color="FF0000"/>
            </w:tcBorders>
            <w:vAlign w:val="center"/>
          </w:tcPr>
          <w:p w14:paraId="38131603" w14:textId="77777777" w:rsidR="00464ADF" w:rsidRDefault="00000000">
            <w:pPr>
              <w:spacing w:beforeLines="10" w:before="31" w:afterLines="10" w:after="31" w:line="280" w:lineRule="exact"/>
              <w:rPr>
                <w:rFonts w:ascii="汉仪书宋一简" w:eastAsia="汉仪书宋一简" w:hint="eastAsia"/>
                <w:sz w:val="15"/>
                <w:szCs w:val="15"/>
              </w:rPr>
            </w:pPr>
            <w:r>
              <w:rPr>
                <w:rFonts w:ascii="汉仪书宋一简" w:eastAsia="汉仪书宋一简" w:hint="eastAsia"/>
                <w:sz w:val="15"/>
                <w:szCs w:val="15"/>
              </w:rPr>
              <w:t>宣布休庭</w:t>
            </w:r>
          </w:p>
        </w:tc>
        <w:tc>
          <w:tcPr>
            <w:tcW w:w="3322" w:type="dxa"/>
            <w:tcBorders>
              <w:top w:val="single" w:sz="8" w:space="0" w:color="FF0000"/>
              <w:left w:val="single" w:sz="8" w:space="0" w:color="FF0000"/>
              <w:bottom w:val="single" w:sz="8" w:space="0" w:color="FF0000"/>
              <w:right w:val="single" w:sz="8" w:space="0" w:color="FF0000"/>
            </w:tcBorders>
            <w:vAlign w:val="center"/>
          </w:tcPr>
          <w:p w14:paraId="4F40320D" w14:textId="77777777" w:rsidR="00464ADF" w:rsidRDefault="00000000">
            <w:pPr>
              <w:spacing w:beforeLines="10" w:before="31" w:afterLines="10" w:after="31" w:line="280" w:lineRule="exact"/>
              <w:rPr>
                <w:rFonts w:ascii="汉仪书宋一简" w:eastAsia="汉仪书宋一简" w:hint="eastAsia"/>
                <w:sz w:val="15"/>
                <w:szCs w:val="15"/>
              </w:rPr>
            </w:pPr>
            <w:r>
              <w:rPr>
                <w:rFonts w:ascii="汉仪书宋一简" w:eastAsia="汉仪书宋一简" w:hint="eastAsia"/>
                <w:sz w:val="15"/>
                <w:szCs w:val="15"/>
              </w:rPr>
              <w:t>对证据进行调查核实</w:t>
            </w:r>
          </w:p>
        </w:tc>
      </w:tr>
    </w:tbl>
    <w:p w14:paraId="10E1C40B" w14:textId="77777777" w:rsidR="00464ADF" w:rsidRDefault="00000000">
      <w:pPr>
        <w:ind w:firstLine="420"/>
        <w:rPr>
          <w:rFonts w:ascii="宋体" w:eastAsia="宋体" w:hAnsi="宋体" w:cs="Times New Roman" w:hint="eastAsia"/>
          <w:bCs/>
          <w:kern w:val="44"/>
          <w:sz w:val="18"/>
          <w:szCs w:val="18"/>
        </w:rPr>
      </w:pPr>
      <w:r>
        <w:rPr>
          <w:rFonts w:ascii="宋体" w:eastAsia="宋体" w:hAnsi="宋体" w:cs="Times New Roman" w:hint="eastAsia"/>
          <w:bCs/>
          <w:kern w:val="44"/>
          <w:sz w:val="18"/>
          <w:szCs w:val="18"/>
        </w:rPr>
        <w:t>（三）调解：</w:t>
      </w:r>
      <w:r>
        <w:rPr>
          <w:rFonts w:ascii="宋体" w:eastAsia="宋体" w:hAnsi="宋体" w:cs="Times New Roman" w:hint="eastAsia"/>
          <w:bCs/>
          <w:color w:val="C00000"/>
          <w:kern w:val="44"/>
          <w:sz w:val="18"/>
          <w:szCs w:val="18"/>
        </w:rPr>
        <w:t>公诉转自诉的案件不适用调解</w:t>
      </w:r>
      <w:r>
        <w:rPr>
          <w:rFonts w:ascii="宋体" w:eastAsia="宋体" w:hAnsi="宋体" w:cs="Times New Roman" w:hint="eastAsia"/>
          <w:bCs/>
          <w:kern w:val="44"/>
          <w:sz w:val="18"/>
          <w:szCs w:val="18"/>
        </w:rPr>
        <w:t>。</w:t>
      </w:r>
    </w:p>
    <w:p w14:paraId="402A9F01" w14:textId="77777777" w:rsidR="00464ADF" w:rsidRDefault="00000000">
      <w:pPr>
        <w:ind w:firstLine="420"/>
        <w:rPr>
          <w:rFonts w:ascii="宋体" w:eastAsia="宋体" w:hAnsi="宋体" w:cs="Times New Roman" w:hint="eastAsia"/>
          <w:bCs/>
          <w:kern w:val="44"/>
          <w:sz w:val="18"/>
          <w:szCs w:val="18"/>
        </w:rPr>
      </w:pPr>
      <w:r>
        <w:rPr>
          <w:rFonts w:ascii="宋体" w:eastAsia="宋体" w:hAnsi="宋体" w:cs="Times New Roman" w:hint="eastAsia"/>
          <w:bCs/>
          <w:kern w:val="44"/>
          <w:sz w:val="18"/>
          <w:szCs w:val="18"/>
        </w:rPr>
        <w:t>达成协议的，制作刑事调解书，当事人</w:t>
      </w:r>
      <w:r>
        <w:rPr>
          <w:rFonts w:ascii="宋体" w:eastAsia="宋体" w:hAnsi="宋体" w:cs="Times New Roman" w:hint="eastAsia"/>
          <w:b/>
          <w:color w:val="C00000"/>
          <w:kern w:val="44"/>
          <w:sz w:val="18"/>
          <w:szCs w:val="18"/>
        </w:rPr>
        <w:t>签收后，即具有法律效力</w:t>
      </w:r>
      <w:r>
        <w:rPr>
          <w:rFonts w:ascii="宋体" w:eastAsia="宋体" w:hAnsi="宋体" w:cs="Times New Roman" w:hint="eastAsia"/>
          <w:bCs/>
          <w:kern w:val="44"/>
          <w:sz w:val="18"/>
          <w:szCs w:val="18"/>
        </w:rPr>
        <w:t>。没有达成协议或签收前当事人反悔，及时作出判决。</w:t>
      </w:r>
    </w:p>
    <w:p w14:paraId="3E22CE5E" w14:textId="77777777" w:rsidR="00464ADF" w:rsidRDefault="00000000">
      <w:pPr>
        <w:ind w:firstLine="420"/>
        <w:rPr>
          <w:rFonts w:ascii="宋体" w:eastAsia="宋体" w:hAnsi="宋体" w:cs="Times New Roman" w:hint="eastAsia"/>
          <w:bCs/>
          <w:kern w:val="44"/>
          <w:sz w:val="18"/>
          <w:szCs w:val="18"/>
        </w:rPr>
      </w:pPr>
      <w:r>
        <w:rPr>
          <w:rFonts w:ascii="宋体" w:eastAsia="宋体" w:hAnsi="宋体" w:cs="Times New Roman" w:hint="eastAsia"/>
          <w:bCs/>
          <w:kern w:val="44"/>
          <w:sz w:val="18"/>
          <w:szCs w:val="18"/>
        </w:rPr>
        <w:t>（四）反诉（</w:t>
      </w:r>
      <w:r>
        <w:rPr>
          <w:rFonts w:ascii="宋体" w:eastAsia="宋体" w:hAnsi="宋体" w:cs="Times New Roman" w:hint="eastAsia"/>
          <w:b/>
          <w:color w:val="0070C0"/>
          <w:kern w:val="44"/>
          <w:sz w:val="18"/>
          <w:szCs w:val="18"/>
        </w:rPr>
        <w:t>注意与附带民事诉讼的反诉进行区别</w:t>
      </w:r>
      <w:r>
        <w:rPr>
          <w:rFonts w:ascii="宋体" w:eastAsia="宋体" w:hAnsi="宋体" w:cs="Times New Roman" w:hint="eastAsia"/>
          <w:bCs/>
          <w:kern w:val="44"/>
          <w:sz w:val="18"/>
          <w:szCs w:val="18"/>
        </w:rPr>
        <w:t>）的条件：反诉的对象必须是本案自诉人；反诉的内容必须是与本案有关的行为；反诉的案件必须是告诉才处理的案件或被害人有证据证明的轻微刑事案件。</w:t>
      </w:r>
    </w:p>
    <w:p w14:paraId="5853C04B" w14:textId="77777777" w:rsidR="00464ADF" w:rsidRDefault="00000000">
      <w:pPr>
        <w:ind w:firstLine="420"/>
        <w:rPr>
          <w:rFonts w:ascii="宋体" w:eastAsia="宋体" w:hAnsi="宋体" w:cs="Times New Roman" w:hint="eastAsia"/>
          <w:bCs/>
          <w:kern w:val="44"/>
          <w:sz w:val="18"/>
          <w:szCs w:val="18"/>
        </w:rPr>
      </w:pPr>
      <w:r>
        <w:rPr>
          <w:rFonts w:ascii="宋体" w:eastAsia="宋体" w:hAnsi="宋体" w:cs="Times New Roman"/>
          <w:bCs/>
          <w:kern w:val="44"/>
          <w:sz w:val="18"/>
          <w:szCs w:val="18"/>
        </w:rPr>
        <w:t>与自诉案件一并审理</w:t>
      </w:r>
      <w:r>
        <w:rPr>
          <w:rFonts w:ascii="宋体" w:eastAsia="宋体" w:hAnsi="宋体" w:cs="Times New Roman" w:hint="eastAsia"/>
          <w:bCs/>
          <w:kern w:val="44"/>
          <w:sz w:val="18"/>
          <w:szCs w:val="18"/>
        </w:rPr>
        <w:t>；自诉人撤诉的，不影响反诉案件的继续审理。</w:t>
      </w:r>
    </w:p>
    <w:p w14:paraId="2004D66A" w14:textId="3F364847" w:rsidR="00464ADF" w:rsidRDefault="00000000">
      <w:pPr>
        <w:pStyle w:val="1"/>
        <w:tabs>
          <w:tab w:val="left" w:pos="420"/>
        </w:tabs>
        <w:spacing w:before="0" w:after="0" w:line="240" w:lineRule="auto"/>
        <w:jc w:val="center"/>
        <w:rPr>
          <w:rFonts w:ascii="宋体" w:hAnsi="宋体" w:cs="宋体" w:hint="eastAsia"/>
          <w:bCs w:val="0"/>
          <w:sz w:val="18"/>
          <w:szCs w:val="18"/>
        </w:rPr>
      </w:pPr>
      <w:r>
        <w:rPr>
          <w:rFonts w:ascii="宋体" w:hAnsi="宋体" w:hint="eastAsia"/>
          <w:bCs w:val="0"/>
          <w:sz w:val="18"/>
          <w:szCs w:val="18"/>
        </w:rPr>
        <w:t>考点5</w:t>
      </w:r>
      <w:r>
        <w:rPr>
          <w:rFonts w:ascii="宋体" w:hAnsi="宋体"/>
          <w:bCs w:val="0"/>
          <w:sz w:val="18"/>
          <w:szCs w:val="18"/>
        </w:rPr>
        <w:t xml:space="preserve">1  </w:t>
      </w:r>
      <w:r>
        <w:rPr>
          <w:rFonts w:ascii="宋体" w:hAnsi="宋体" w:hint="eastAsia"/>
          <w:bCs w:val="0"/>
          <w:sz w:val="18"/>
          <w:szCs w:val="18"/>
        </w:rPr>
        <w:t>简易程序</w:t>
      </w:r>
      <w:bookmarkEnd w:id="5"/>
      <w:bookmarkEnd w:id="6"/>
      <w:bookmarkEnd w:id="7"/>
      <w:r w:rsidR="00E64FF0">
        <w:rPr>
          <w:rFonts w:ascii="宋体" w:hAnsi="宋体" w:cs="宋体" w:hint="eastAsia"/>
          <w:bCs w:val="0"/>
          <w:sz w:val="18"/>
          <w:szCs w:val="18"/>
        </w:rPr>
        <w:t>（</w:t>
      </w:r>
      <w:r w:rsidR="002C2BDB">
        <w:rPr>
          <w:rFonts w:ascii="宋体" w:hAnsi="宋体" w:cs="宋体" w:hint="eastAsia"/>
          <w:bCs w:val="0"/>
          <w:sz w:val="18"/>
          <w:szCs w:val="18"/>
        </w:rPr>
        <w:t>10</w:t>
      </w:r>
      <w:r w:rsidR="00E64FF0">
        <w:rPr>
          <w:rFonts w:ascii="宋体" w:hAnsi="宋体" w:cs="宋体" w:hint="eastAsia"/>
          <w:bCs w:val="0"/>
          <w:sz w:val="18"/>
          <w:szCs w:val="18"/>
        </w:rPr>
        <w:t>:</w:t>
      </w:r>
      <w:r w:rsidR="002C2BDB">
        <w:rPr>
          <w:rFonts w:ascii="宋体" w:hAnsi="宋体" w:cs="宋体" w:hint="eastAsia"/>
          <w:bCs w:val="0"/>
          <w:sz w:val="18"/>
          <w:szCs w:val="18"/>
        </w:rPr>
        <w:t>29</w:t>
      </w:r>
      <w:r w:rsidR="00E64FF0">
        <w:rPr>
          <w:rFonts w:ascii="宋体" w:hAnsi="宋体" w:cs="宋体" w:hint="eastAsia"/>
          <w:bCs w:val="0"/>
          <w:sz w:val="18"/>
          <w:szCs w:val="18"/>
        </w:rPr>
        <w:t>:00-</w:t>
      </w:r>
      <w:r w:rsidR="006A6316">
        <w:rPr>
          <w:rFonts w:ascii="宋体" w:hAnsi="宋体" w:cs="宋体" w:hint="eastAsia"/>
          <w:bCs w:val="0"/>
          <w:sz w:val="18"/>
          <w:szCs w:val="18"/>
        </w:rPr>
        <w:t>10</w:t>
      </w:r>
      <w:r w:rsidR="00E64FF0">
        <w:rPr>
          <w:rFonts w:ascii="宋体" w:hAnsi="宋体" w:cs="宋体" w:hint="eastAsia"/>
          <w:bCs w:val="0"/>
          <w:sz w:val="18"/>
          <w:szCs w:val="18"/>
        </w:rPr>
        <w:t>:</w:t>
      </w:r>
      <w:r w:rsidR="006A6316">
        <w:rPr>
          <w:rFonts w:ascii="宋体" w:hAnsi="宋体" w:cs="宋体" w:hint="eastAsia"/>
          <w:bCs w:val="0"/>
          <w:sz w:val="18"/>
          <w:szCs w:val="18"/>
        </w:rPr>
        <w:t>36</w:t>
      </w:r>
      <w:r w:rsidR="00E64FF0">
        <w:rPr>
          <w:rFonts w:ascii="宋体" w:hAnsi="宋体" w:cs="宋体" w:hint="eastAsia"/>
          <w:bCs w:val="0"/>
          <w:sz w:val="18"/>
          <w:szCs w:val="18"/>
        </w:rPr>
        <w:t>:00）</w:t>
      </w:r>
      <w:r>
        <w:rPr>
          <w:rFonts w:ascii="宋体" w:hAnsi="宋体" w:cs="宋体" w:hint="eastAsia"/>
          <w:bCs w:val="0"/>
          <w:sz w:val="18"/>
          <w:szCs w:val="18"/>
        </w:rPr>
        <w:t>（</w:t>
      </w:r>
      <w:r>
        <w:rPr>
          <w:rFonts w:ascii="宋体" w:hAnsi="宋体" w:cs="宋体" w:hint="eastAsia"/>
          <w:bCs w:val="0"/>
          <w:color w:val="0070C0"/>
          <w:sz w:val="18"/>
          <w:szCs w:val="18"/>
        </w:rPr>
        <w:t>与速裁程序形成对比记忆</w:t>
      </w:r>
      <w:r>
        <w:rPr>
          <w:rFonts w:ascii="宋体" w:hAnsi="宋体" w:cs="宋体"/>
          <w:bCs w:val="0"/>
          <w:sz w:val="18"/>
          <w:szCs w:val="18"/>
        </w:rPr>
        <w:t>）</w:t>
      </w:r>
    </w:p>
    <w:p w14:paraId="74A259D3" w14:textId="77777777" w:rsidR="00464ADF" w:rsidRDefault="00000000">
      <w:pPr>
        <w:pStyle w:val="3"/>
        <w:spacing w:line="240" w:lineRule="auto"/>
        <w:ind w:left="3" w:firstLineChars="200" w:firstLine="360"/>
        <w:rPr>
          <w:rFonts w:eastAsia="宋体" w:hint="eastAsia"/>
          <w:color w:val="C00000"/>
          <w:sz w:val="18"/>
          <w:szCs w:val="18"/>
        </w:rPr>
      </w:pPr>
      <w:r>
        <w:rPr>
          <w:rFonts w:eastAsia="宋体"/>
          <w:color w:val="auto"/>
          <w:sz w:val="18"/>
          <w:szCs w:val="18"/>
        </w:rPr>
        <w:t>一、</w:t>
      </w:r>
      <w:r>
        <w:rPr>
          <w:rFonts w:eastAsia="宋体" w:hint="eastAsia"/>
          <w:sz w:val="18"/>
          <w:szCs w:val="18"/>
        </w:rPr>
        <w:t>简易程序的适用范围</w:t>
      </w:r>
      <w:r>
        <w:rPr>
          <w:rFonts w:eastAsia="宋体" w:hint="eastAsia"/>
          <w:b/>
          <w:bCs/>
          <w:color w:val="0070C0"/>
          <w:sz w:val="18"/>
          <w:szCs w:val="18"/>
        </w:rPr>
        <w:t>（注意与级别管辖问题的结合考察）</w:t>
      </w:r>
    </w:p>
    <w:p w14:paraId="135CF222" w14:textId="77777777" w:rsidR="00464ADF" w:rsidRDefault="00000000">
      <w:pPr>
        <w:ind w:firstLineChars="200" w:firstLine="360"/>
        <w:rPr>
          <w:rFonts w:ascii="宋体" w:eastAsia="宋体" w:hAnsi="宋体" w:hint="eastAsia"/>
          <w:sz w:val="18"/>
          <w:szCs w:val="18"/>
        </w:rPr>
      </w:pPr>
      <w:r>
        <w:rPr>
          <w:rFonts w:ascii="宋体" w:eastAsia="宋体" w:hAnsi="宋体" w:cs="仿宋_GB2312" w:hint="eastAsia"/>
          <w:sz w:val="18"/>
          <w:szCs w:val="18"/>
        </w:rPr>
        <w:t>有下列情形之一的，</w:t>
      </w:r>
      <w:r>
        <w:rPr>
          <w:rFonts w:ascii="宋体" w:eastAsia="宋体" w:hAnsi="宋体" w:cs="仿宋_GB2312" w:hint="eastAsia"/>
          <w:color w:val="C00000"/>
          <w:sz w:val="18"/>
          <w:szCs w:val="18"/>
        </w:rPr>
        <w:t>不适用简易程序</w:t>
      </w:r>
      <w:r>
        <w:rPr>
          <w:rFonts w:ascii="宋体" w:eastAsia="宋体" w:hAnsi="宋体" w:cs="仿宋_GB2312" w:hint="eastAsia"/>
          <w:sz w:val="18"/>
          <w:szCs w:val="18"/>
        </w:rPr>
        <w:t>：（1）被告人是盲、聋、哑人，或者是尚未完全丧失辨认或者控制自己行为能力的精神病人的；（2）有重大社会影响的；（3）</w:t>
      </w:r>
      <w:r>
        <w:rPr>
          <w:rFonts w:ascii="宋体" w:eastAsia="宋体" w:hAnsi="宋体" w:cs="仿宋_GB2312" w:hint="eastAsia"/>
          <w:color w:val="C00000"/>
          <w:sz w:val="18"/>
          <w:szCs w:val="18"/>
        </w:rPr>
        <w:t>共同犯罪案件中部分被告人不认罪或者对适用简易程序有异议的</w:t>
      </w:r>
      <w:r>
        <w:rPr>
          <w:rFonts w:ascii="宋体" w:eastAsia="宋体" w:hAnsi="宋体" w:cs="仿宋_GB2312" w:hint="eastAsia"/>
          <w:sz w:val="18"/>
          <w:szCs w:val="18"/>
        </w:rPr>
        <w:t>（4）</w:t>
      </w:r>
      <w:r>
        <w:rPr>
          <w:rFonts w:ascii="宋体" w:eastAsia="宋体" w:hAnsi="宋体" w:hint="eastAsia"/>
          <w:sz w:val="18"/>
          <w:szCs w:val="18"/>
        </w:rPr>
        <w:t>辩护人作无罪辩护的（5）被告人认罪但经审查认为可能不构成犯罪的。</w:t>
      </w:r>
    </w:p>
    <w:p w14:paraId="6FC1CD34" w14:textId="77777777" w:rsidR="00464ADF" w:rsidRDefault="00000000">
      <w:pPr>
        <w:ind w:firstLineChars="200" w:firstLine="361"/>
        <w:rPr>
          <w:rFonts w:ascii="宋体" w:eastAsia="宋体" w:hAnsi="宋体" w:hint="eastAsia"/>
          <w:b/>
          <w:bCs/>
          <w:color w:val="0070C0"/>
          <w:sz w:val="18"/>
          <w:szCs w:val="18"/>
        </w:rPr>
      </w:pPr>
      <w:r>
        <w:rPr>
          <w:rFonts w:ascii="宋体" w:eastAsia="宋体" w:hAnsi="宋体" w:hint="eastAsia"/>
          <w:b/>
          <w:bCs/>
          <w:color w:val="0070C0"/>
          <w:sz w:val="18"/>
          <w:szCs w:val="18"/>
        </w:rPr>
        <w:t>未成年被告人在满足特定条件时可以适用简易程序，但绝不会适用速裁程序。</w:t>
      </w:r>
    </w:p>
    <w:p w14:paraId="78EA2F56"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二、审判组织形式的简化</w:t>
      </w:r>
    </w:p>
    <w:p w14:paraId="4B26E25D"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可能判处</w:t>
      </w:r>
      <w:r>
        <w:rPr>
          <w:rFonts w:ascii="宋体" w:eastAsia="宋体" w:hAnsi="宋体" w:hint="eastAsia"/>
          <w:color w:val="C00000"/>
          <w:sz w:val="18"/>
          <w:szCs w:val="18"/>
        </w:rPr>
        <w:t>三年有期徒刑以下</w:t>
      </w:r>
      <w:r>
        <w:rPr>
          <w:rFonts w:ascii="宋体" w:eastAsia="宋体" w:hAnsi="宋体" w:hint="eastAsia"/>
          <w:sz w:val="18"/>
          <w:szCs w:val="18"/>
        </w:rPr>
        <w:t>刑罚的——合议庭/独任审判；超过三年的——合议庭</w:t>
      </w:r>
    </w:p>
    <w:p w14:paraId="2DC6E7D2" w14:textId="77777777" w:rsidR="00464ADF" w:rsidRDefault="00000000">
      <w:pPr>
        <w:pStyle w:val="3"/>
        <w:spacing w:line="240" w:lineRule="auto"/>
        <w:ind w:firstLineChars="200" w:firstLine="360"/>
        <w:rPr>
          <w:rFonts w:eastAsia="宋体" w:hint="eastAsia"/>
          <w:b/>
          <w:sz w:val="18"/>
          <w:szCs w:val="18"/>
        </w:rPr>
      </w:pPr>
      <w:bookmarkStart w:id="33" w:name="_Toc510879126"/>
      <w:r>
        <w:rPr>
          <w:rFonts w:eastAsia="宋体" w:hint="eastAsia"/>
          <w:sz w:val="18"/>
          <w:szCs w:val="18"/>
        </w:rPr>
        <w:t>三、程序的简化</w:t>
      </w:r>
      <w:bookmarkEnd w:id="33"/>
    </w:p>
    <w:p w14:paraId="42B83B8E" w14:textId="77777777" w:rsidR="00464ADF" w:rsidRDefault="00000000">
      <w:pPr>
        <w:pStyle w:val="4"/>
        <w:tabs>
          <w:tab w:val="left" w:pos="420"/>
        </w:tabs>
        <w:spacing w:before="0" w:after="0" w:line="240" w:lineRule="auto"/>
        <w:ind w:firstLineChars="200" w:firstLine="360"/>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（一）程序的启动：</w:t>
      </w:r>
      <w:r>
        <w:rPr>
          <w:rFonts w:ascii="宋体" w:eastAsia="宋体" w:hAnsi="宋体" w:hint="eastAsia"/>
          <w:bCs w:val="0"/>
          <w:color w:val="000000" w:themeColor="text1"/>
          <w:sz w:val="18"/>
          <w:szCs w:val="18"/>
        </w:rPr>
        <w:t>1.法院</w:t>
      </w:r>
      <w:r>
        <w:rPr>
          <w:rFonts w:ascii="宋体" w:eastAsia="宋体" w:hAnsi="宋体" w:hint="eastAsia"/>
          <w:bCs w:val="0"/>
          <w:color w:val="0070C0"/>
          <w:sz w:val="18"/>
          <w:szCs w:val="18"/>
        </w:rPr>
        <w:t>（可以主动适用）</w:t>
      </w:r>
      <w:r>
        <w:rPr>
          <w:rFonts w:ascii="宋体" w:eastAsia="宋体" w:hAnsi="宋体" w:hint="eastAsia"/>
          <w:bCs w:val="0"/>
          <w:color w:val="000000" w:themeColor="text1"/>
          <w:sz w:val="18"/>
          <w:szCs w:val="18"/>
        </w:rPr>
        <w:t>：</w:t>
      </w:r>
      <w:r>
        <w:rPr>
          <w:rFonts w:ascii="宋体" w:eastAsia="宋体" w:hAnsi="宋体" w:hint="eastAsia"/>
          <w:b w:val="0"/>
          <w:color w:val="000000" w:themeColor="text1"/>
          <w:sz w:val="18"/>
          <w:szCs w:val="18"/>
        </w:rPr>
        <w:t>受理公诉案件后，经审查认为案件事实清楚、证据充分的，在将起诉书副本送达被告人时，</w:t>
      </w:r>
      <w:r>
        <w:rPr>
          <w:rFonts w:ascii="宋体" w:eastAsia="宋体" w:hAnsi="宋体" w:hint="eastAsia"/>
          <w:b w:val="0"/>
          <w:color w:val="FF0000"/>
          <w:sz w:val="18"/>
          <w:szCs w:val="18"/>
        </w:rPr>
        <w:t>应当询问被告人对指控的犯罪事实的意见，告知其适用简易程序的法律规定。被告人对指控的犯罪事实没有异议并同意适用简易程序的，可以决定适用简易程序，并在开庭前通知人民检察院和辩护人。</w:t>
      </w:r>
      <w:r>
        <w:rPr>
          <w:rFonts w:ascii="宋体" w:eastAsia="宋体" w:hAnsi="宋体" w:hint="eastAsia"/>
          <w:bCs w:val="0"/>
          <w:color w:val="000000" w:themeColor="text1"/>
          <w:sz w:val="18"/>
          <w:szCs w:val="18"/>
        </w:rPr>
        <w:t>2.人民检察院建议或者被告人及其辩护人申请适用</w:t>
      </w:r>
      <w:r>
        <w:rPr>
          <w:rFonts w:ascii="宋体" w:eastAsia="宋体" w:hAnsi="宋体" w:hint="eastAsia"/>
          <w:b w:val="0"/>
          <w:color w:val="000000" w:themeColor="text1"/>
          <w:sz w:val="18"/>
          <w:szCs w:val="18"/>
        </w:rPr>
        <w:t>简易程序：提出申请后，法院经审查，可以决定适用并告知；不符合简易程序适用条件的，应当通知人民检察院或者被告人及其辩护人。</w:t>
      </w:r>
    </w:p>
    <w:p w14:paraId="22E08FE7" w14:textId="78323111" w:rsidR="00F66B9D" w:rsidRPr="00F66B9D" w:rsidRDefault="00F66B9D" w:rsidP="00F66B9D">
      <w:pPr>
        <w:pStyle w:val="msolistparagraph0"/>
        <w:ind w:firstLine="360"/>
        <w:rPr>
          <w:sz w:val="18"/>
          <w:szCs w:val="18"/>
        </w:rPr>
      </w:pPr>
      <w:r w:rsidRPr="00F66B9D">
        <w:rPr>
          <w:rStyle w:val="aff3"/>
          <w:sz w:val="18"/>
          <w:szCs w:val="18"/>
        </w:rPr>
        <w:t>（二）庭审程序的简化：证据调查环节，控辩双方无异议，可仅就证据名称及证明事项作出说明。对与定罪量刑有关的事实、证据没有异议，法庭审理可以直接围绕罪名确定和量刑问题进行。（简易程序可能会有法庭辩论）</w:t>
      </w:r>
    </w:p>
    <w:p w14:paraId="72763914" w14:textId="77777777" w:rsidR="00464ADF" w:rsidRDefault="00000000">
      <w:pPr>
        <w:pStyle w:val="4"/>
        <w:tabs>
          <w:tab w:val="left" w:pos="420"/>
        </w:tabs>
        <w:spacing w:before="0" w:after="0" w:line="240" w:lineRule="auto"/>
        <w:ind w:firstLineChars="200" w:firstLine="360"/>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（三）一般应当当庭宣判：</w:t>
      </w:r>
      <w:r>
        <w:rPr>
          <w:rFonts w:ascii="宋体" w:eastAsia="宋体" w:hAnsi="宋体" w:hint="eastAsia"/>
          <w:sz w:val="18"/>
          <w:szCs w:val="18"/>
        </w:rPr>
        <w:t>裁判文书可以简化，</w:t>
      </w:r>
      <w:r>
        <w:rPr>
          <w:rFonts w:ascii="宋体" w:eastAsia="宋体" w:hAnsi="宋体" w:hint="eastAsia"/>
          <w:color w:val="B00824"/>
          <w:sz w:val="18"/>
          <w:szCs w:val="18"/>
        </w:rPr>
        <w:t>一般应当当庭宣判。</w:t>
      </w:r>
      <w:bookmarkStart w:id="34" w:name="_Toc510879127"/>
      <w:r>
        <w:rPr>
          <w:rFonts w:ascii="宋体" w:eastAsia="宋体" w:hAnsi="宋体" w:hint="eastAsia"/>
          <w:color w:val="0070C0"/>
          <w:sz w:val="18"/>
          <w:szCs w:val="18"/>
        </w:rPr>
        <w:t>（速裁程序，应当当庭宣判）</w:t>
      </w:r>
    </w:p>
    <w:p w14:paraId="3C78A0FD"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四、简易程序中</w:t>
      </w:r>
      <w:r>
        <w:rPr>
          <w:rFonts w:ascii="宋体" w:eastAsia="宋体" w:hAnsi="宋体" w:hint="eastAsia"/>
          <w:color w:val="C00000"/>
          <w:sz w:val="18"/>
          <w:szCs w:val="18"/>
        </w:rPr>
        <w:t>不能简化</w:t>
      </w:r>
      <w:r>
        <w:rPr>
          <w:rFonts w:ascii="宋体" w:eastAsia="宋体" w:hAnsi="宋体" w:hint="eastAsia"/>
          <w:sz w:val="18"/>
          <w:szCs w:val="18"/>
        </w:rPr>
        <w:t>的内容</w:t>
      </w:r>
      <w:bookmarkEnd w:id="34"/>
    </w:p>
    <w:p w14:paraId="7AC4D2F6" w14:textId="77777777" w:rsidR="00464ADF" w:rsidRDefault="00000000">
      <w:pPr>
        <w:ind w:firstLineChars="200" w:firstLine="360"/>
        <w:rPr>
          <w:rFonts w:ascii="宋体" w:eastAsia="宋体" w:hAnsi="宋体" w:hint="eastAsia"/>
          <w:color w:val="0070C0"/>
          <w:sz w:val="18"/>
          <w:szCs w:val="18"/>
        </w:rPr>
      </w:pPr>
      <w:r>
        <w:rPr>
          <w:rFonts w:ascii="宋体" w:eastAsia="宋体" w:hAnsi="宋体" w:hint="eastAsia"/>
          <w:sz w:val="18"/>
          <w:szCs w:val="18"/>
        </w:rPr>
        <w:t>（1）公诉案件检察院应当</w:t>
      </w:r>
      <w:r>
        <w:rPr>
          <w:rFonts w:ascii="宋体" w:eastAsia="宋体" w:hAnsi="宋体" w:hint="eastAsia"/>
          <w:color w:val="C00000"/>
          <w:sz w:val="18"/>
          <w:szCs w:val="18"/>
        </w:rPr>
        <w:t>派员出席法庭</w:t>
      </w:r>
      <w:r>
        <w:rPr>
          <w:rFonts w:ascii="宋体" w:eastAsia="宋体" w:hAnsi="宋体" w:hint="eastAsia"/>
          <w:sz w:val="18"/>
          <w:szCs w:val="18"/>
        </w:rPr>
        <w:t>（2）被告人有辩护人的，应当通知其出庭（3）</w:t>
      </w:r>
      <w:r>
        <w:rPr>
          <w:rFonts w:ascii="宋体" w:eastAsia="宋体" w:hAnsi="宋体" w:hint="eastAsia"/>
          <w:color w:val="C00000"/>
          <w:sz w:val="18"/>
          <w:szCs w:val="18"/>
        </w:rPr>
        <w:t>审判人员应当当庭询问被告人对指控的犯罪事实的意见</w:t>
      </w:r>
      <w:r>
        <w:rPr>
          <w:rFonts w:ascii="宋体" w:eastAsia="宋体" w:hAnsi="宋体" w:hint="eastAsia"/>
          <w:sz w:val="18"/>
          <w:szCs w:val="18"/>
        </w:rPr>
        <w:t>，告知被告人适用简易程序审理的法律规定，</w:t>
      </w:r>
      <w:r>
        <w:rPr>
          <w:rFonts w:ascii="宋体" w:eastAsia="宋体" w:hAnsi="宋体" w:hint="eastAsia"/>
          <w:color w:val="C00000"/>
          <w:sz w:val="18"/>
          <w:szCs w:val="18"/>
        </w:rPr>
        <w:t>确认被告人是否同意适用简易程序审理</w:t>
      </w:r>
      <w:r>
        <w:rPr>
          <w:rFonts w:ascii="宋体" w:eastAsia="宋体" w:hAnsi="宋体" w:hint="eastAsia"/>
          <w:sz w:val="18"/>
          <w:szCs w:val="18"/>
        </w:rPr>
        <w:t>（4）对控辩双方有异议，或者法庭认为有必要调查核实的证据，应当出示，并进行质证（5）判决宣告前应当听取被告人的</w:t>
      </w:r>
      <w:r>
        <w:rPr>
          <w:rFonts w:ascii="宋体" w:eastAsia="宋体" w:hAnsi="宋体" w:hint="eastAsia"/>
          <w:color w:val="C00000"/>
          <w:sz w:val="18"/>
          <w:szCs w:val="18"/>
        </w:rPr>
        <w:t>最后陈述。</w:t>
      </w:r>
      <w:r>
        <w:rPr>
          <w:rFonts w:ascii="宋体" w:eastAsia="宋体" w:hAnsi="宋体" w:hint="eastAsia"/>
          <w:color w:val="0070C0"/>
          <w:sz w:val="18"/>
          <w:szCs w:val="18"/>
        </w:rPr>
        <w:t>（</w:t>
      </w:r>
      <w:r>
        <w:rPr>
          <w:rFonts w:ascii="宋体" w:eastAsia="宋体" w:hAnsi="宋体" w:hint="eastAsia"/>
          <w:b/>
          <w:bCs/>
          <w:color w:val="0070C0"/>
          <w:sz w:val="18"/>
          <w:szCs w:val="18"/>
        </w:rPr>
        <w:t>未成年人刑事审判中，法定代理人最多可以补充陈述，而不能代为陈述</w:t>
      </w:r>
      <w:r>
        <w:rPr>
          <w:rFonts w:ascii="宋体" w:eastAsia="宋体" w:hAnsi="宋体" w:hint="eastAsia"/>
          <w:color w:val="0070C0"/>
          <w:sz w:val="18"/>
          <w:szCs w:val="18"/>
        </w:rPr>
        <w:t>）</w:t>
      </w:r>
    </w:p>
    <w:p w14:paraId="6BDE2B63" w14:textId="7DE0E77E" w:rsidR="00464ADF" w:rsidRDefault="00000000">
      <w:pPr>
        <w:pStyle w:val="1"/>
        <w:tabs>
          <w:tab w:val="left" w:pos="420"/>
        </w:tabs>
        <w:spacing w:before="0" w:after="0" w:line="240" w:lineRule="auto"/>
        <w:jc w:val="center"/>
        <w:rPr>
          <w:rFonts w:ascii="宋体" w:hAnsi="宋体" w:hint="eastAsia"/>
          <w:bCs w:val="0"/>
          <w:sz w:val="18"/>
          <w:szCs w:val="18"/>
        </w:rPr>
      </w:pPr>
      <w:bookmarkStart w:id="35" w:name="_Toc4844147"/>
      <w:bookmarkStart w:id="36" w:name="_Toc25967"/>
      <w:bookmarkStart w:id="37" w:name="_Toc136521792"/>
      <w:r>
        <w:rPr>
          <w:rFonts w:ascii="宋体" w:hAnsi="宋体" w:hint="eastAsia"/>
          <w:bCs w:val="0"/>
          <w:sz w:val="18"/>
          <w:szCs w:val="18"/>
        </w:rPr>
        <w:lastRenderedPageBreak/>
        <w:t>考点5</w:t>
      </w:r>
      <w:r>
        <w:rPr>
          <w:rFonts w:ascii="宋体" w:hAnsi="宋体"/>
          <w:bCs w:val="0"/>
          <w:sz w:val="18"/>
          <w:szCs w:val="18"/>
        </w:rPr>
        <w:t xml:space="preserve">2  </w:t>
      </w:r>
      <w:r>
        <w:rPr>
          <w:rFonts w:ascii="宋体" w:hAnsi="宋体" w:hint="eastAsia"/>
          <w:bCs w:val="0"/>
          <w:sz w:val="18"/>
          <w:szCs w:val="18"/>
        </w:rPr>
        <w:t>认罪认罚从宽制度与速裁程序</w:t>
      </w:r>
      <w:bookmarkEnd w:id="35"/>
      <w:bookmarkEnd w:id="36"/>
      <w:bookmarkEnd w:id="37"/>
      <w:r w:rsidR="000612DA">
        <w:rPr>
          <w:rFonts w:ascii="宋体" w:hAnsi="宋体" w:cs="宋体" w:hint="eastAsia"/>
          <w:bCs w:val="0"/>
          <w:sz w:val="18"/>
          <w:szCs w:val="18"/>
        </w:rPr>
        <w:t>（</w:t>
      </w:r>
      <w:r w:rsidR="006A6316">
        <w:rPr>
          <w:rFonts w:ascii="宋体" w:hAnsi="宋体" w:cs="宋体" w:hint="eastAsia"/>
          <w:bCs w:val="0"/>
          <w:sz w:val="18"/>
          <w:szCs w:val="18"/>
        </w:rPr>
        <w:t>10:36:00</w:t>
      </w:r>
      <w:r w:rsidR="000612DA">
        <w:rPr>
          <w:rFonts w:ascii="宋体" w:hAnsi="宋体" w:cs="宋体" w:hint="eastAsia"/>
          <w:bCs w:val="0"/>
          <w:sz w:val="18"/>
          <w:szCs w:val="18"/>
        </w:rPr>
        <w:t>-</w:t>
      </w:r>
      <w:r w:rsidR="00F047C2">
        <w:rPr>
          <w:rFonts w:ascii="宋体" w:hAnsi="宋体" w:cs="宋体" w:hint="eastAsia"/>
          <w:bCs w:val="0"/>
          <w:sz w:val="18"/>
          <w:szCs w:val="18"/>
        </w:rPr>
        <w:t>11:02</w:t>
      </w:r>
      <w:r w:rsidR="000612DA">
        <w:rPr>
          <w:rFonts w:ascii="宋体" w:hAnsi="宋体" w:cs="宋体" w:hint="eastAsia"/>
          <w:bCs w:val="0"/>
          <w:sz w:val="18"/>
          <w:szCs w:val="18"/>
        </w:rPr>
        <w:t>:00）</w:t>
      </w:r>
      <w:r>
        <w:rPr>
          <w:rFonts w:ascii="宋体" w:hAnsi="宋体" w:hint="eastAsia"/>
          <w:bCs w:val="0"/>
          <w:color w:val="0070C0"/>
          <w:sz w:val="18"/>
          <w:szCs w:val="18"/>
        </w:rPr>
        <w:t>（考察相对灵活）</w:t>
      </w:r>
    </w:p>
    <w:p w14:paraId="45337744" w14:textId="77777777" w:rsidR="00464ADF" w:rsidRDefault="00000000">
      <w:pPr>
        <w:pStyle w:val="3"/>
        <w:spacing w:line="240" w:lineRule="auto"/>
        <w:ind w:firstLineChars="200" w:firstLine="360"/>
        <w:rPr>
          <w:rFonts w:eastAsia="宋体" w:hint="eastAsia"/>
          <w:sz w:val="18"/>
          <w:szCs w:val="18"/>
        </w:rPr>
      </w:pPr>
      <w:r>
        <w:rPr>
          <w:rFonts w:eastAsia="宋体" w:hint="eastAsia"/>
          <w:sz w:val="18"/>
          <w:szCs w:val="18"/>
        </w:rPr>
        <w:t>一、认罪认罚的含义</w:t>
      </w:r>
    </w:p>
    <w:p w14:paraId="627340BF" w14:textId="77777777" w:rsidR="00464ADF" w:rsidRDefault="00000000">
      <w:pPr>
        <w:pStyle w:val="3"/>
        <w:spacing w:line="240" w:lineRule="auto"/>
        <w:rPr>
          <w:rFonts w:eastAsia="宋体" w:hint="eastAsia"/>
          <w:sz w:val="18"/>
          <w:szCs w:val="18"/>
        </w:rPr>
      </w:pPr>
      <w:r>
        <w:rPr>
          <w:rFonts w:eastAsia="宋体" w:hint="eastAsia"/>
          <w:sz w:val="18"/>
          <w:szCs w:val="18"/>
        </w:rPr>
        <w:tab/>
        <w:t>（一）认罪：承认指控的主要犯罪事实，</w:t>
      </w:r>
      <w:r>
        <w:rPr>
          <w:rFonts w:eastAsia="宋体" w:hint="eastAsia"/>
          <w:color w:val="C00000"/>
          <w:sz w:val="18"/>
          <w:szCs w:val="18"/>
        </w:rPr>
        <w:t>仅对个别事实情节提出异议</w:t>
      </w:r>
      <w:r>
        <w:rPr>
          <w:rFonts w:eastAsia="宋体" w:hint="eastAsia"/>
          <w:sz w:val="18"/>
          <w:szCs w:val="18"/>
        </w:rPr>
        <w:t>，或者</w:t>
      </w:r>
      <w:r>
        <w:rPr>
          <w:rFonts w:eastAsia="宋体" w:hint="eastAsia"/>
          <w:color w:val="C00000"/>
          <w:sz w:val="18"/>
          <w:szCs w:val="18"/>
        </w:rPr>
        <w:t>虽然对行为性质提出辩解但表示接受司法机关认定意见的</w:t>
      </w:r>
      <w:r>
        <w:rPr>
          <w:rFonts w:eastAsia="宋体" w:hint="eastAsia"/>
          <w:sz w:val="18"/>
          <w:szCs w:val="18"/>
        </w:rPr>
        <w:t>，</w:t>
      </w:r>
      <w:r>
        <w:rPr>
          <w:rFonts w:eastAsia="宋体" w:hint="eastAsia"/>
          <w:b/>
          <w:bCs/>
          <w:color w:val="C00000"/>
          <w:sz w:val="18"/>
          <w:szCs w:val="18"/>
        </w:rPr>
        <w:t>不影响</w:t>
      </w:r>
      <w:r>
        <w:rPr>
          <w:rFonts w:eastAsia="宋体" w:hint="eastAsia"/>
          <w:sz w:val="18"/>
          <w:szCs w:val="18"/>
        </w:rPr>
        <w:t>“认罪”的认定。犯罪嫌疑人、被告人</w:t>
      </w:r>
      <w:r>
        <w:rPr>
          <w:rFonts w:eastAsia="宋体" w:cstheme="minorBidi" w:hint="eastAsia"/>
          <w:color w:val="C00000"/>
          <w:sz w:val="18"/>
          <w:szCs w:val="18"/>
        </w:rPr>
        <w:t>犯数罪，仅如实供述其中一罪或部分罪名事实的</w:t>
      </w:r>
      <w:r>
        <w:rPr>
          <w:rFonts w:eastAsia="宋体" w:hint="eastAsia"/>
          <w:sz w:val="18"/>
          <w:szCs w:val="18"/>
        </w:rPr>
        <w:t>，</w:t>
      </w:r>
      <w:r>
        <w:rPr>
          <w:rFonts w:eastAsia="宋体" w:cstheme="minorBidi" w:hint="eastAsia"/>
          <w:color w:val="C00000"/>
          <w:sz w:val="18"/>
          <w:szCs w:val="18"/>
        </w:rPr>
        <w:t>全案不作</w:t>
      </w:r>
      <w:r>
        <w:rPr>
          <w:rFonts w:eastAsia="宋体" w:hint="eastAsia"/>
          <w:sz w:val="18"/>
          <w:szCs w:val="18"/>
        </w:rPr>
        <w:t>“认罪”的认定，</w:t>
      </w:r>
      <w:r>
        <w:rPr>
          <w:rFonts w:eastAsia="宋体" w:cstheme="minorBidi" w:hint="eastAsia"/>
          <w:color w:val="C00000"/>
          <w:sz w:val="18"/>
          <w:szCs w:val="18"/>
        </w:rPr>
        <w:t>不适用</w:t>
      </w:r>
      <w:r>
        <w:rPr>
          <w:rFonts w:eastAsia="宋体" w:hint="eastAsia"/>
          <w:sz w:val="18"/>
          <w:szCs w:val="18"/>
        </w:rPr>
        <w:t>认罪认罚从宽制度，但</w:t>
      </w:r>
      <w:r>
        <w:rPr>
          <w:rFonts w:eastAsia="宋体" w:cstheme="minorBidi" w:hint="eastAsia"/>
          <w:color w:val="C00000"/>
          <w:sz w:val="18"/>
          <w:szCs w:val="18"/>
        </w:rPr>
        <w:t>对如实供述的部分</w:t>
      </w:r>
      <w:r>
        <w:rPr>
          <w:rFonts w:eastAsia="宋体" w:hint="eastAsia"/>
          <w:sz w:val="18"/>
          <w:szCs w:val="18"/>
        </w:rPr>
        <w:t>，人民检察院</w:t>
      </w:r>
      <w:r>
        <w:rPr>
          <w:rFonts w:eastAsia="宋体" w:cstheme="minorBidi" w:hint="eastAsia"/>
          <w:color w:val="C00000"/>
          <w:sz w:val="18"/>
          <w:szCs w:val="18"/>
        </w:rPr>
        <w:t>可以提出从宽处罚的建议</w:t>
      </w:r>
      <w:r>
        <w:rPr>
          <w:rFonts w:eastAsia="宋体" w:hint="eastAsia"/>
          <w:sz w:val="18"/>
          <w:szCs w:val="18"/>
        </w:rPr>
        <w:t>，人民法院</w:t>
      </w:r>
      <w:r>
        <w:rPr>
          <w:rFonts w:eastAsia="宋体" w:cstheme="minorBidi" w:hint="eastAsia"/>
          <w:color w:val="C00000"/>
          <w:sz w:val="18"/>
          <w:szCs w:val="18"/>
        </w:rPr>
        <w:t>可以从宽处罚</w:t>
      </w:r>
      <w:r>
        <w:rPr>
          <w:rFonts w:eastAsia="宋体" w:hint="eastAsia"/>
          <w:sz w:val="18"/>
          <w:szCs w:val="18"/>
        </w:rPr>
        <w:t>。</w:t>
      </w:r>
    </w:p>
    <w:p w14:paraId="7A87BF71"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（二）认罚：在</w:t>
      </w:r>
      <w:r>
        <w:rPr>
          <w:rFonts w:ascii="宋体" w:eastAsia="宋体" w:hAnsi="宋体" w:hint="eastAsia"/>
          <w:color w:val="C00000"/>
          <w:sz w:val="18"/>
          <w:szCs w:val="18"/>
        </w:rPr>
        <w:t>侦查阶段</w:t>
      </w:r>
      <w:r>
        <w:rPr>
          <w:rFonts w:ascii="宋体" w:eastAsia="宋体" w:hAnsi="宋体" w:cs="宋体" w:hint="eastAsia"/>
          <w:color w:val="000000" w:themeColor="text1"/>
          <w:sz w:val="18"/>
          <w:szCs w:val="18"/>
        </w:rPr>
        <w:t>表现为表示</w:t>
      </w:r>
      <w:r>
        <w:rPr>
          <w:rFonts w:ascii="宋体" w:eastAsia="宋体" w:hAnsi="宋体" w:hint="eastAsia"/>
          <w:color w:val="C00000"/>
          <w:sz w:val="18"/>
          <w:szCs w:val="18"/>
        </w:rPr>
        <w:t>愿意接受处罚</w:t>
      </w:r>
      <w:r>
        <w:rPr>
          <w:rFonts w:ascii="宋体" w:eastAsia="宋体" w:hAnsi="宋体" w:cs="宋体" w:hint="eastAsia"/>
          <w:color w:val="000000" w:themeColor="text1"/>
          <w:sz w:val="18"/>
          <w:szCs w:val="18"/>
        </w:rPr>
        <w:t>；在</w:t>
      </w:r>
      <w:r>
        <w:rPr>
          <w:rFonts w:ascii="宋体" w:eastAsia="宋体" w:hAnsi="宋体" w:hint="eastAsia"/>
          <w:color w:val="C00000"/>
          <w:sz w:val="18"/>
          <w:szCs w:val="18"/>
        </w:rPr>
        <w:t>审查起诉阶段</w:t>
      </w:r>
      <w:r>
        <w:rPr>
          <w:rFonts w:ascii="宋体" w:eastAsia="宋体" w:hAnsi="宋体" w:cs="宋体" w:hint="eastAsia"/>
          <w:color w:val="000000" w:themeColor="text1"/>
          <w:sz w:val="18"/>
          <w:szCs w:val="18"/>
        </w:rPr>
        <w:t>表现为</w:t>
      </w:r>
      <w:r>
        <w:rPr>
          <w:rFonts w:ascii="宋体" w:eastAsia="宋体" w:hAnsi="宋体" w:hint="eastAsia"/>
          <w:color w:val="C00000"/>
          <w:sz w:val="18"/>
          <w:szCs w:val="18"/>
        </w:rPr>
        <w:t>接受人民检察院拟作出的起诉或不起诉决定，认可人民检察院的量刑建议，签署认罪认罚具结书</w:t>
      </w:r>
      <w:r>
        <w:rPr>
          <w:rFonts w:ascii="宋体" w:eastAsia="宋体" w:hAnsi="宋体" w:cs="宋体" w:hint="eastAsia"/>
          <w:color w:val="000000" w:themeColor="text1"/>
          <w:sz w:val="18"/>
          <w:szCs w:val="18"/>
        </w:rPr>
        <w:t>；在</w:t>
      </w:r>
      <w:r>
        <w:rPr>
          <w:rFonts w:ascii="宋体" w:eastAsia="宋体" w:hAnsi="宋体" w:hint="eastAsia"/>
          <w:color w:val="C00000"/>
          <w:sz w:val="18"/>
          <w:szCs w:val="18"/>
        </w:rPr>
        <w:t>审判阶段</w:t>
      </w:r>
      <w:r>
        <w:rPr>
          <w:rFonts w:ascii="宋体" w:eastAsia="宋体" w:hAnsi="宋体" w:cs="宋体" w:hint="eastAsia"/>
          <w:color w:val="000000" w:themeColor="text1"/>
          <w:sz w:val="18"/>
          <w:szCs w:val="18"/>
        </w:rPr>
        <w:t>表现为</w:t>
      </w:r>
      <w:r>
        <w:rPr>
          <w:rFonts w:ascii="宋体" w:eastAsia="宋体" w:hAnsi="宋体" w:hint="eastAsia"/>
          <w:color w:val="C00000"/>
          <w:sz w:val="18"/>
          <w:szCs w:val="18"/>
        </w:rPr>
        <w:t>当庭确认自愿签署具结书，愿意接受刑罚处罚。</w:t>
      </w:r>
      <w:r>
        <w:rPr>
          <w:rFonts w:ascii="宋体" w:eastAsia="宋体" w:hAnsi="宋体" w:cs="宋体" w:hint="eastAsia"/>
          <w:color w:val="000000" w:themeColor="text1"/>
          <w:sz w:val="18"/>
          <w:szCs w:val="18"/>
        </w:rPr>
        <w:t>犯罪嫌疑人、被告人享有</w:t>
      </w:r>
      <w:r>
        <w:rPr>
          <w:rFonts w:ascii="宋体" w:eastAsia="宋体" w:hAnsi="宋体" w:hint="eastAsia"/>
          <w:color w:val="C00000"/>
          <w:sz w:val="18"/>
          <w:szCs w:val="18"/>
        </w:rPr>
        <w:t>程序选择权</w:t>
      </w:r>
      <w:r>
        <w:rPr>
          <w:rFonts w:ascii="宋体" w:eastAsia="宋体" w:hAnsi="宋体" w:cs="宋体" w:hint="eastAsia"/>
          <w:color w:val="000000" w:themeColor="text1"/>
          <w:sz w:val="18"/>
          <w:szCs w:val="18"/>
        </w:rPr>
        <w:t>，</w:t>
      </w:r>
      <w:r>
        <w:rPr>
          <w:rFonts w:ascii="宋体" w:eastAsia="宋体" w:hAnsi="宋体" w:hint="eastAsia"/>
          <w:color w:val="C00000"/>
          <w:sz w:val="18"/>
          <w:szCs w:val="18"/>
        </w:rPr>
        <w:t>不同意适用</w:t>
      </w:r>
      <w:r>
        <w:rPr>
          <w:rFonts w:ascii="宋体" w:eastAsia="宋体" w:hAnsi="宋体" w:cs="宋体" w:hint="eastAsia"/>
          <w:color w:val="000000" w:themeColor="text1"/>
          <w:sz w:val="18"/>
          <w:szCs w:val="18"/>
        </w:rPr>
        <w:t>速裁程序、简易程序的，</w:t>
      </w:r>
      <w:r>
        <w:rPr>
          <w:rFonts w:ascii="宋体" w:eastAsia="宋体" w:hAnsi="宋体" w:hint="eastAsia"/>
          <w:color w:val="C00000"/>
          <w:sz w:val="18"/>
          <w:szCs w:val="18"/>
        </w:rPr>
        <w:t>不影响“认罚”的认定</w:t>
      </w:r>
      <w:r>
        <w:rPr>
          <w:rFonts w:ascii="宋体" w:eastAsia="宋体" w:hAnsi="宋体" w:cs="宋体" w:hint="eastAsia"/>
          <w:color w:val="000000" w:themeColor="text1"/>
          <w:sz w:val="18"/>
          <w:szCs w:val="18"/>
        </w:rPr>
        <w:t>。</w:t>
      </w:r>
    </w:p>
    <w:p w14:paraId="44C84D02"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（三）从宽：既包括</w:t>
      </w:r>
      <w:r>
        <w:rPr>
          <w:rFonts w:ascii="宋体" w:eastAsia="宋体" w:hAnsi="宋体" w:hint="eastAsia"/>
          <w:color w:val="C00000"/>
          <w:sz w:val="18"/>
          <w:szCs w:val="18"/>
        </w:rPr>
        <w:t>实体上从宽处罚</w:t>
      </w:r>
      <w:r>
        <w:rPr>
          <w:rFonts w:ascii="宋体" w:eastAsia="宋体" w:hAnsi="宋体" w:cs="宋体" w:hint="eastAsia"/>
          <w:color w:val="000000" w:themeColor="text1"/>
          <w:sz w:val="18"/>
          <w:szCs w:val="18"/>
        </w:rPr>
        <w:t>，也包括</w:t>
      </w:r>
      <w:r>
        <w:rPr>
          <w:rFonts w:ascii="宋体" w:eastAsia="宋体" w:hAnsi="宋体" w:hint="eastAsia"/>
          <w:color w:val="C00000"/>
          <w:sz w:val="18"/>
          <w:szCs w:val="18"/>
        </w:rPr>
        <w:t>程序上从简处理</w:t>
      </w:r>
      <w:r>
        <w:rPr>
          <w:rFonts w:ascii="宋体" w:eastAsia="宋体" w:hAnsi="宋体" w:cs="宋体" w:hint="eastAsia"/>
          <w:color w:val="000000" w:themeColor="text1"/>
          <w:sz w:val="18"/>
          <w:szCs w:val="18"/>
        </w:rPr>
        <w:t>。</w:t>
      </w:r>
      <w:r>
        <w:rPr>
          <w:rFonts w:ascii="宋体" w:eastAsia="宋体" w:hAnsi="宋体" w:hint="eastAsia"/>
          <w:b/>
          <w:bCs/>
          <w:color w:val="C00000"/>
          <w:sz w:val="18"/>
          <w:szCs w:val="18"/>
        </w:rPr>
        <w:t>可以从宽不是一律从宽。认罪认罚与自首、坦白不作重复评价</w:t>
      </w:r>
      <w:r>
        <w:rPr>
          <w:rFonts w:ascii="宋体" w:eastAsia="宋体" w:hAnsi="宋体" w:cs="宋体" w:hint="eastAsia"/>
          <w:color w:val="000000" w:themeColor="text1"/>
          <w:sz w:val="18"/>
          <w:szCs w:val="18"/>
        </w:rPr>
        <w:t>。</w:t>
      </w:r>
    </w:p>
    <w:p w14:paraId="533F2269"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二、认罪认罚从宽的意义：准确及时惩罚犯罪、强化人权司法保障、推动刑事案件繁简分流、节约司法资源、化解社会矛盾、推动国家治理体系和治理能力现代化。</w:t>
      </w:r>
    </w:p>
    <w:p w14:paraId="38180A6F"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三、认罪认罚从宽的基本原则：</w:t>
      </w:r>
      <w:r>
        <w:rPr>
          <w:rFonts w:ascii="宋体" w:eastAsia="宋体" w:hAnsi="宋体" w:cs="宋体" w:hint="eastAsia"/>
          <w:color w:val="C00000"/>
          <w:sz w:val="18"/>
          <w:szCs w:val="18"/>
        </w:rPr>
        <w:t>坚持证据裁判原则（坚持法定证明标准，侦查终结、提起公诉、作出有罪裁判应当做到犯罪事实清楚，证据确实、充分，防止因犯罪嫌疑人、被告人认罪而降低证据要求和证明标准）</w:t>
      </w:r>
    </w:p>
    <w:p w14:paraId="0D551A92"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四、适用范围：</w:t>
      </w:r>
      <w:r>
        <w:rPr>
          <w:rFonts w:ascii="宋体" w:eastAsia="宋体" w:hAnsi="宋体" w:cs="宋体" w:hint="eastAsia"/>
          <w:color w:val="C00000"/>
          <w:sz w:val="18"/>
          <w:szCs w:val="18"/>
        </w:rPr>
        <w:t>适用于侦查、起诉、审判各个阶段</w:t>
      </w:r>
      <w:r>
        <w:rPr>
          <w:rFonts w:ascii="宋体" w:eastAsia="宋体" w:hAnsi="宋体" w:cs="宋体" w:hint="eastAsia"/>
          <w:color w:val="000000" w:themeColor="text1"/>
          <w:sz w:val="18"/>
          <w:szCs w:val="18"/>
        </w:rPr>
        <w:t>。认罪认罚从宽制度没有适用罪名和可能判处刑罚的限定，</w:t>
      </w:r>
      <w:r>
        <w:rPr>
          <w:rFonts w:ascii="宋体" w:eastAsia="宋体" w:hAnsi="宋体" w:cs="宋体" w:hint="eastAsia"/>
          <w:color w:val="C00000"/>
          <w:sz w:val="18"/>
          <w:szCs w:val="18"/>
        </w:rPr>
        <w:t>所有刑事案件都可以适用</w:t>
      </w:r>
      <w:r>
        <w:rPr>
          <w:rFonts w:ascii="宋体" w:eastAsia="宋体" w:hAnsi="宋体" w:cs="宋体" w:hint="eastAsia"/>
          <w:color w:val="000000" w:themeColor="text1"/>
          <w:sz w:val="18"/>
          <w:szCs w:val="18"/>
        </w:rPr>
        <w:t>。</w:t>
      </w:r>
    </w:p>
    <w:p w14:paraId="14E90924"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五、被害方的权益保障：</w:t>
      </w:r>
      <w:r>
        <w:rPr>
          <w:rFonts w:ascii="宋体" w:eastAsia="宋体" w:hAnsi="宋体" w:cs="宋体" w:hint="eastAsia"/>
          <w:b/>
          <w:bCs/>
          <w:color w:val="C00000"/>
          <w:sz w:val="18"/>
          <w:szCs w:val="18"/>
        </w:rPr>
        <w:t>应当听取</w:t>
      </w:r>
      <w:r>
        <w:rPr>
          <w:rFonts w:ascii="宋体" w:eastAsia="宋体" w:hAnsi="宋体" w:cs="宋体" w:hint="eastAsia"/>
          <w:color w:val="C00000"/>
          <w:sz w:val="18"/>
          <w:szCs w:val="18"/>
        </w:rPr>
        <w:t>被害人及其诉讼代理人的意见</w:t>
      </w:r>
      <w:r>
        <w:rPr>
          <w:rFonts w:ascii="宋体" w:eastAsia="宋体" w:hAnsi="宋体" w:cs="宋体" w:hint="eastAsia"/>
          <w:color w:val="000000" w:themeColor="text1"/>
          <w:sz w:val="18"/>
          <w:szCs w:val="18"/>
        </w:rPr>
        <w:t>，被害人及其诉讼代理人</w:t>
      </w:r>
      <w:r>
        <w:rPr>
          <w:rFonts w:ascii="宋体" w:eastAsia="宋体" w:hAnsi="宋体" w:cs="宋体" w:hint="eastAsia"/>
          <w:color w:val="C00000"/>
          <w:sz w:val="18"/>
          <w:szCs w:val="18"/>
        </w:rPr>
        <w:t>不同意</w:t>
      </w:r>
      <w:r>
        <w:rPr>
          <w:rFonts w:ascii="宋体" w:eastAsia="宋体" w:hAnsi="宋体" w:cs="宋体" w:hint="eastAsia"/>
          <w:color w:val="000000" w:themeColor="text1"/>
          <w:sz w:val="18"/>
          <w:szCs w:val="18"/>
        </w:rPr>
        <w:t>对认罪认罚的犯罪嫌疑人、被告人从宽处理的，</w:t>
      </w:r>
      <w:r>
        <w:rPr>
          <w:rFonts w:ascii="宋体" w:eastAsia="宋体" w:hAnsi="宋体" w:cs="宋体" w:hint="eastAsia"/>
          <w:b/>
          <w:bCs/>
          <w:color w:val="C00000"/>
          <w:sz w:val="18"/>
          <w:szCs w:val="18"/>
        </w:rPr>
        <w:t>不影响</w:t>
      </w:r>
      <w:r>
        <w:rPr>
          <w:rFonts w:ascii="宋体" w:eastAsia="宋体" w:hAnsi="宋体" w:cs="宋体" w:hint="eastAsia"/>
          <w:color w:val="C00000"/>
          <w:sz w:val="18"/>
          <w:szCs w:val="18"/>
        </w:rPr>
        <w:t>认罪认罚从宽制度的适用</w:t>
      </w:r>
      <w:r>
        <w:rPr>
          <w:rFonts w:ascii="宋体" w:eastAsia="宋体" w:hAnsi="宋体" w:cs="宋体" w:hint="eastAsia"/>
          <w:color w:val="000000" w:themeColor="text1"/>
          <w:sz w:val="18"/>
          <w:szCs w:val="18"/>
        </w:rPr>
        <w:t>。</w:t>
      </w:r>
    </w:p>
    <w:p w14:paraId="4B106319"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六、社会调查评估：</w:t>
      </w:r>
      <w:r>
        <w:rPr>
          <w:rFonts w:ascii="宋体" w:eastAsia="宋体" w:hAnsi="宋体" w:cs="宋体" w:hint="eastAsia"/>
          <w:color w:val="C00000"/>
          <w:sz w:val="18"/>
          <w:szCs w:val="18"/>
        </w:rPr>
        <w:t>犯罪嫌疑人认罪认罚，可能判处管制、宣告缓刑的</w:t>
      </w:r>
      <w:r>
        <w:rPr>
          <w:rFonts w:ascii="宋体" w:eastAsia="宋体" w:hAnsi="宋体" w:cs="宋体" w:hint="eastAsia"/>
          <w:color w:val="000000" w:themeColor="text1"/>
          <w:sz w:val="18"/>
          <w:szCs w:val="18"/>
        </w:rPr>
        <w:t>，公检法</w:t>
      </w:r>
      <w:r>
        <w:rPr>
          <w:rFonts w:ascii="宋体" w:eastAsia="宋体" w:hAnsi="宋体" w:cs="宋体" w:hint="eastAsia"/>
          <w:color w:val="C00000"/>
          <w:sz w:val="18"/>
          <w:szCs w:val="18"/>
        </w:rPr>
        <w:t>可以委托犯罪嫌疑人居住地的社区矫正机构进行调查评估</w:t>
      </w:r>
      <w:r>
        <w:rPr>
          <w:rFonts w:ascii="宋体" w:eastAsia="宋体" w:hAnsi="宋体" w:cs="宋体" w:hint="eastAsia"/>
          <w:color w:val="000000" w:themeColor="text1"/>
          <w:sz w:val="18"/>
          <w:szCs w:val="18"/>
        </w:rPr>
        <w:t>。社区矫正机构出具的调查评估意见，是</w:t>
      </w:r>
      <w:r>
        <w:rPr>
          <w:rFonts w:ascii="宋体" w:eastAsia="宋体" w:hAnsi="宋体" w:cs="宋体" w:hint="eastAsia"/>
          <w:color w:val="C00000"/>
          <w:sz w:val="18"/>
          <w:szCs w:val="18"/>
        </w:rPr>
        <w:t>人民法院判处管制、宣告缓刑的</w:t>
      </w:r>
      <w:r>
        <w:rPr>
          <w:rFonts w:ascii="宋体" w:eastAsia="宋体" w:hAnsi="宋体" w:cs="宋体" w:hint="eastAsia"/>
          <w:b/>
          <w:bCs/>
          <w:i/>
          <w:iCs/>
          <w:color w:val="C00000"/>
          <w:sz w:val="18"/>
          <w:szCs w:val="18"/>
          <w:u w:val="single"/>
        </w:rPr>
        <w:t>重要参考</w:t>
      </w:r>
      <w:r>
        <w:rPr>
          <w:rFonts w:ascii="宋体" w:eastAsia="宋体" w:hAnsi="宋体" w:cs="宋体" w:hint="eastAsia"/>
          <w:color w:val="000000" w:themeColor="text1"/>
          <w:sz w:val="18"/>
          <w:szCs w:val="18"/>
        </w:rPr>
        <w:t>。</w:t>
      </w:r>
    </w:p>
    <w:p w14:paraId="4EB698B0"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七、侦查阶段认罪认罚的程序：1.权利告知和听取意见（</w:t>
      </w:r>
      <w:r>
        <w:rPr>
          <w:rFonts w:ascii="宋体" w:eastAsia="宋体" w:hAnsi="宋体" w:cs="宋体" w:hint="eastAsia"/>
          <w:color w:val="C00000"/>
          <w:sz w:val="18"/>
          <w:szCs w:val="18"/>
        </w:rPr>
        <w:t>应当告知</w:t>
      </w:r>
      <w:r>
        <w:rPr>
          <w:rFonts w:ascii="宋体" w:eastAsia="宋体" w:hAnsi="宋体" w:cs="宋体" w:hint="eastAsia"/>
          <w:color w:val="000000" w:themeColor="text1"/>
          <w:sz w:val="18"/>
          <w:szCs w:val="18"/>
        </w:rPr>
        <w:t>犯罪嫌疑人</w:t>
      </w:r>
      <w:r>
        <w:rPr>
          <w:rFonts w:ascii="宋体" w:eastAsia="宋体" w:hAnsi="宋体" w:cs="宋体" w:hint="eastAsia"/>
          <w:color w:val="C00000"/>
          <w:sz w:val="18"/>
          <w:szCs w:val="18"/>
        </w:rPr>
        <w:t>享有的诉讼权利、如实供述罪行可以从宽处理和认罪认罚的法律规定</w:t>
      </w:r>
      <w:r>
        <w:rPr>
          <w:rFonts w:ascii="宋体" w:eastAsia="宋体" w:hAnsi="宋体" w:cs="宋体" w:hint="eastAsia"/>
          <w:color w:val="000000" w:themeColor="text1"/>
          <w:sz w:val="18"/>
          <w:szCs w:val="18"/>
        </w:rPr>
        <w:t>）；2.起诉意见（对</w:t>
      </w:r>
      <w:r>
        <w:rPr>
          <w:rFonts w:ascii="宋体" w:eastAsia="宋体" w:hAnsi="宋体" w:cs="宋体" w:hint="eastAsia"/>
          <w:color w:val="C00000"/>
          <w:sz w:val="18"/>
          <w:szCs w:val="18"/>
        </w:rPr>
        <w:t>移送审查起诉</w:t>
      </w:r>
      <w:r>
        <w:rPr>
          <w:rFonts w:ascii="宋体" w:eastAsia="宋体" w:hAnsi="宋体" w:cs="宋体" w:hint="eastAsia"/>
          <w:color w:val="000000" w:themeColor="text1"/>
          <w:sz w:val="18"/>
          <w:szCs w:val="18"/>
        </w:rPr>
        <w:t>的案件，公安机关应当</w:t>
      </w:r>
      <w:r>
        <w:rPr>
          <w:rFonts w:ascii="宋体" w:eastAsia="宋体" w:hAnsi="宋体" w:cs="宋体" w:hint="eastAsia"/>
          <w:color w:val="C00000"/>
          <w:sz w:val="18"/>
          <w:szCs w:val="18"/>
        </w:rPr>
        <w:t>在起诉意见书中写明犯罪嫌疑人自愿认罪认罚情况</w:t>
      </w:r>
      <w:r>
        <w:rPr>
          <w:rFonts w:ascii="宋体" w:eastAsia="宋体" w:hAnsi="宋体" w:cs="宋体" w:hint="eastAsia"/>
          <w:color w:val="000000" w:themeColor="text1"/>
          <w:sz w:val="18"/>
          <w:szCs w:val="18"/>
        </w:rPr>
        <w:t>）。</w:t>
      </w:r>
    </w:p>
    <w:p w14:paraId="4E0C7346"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八、审查起诉阶段认罪认罚的程序</w:t>
      </w:r>
    </w:p>
    <w:p w14:paraId="4EAF2E61"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犯罪嫌疑人自愿认罪，同意量刑建议和程序适用的，</w:t>
      </w:r>
      <w:r>
        <w:rPr>
          <w:rFonts w:ascii="宋体" w:eastAsia="宋体" w:hAnsi="宋体" w:cs="宋体" w:hint="eastAsia"/>
          <w:color w:val="C00000"/>
          <w:sz w:val="18"/>
          <w:szCs w:val="18"/>
        </w:rPr>
        <w:t>应当在辩护人或者值班律师在场的情况下签署认罪认罚具结书（犯罪嫌疑人有辩护人的，应当由辩护人在场见证具结并签字</w:t>
      </w:r>
      <w:r>
        <w:rPr>
          <w:rFonts w:ascii="宋体" w:eastAsia="宋体" w:hAnsi="宋体" w:cs="宋体" w:hint="eastAsia"/>
          <w:b/>
          <w:bCs/>
          <w:color w:val="C00000"/>
          <w:sz w:val="18"/>
          <w:szCs w:val="18"/>
        </w:rPr>
        <w:t>，不得绕开辩护人安排值班律师代为见证具结</w:t>
      </w:r>
      <w:r>
        <w:rPr>
          <w:rFonts w:ascii="宋体" w:eastAsia="宋体" w:hAnsi="宋体" w:cs="宋体" w:hint="eastAsia"/>
          <w:color w:val="C00000"/>
          <w:sz w:val="18"/>
          <w:szCs w:val="18"/>
        </w:rPr>
        <w:t>）。</w:t>
      </w:r>
      <w:r>
        <w:rPr>
          <w:rFonts w:ascii="宋体" w:eastAsia="宋体" w:hAnsi="宋体" w:cs="宋体" w:hint="eastAsia"/>
          <w:b/>
          <w:bCs/>
          <w:color w:val="C00000"/>
          <w:sz w:val="18"/>
          <w:szCs w:val="18"/>
        </w:rPr>
        <w:t>由犯罪嫌疑人、辩护人或者值班律师签名。</w:t>
      </w:r>
      <w:r>
        <w:rPr>
          <w:rFonts w:ascii="宋体" w:eastAsia="宋体" w:hAnsi="宋体" w:cs="宋体" w:hint="eastAsia"/>
          <w:color w:val="000000" w:themeColor="text1"/>
          <w:sz w:val="18"/>
          <w:szCs w:val="18"/>
        </w:rPr>
        <w:t>犯罪嫌疑人认罪认罚，有下列情形之一的，</w:t>
      </w:r>
      <w:r>
        <w:rPr>
          <w:rFonts w:ascii="宋体" w:eastAsia="宋体" w:hAnsi="宋体" w:cs="宋体" w:hint="eastAsia"/>
          <w:color w:val="C00000"/>
          <w:sz w:val="18"/>
          <w:szCs w:val="18"/>
        </w:rPr>
        <w:t>不需要签署认罪认罚具结书</w:t>
      </w:r>
      <w:r>
        <w:rPr>
          <w:rFonts w:ascii="宋体" w:eastAsia="宋体" w:hAnsi="宋体" w:cs="宋体" w:hint="eastAsia"/>
          <w:color w:val="000000" w:themeColor="text1"/>
          <w:sz w:val="18"/>
          <w:szCs w:val="18"/>
        </w:rPr>
        <w:t>：</w:t>
      </w:r>
    </w:p>
    <w:p w14:paraId="319312EF"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1．犯罪嫌疑人是盲、聋、哑人，或者是尚未完全丧失辨认或者控制自己行为能力的精神病人的；</w:t>
      </w:r>
    </w:p>
    <w:p w14:paraId="724A308A"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2．未成年犯罪嫌疑人的法定代理人、辩护人对未成年人认罪认罚有异议的；</w:t>
      </w:r>
    </w:p>
    <w:p w14:paraId="2335168B"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3．其他不需要签署认罪认罚具结书的情形。</w:t>
      </w:r>
    </w:p>
    <w:p w14:paraId="46AEA870"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上述情形犯罪嫌疑人</w:t>
      </w:r>
      <w:r>
        <w:rPr>
          <w:rFonts w:ascii="宋体" w:eastAsia="宋体" w:hAnsi="宋体" w:cs="宋体" w:hint="eastAsia"/>
          <w:color w:val="C00000"/>
          <w:sz w:val="18"/>
          <w:szCs w:val="18"/>
        </w:rPr>
        <w:t>未签署</w:t>
      </w:r>
      <w:r>
        <w:rPr>
          <w:rFonts w:ascii="宋体" w:eastAsia="宋体" w:hAnsi="宋体" w:cs="宋体" w:hint="eastAsia"/>
          <w:color w:val="000000" w:themeColor="text1"/>
          <w:sz w:val="18"/>
          <w:szCs w:val="18"/>
        </w:rPr>
        <w:t>认罪认罚具结书的，</w:t>
      </w:r>
      <w:r>
        <w:rPr>
          <w:rFonts w:ascii="宋体" w:eastAsia="宋体" w:hAnsi="宋体" w:cs="宋体" w:hint="eastAsia"/>
          <w:color w:val="C00000"/>
          <w:sz w:val="18"/>
          <w:szCs w:val="18"/>
          <w:u w:val="single"/>
        </w:rPr>
        <w:t>不影响认罪认罚从宽制度的适用</w:t>
      </w:r>
      <w:r>
        <w:rPr>
          <w:rFonts w:ascii="宋体" w:eastAsia="宋体" w:hAnsi="宋体" w:cs="宋体" w:hint="eastAsia"/>
          <w:color w:val="000000" w:themeColor="text1"/>
          <w:sz w:val="18"/>
          <w:szCs w:val="18"/>
          <w:u w:val="single"/>
        </w:rPr>
        <w:t>。</w:t>
      </w:r>
    </w:p>
    <w:p w14:paraId="3580B7A4"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九、法院审判阶段认罪认罚的程序</w:t>
      </w:r>
    </w:p>
    <w:p w14:paraId="2611D816"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（一）</w:t>
      </w:r>
      <w:r>
        <w:rPr>
          <w:rFonts w:ascii="宋体" w:eastAsia="宋体" w:hAnsi="宋体" w:cs="宋体" w:hint="eastAsia"/>
          <w:color w:val="C00000"/>
          <w:sz w:val="18"/>
          <w:szCs w:val="18"/>
        </w:rPr>
        <w:t>量刑建议的采纳</w:t>
      </w:r>
      <w:r>
        <w:rPr>
          <w:rFonts w:ascii="宋体" w:eastAsia="宋体" w:hAnsi="宋体" w:cs="宋体" w:hint="eastAsia"/>
          <w:color w:val="000000" w:themeColor="text1"/>
          <w:sz w:val="18"/>
          <w:szCs w:val="18"/>
        </w:rPr>
        <w:t>。对于事实清楚，证据确实、充分，指控的罪名准确，量刑建议适当的，人民法院</w:t>
      </w:r>
      <w:r>
        <w:rPr>
          <w:rFonts w:ascii="宋体" w:eastAsia="宋体" w:hAnsi="宋体" w:cs="宋体" w:hint="eastAsia"/>
          <w:color w:val="C00000"/>
          <w:sz w:val="18"/>
          <w:szCs w:val="18"/>
        </w:rPr>
        <w:t>应当采纳</w:t>
      </w:r>
      <w:r>
        <w:rPr>
          <w:rFonts w:ascii="宋体" w:eastAsia="宋体" w:hAnsi="宋体" w:cs="宋体" w:hint="eastAsia"/>
          <w:color w:val="000000" w:themeColor="text1"/>
          <w:sz w:val="18"/>
          <w:szCs w:val="18"/>
        </w:rPr>
        <w:t>。</w:t>
      </w:r>
      <w:r>
        <w:rPr>
          <w:rFonts w:ascii="宋体" w:eastAsia="宋体" w:hAnsi="宋体" w:cs="宋体" w:hint="eastAsia"/>
          <w:color w:val="C00000"/>
          <w:sz w:val="18"/>
          <w:szCs w:val="18"/>
        </w:rPr>
        <w:t>具有下列情形之一的，不予采纳</w:t>
      </w:r>
      <w:r>
        <w:rPr>
          <w:rFonts w:ascii="宋体" w:eastAsia="宋体" w:hAnsi="宋体" w:cs="宋体" w:hint="eastAsia"/>
          <w:color w:val="000000" w:themeColor="text1"/>
          <w:sz w:val="18"/>
          <w:szCs w:val="18"/>
        </w:rPr>
        <w:t>：1．被告人的行为</w:t>
      </w:r>
      <w:r>
        <w:rPr>
          <w:rFonts w:ascii="宋体" w:eastAsia="宋体" w:hAnsi="宋体" w:cs="宋体" w:hint="eastAsia"/>
          <w:color w:val="C00000"/>
          <w:sz w:val="18"/>
          <w:szCs w:val="18"/>
        </w:rPr>
        <w:t>不构成犯罪或者不应当追究刑事责任的</w:t>
      </w:r>
      <w:r>
        <w:rPr>
          <w:rFonts w:ascii="宋体" w:eastAsia="宋体" w:hAnsi="宋体" w:cs="宋体" w:hint="eastAsia"/>
          <w:color w:val="000000" w:themeColor="text1"/>
          <w:sz w:val="18"/>
          <w:szCs w:val="18"/>
        </w:rPr>
        <w:t>；2．被告人</w:t>
      </w:r>
      <w:r>
        <w:rPr>
          <w:rFonts w:ascii="宋体" w:eastAsia="宋体" w:hAnsi="宋体" w:cs="宋体" w:hint="eastAsia"/>
          <w:color w:val="C00000"/>
          <w:sz w:val="18"/>
          <w:szCs w:val="18"/>
        </w:rPr>
        <w:t>违背意愿</w:t>
      </w:r>
      <w:r>
        <w:rPr>
          <w:rFonts w:ascii="宋体" w:eastAsia="宋体" w:hAnsi="宋体" w:cs="宋体" w:hint="eastAsia"/>
          <w:color w:val="000000" w:themeColor="text1"/>
          <w:sz w:val="18"/>
          <w:szCs w:val="18"/>
        </w:rPr>
        <w:t>认罪认罚的；3．被告人</w:t>
      </w:r>
      <w:r>
        <w:rPr>
          <w:rFonts w:ascii="宋体" w:eastAsia="宋体" w:hAnsi="宋体" w:cs="宋体" w:hint="eastAsia"/>
          <w:color w:val="C00000"/>
          <w:sz w:val="18"/>
          <w:szCs w:val="18"/>
        </w:rPr>
        <w:t>否认指控的犯罪事实</w:t>
      </w:r>
      <w:r>
        <w:rPr>
          <w:rFonts w:ascii="宋体" w:eastAsia="宋体" w:hAnsi="宋体" w:cs="宋体" w:hint="eastAsia"/>
          <w:color w:val="000000" w:themeColor="text1"/>
          <w:sz w:val="18"/>
          <w:szCs w:val="18"/>
        </w:rPr>
        <w:t>的；4．</w:t>
      </w:r>
      <w:r>
        <w:rPr>
          <w:rFonts w:ascii="宋体" w:eastAsia="宋体" w:hAnsi="宋体" w:cs="宋体" w:hint="eastAsia"/>
          <w:color w:val="C00000"/>
          <w:sz w:val="18"/>
          <w:szCs w:val="18"/>
        </w:rPr>
        <w:t>起诉指控的罪名与审理认定的罪名不一致的</w:t>
      </w:r>
      <w:r>
        <w:rPr>
          <w:rFonts w:ascii="宋体" w:eastAsia="宋体" w:hAnsi="宋体" w:cs="宋体" w:hint="eastAsia"/>
          <w:color w:val="000000" w:themeColor="text1"/>
          <w:sz w:val="18"/>
          <w:szCs w:val="18"/>
        </w:rPr>
        <w:t>；5．其他可能影响公正审判的情形。</w:t>
      </w:r>
    </w:p>
    <w:p w14:paraId="159B7EBD"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对于人民检察院起诉指控的事实清楚，量刑建议适当，但</w:t>
      </w:r>
      <w:r>
        <w:rPr>
          <w:rFonts w:ascii="宋体" w:eastAsia="宋体" w:hAnsi="宋体" w:cs="宋体" w:hint="eastAsia"/>
          <w:color w:val="C00000"/>
          <w:sz w:val="18"/>
          <w:szCs w:val="18"/>
        </w:rPr>
        <w:t>指控的罪名与审理认定的罪名不一致的</w:t>
      </w:r>
      <w:r>
        <w:rPr>
          <w:rFonts w:ascii="宋体" w:eastAsia="宋体" w:hAnsi="宋体" w:cs="宋体" w:hint="eastAsia"/>
          <w:color w:val="000000" w:themeColor="text1"/>
          <w:sz w:val="18"/>
          <w:szCs w:val="18"/>
        </w:rPr>
        <w:t>，人民法院</w:t>
      </w:r>
      <w:r>
        <w:rPr>
          <w:rFonts w:ascii="宋体" w:eastAsia="宋体" w:hAnsi="宋体" w:cs="宋体" w:hint="eastAsia"/>
          <w:color w:val="C00000"/>
          <w:sz w:val="18"/>
          <w:szCs w:val="18"/>
        </w:rPr>
        <w:t>应当听取</w:t>
      </w:r>
      <w:r>
        <w:rPr>
          <w:rFonts w:ascii="宋体" w:eastAsia="宋体" w:hAnsi="宋体" w:cs="宋体" w:hint="eastAsia"/>
          <w:color w:val="000000" w:themeColor="text1"/>
          <w:sz w:val="18"/>
          <w:szCs w:val="18"/>
        </w:rPr>
        <w:t>人民检察院、被告人及其辩护人对审理认定罪名的意见，依法作出裁判。</w:t>
      </w:r>
      <w:r>
        <w:rPr>
          <w:rFonts w:ascii="宋体" w:eastAsia="宋体" w:hAnsi="宋体" w:cs="宋体" w:hint="eastAsia"/>
          <w:b/>
          <w:bCs/>
          <w:color w:val="0070C0"/>
          <w:sz w:val="18"/>
          <w:szCs w:val="18"/>
        </w:rPr>
        <w:t>（即可以改变罪名）</w:t>
      </w:r>
    </w:p>
    <w:p w14:paraId="0959DBBA"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（二）</w:t>
      </w:r>
      <w:r>
        <w:rPr>
          <w:rFonts w:ascii="宋体" w:eastAsia="宋体" w:hAnsi="宋体" w:cs="宋体" w:hint="eastAsia"/>
          <w:color w:val="C00000"/>
          <w:sz w:val="18"/>
          <w:szCs w:val="18"/>
        </w:rPr>
        <w:t>量刑建议的调整</w:t>
      </w:r>
      <w:r>
        <w:rPr>
          <w:rFonts w:ascii="宋体" w:eastAsia="宋体" w:hAnsi="宋体" w:cs="宋体" w:hint="eastAsia"/>
          <w:color w:val="000000" w:themeColor="text1"/>
          <w:sz w:val="18"/>
          <w:szCs w:val="18"/>
        </w:rPr>
        <w:t>。人民法院经审理，认为量刑建议明显不当，或者被告人、辩护人对量刑建议有</w:t>
      </w:r>
      <w:r>
        <w:rPr>
          <w:rFonts w:ascii="宋体" w:eastAsia="宋体" w:hAnsi="宋体" w:cs="宋体" w:hint="eastAsia"/>
          <w:color w:val="000000" w:themeColor="text1"/>
          <w:sz w:val="18"/>
          <w:szCs w:val="18"/>
        </w:rPr>
        <w:lastRenderedPageBreak/>
        <w:t>异议且有理有据的，人民法院应当告知人民检察院，</w:t>
      </w:r>
      <w:r>
        <w:rPr>
          <w:rFonts w:ascii="宋体" w:eastAsia="宋体" w:hAnsi="宋体" w:cs="宋体" w:hint="eastAsia"/>
          <w:color w:val="C00000"/>
          <w:sz w:val="18"/>
          <w:szCs w:val="18"/>
        </w:rPr>
        <w:t>人民检察院可以调整量刑建议</w:t>
      </w:r>
      <w:r>
        <w:rPr>
          <w:rFonts w:ascii="宋体" w:eastAsia="宋体" w:hAnsi="宋体" w:cs="宋体" w:hint="eastAsia"/>
          <w:color w:val="000000" w:themeColor="text1"/>
          <w:sz w:val="18"/>
          <w:szCs w:val="18"/>
        </w:rPr>
        <w:t>。人民法院认为调整后的量刑建议适当的，应当予以采纳；</w:t>
      </w:r>
      <w:r>
        <w:rPr>
          <w:rFonts w:ascii="宋体" w:eastAsia="宋体" w:hAnsi="宋体" w:cs="宋体" w:hint="eastAsia"/>
          <w:color w:val="C00000"/>
          <w:sz w:val="18"/>
          <w:szCs w:val="18"/>
        </w:rPr>
        <w:t>人民检察院不调整量刑建议或者调整后仍然明显不当的，人民法院应当依法作出判决（即最终的定罪量刑权）</w:t>
      </w:r>
      <w:r>
        <w:rPr>
          <w:rFonts w:ascii="宋体" w:eastAsia="宋体" w:hAnsi="宋体" w:cs="宋体" w:hint="eastAsia"/>
          <w:color w:val="000000" w:themeColor="text1"/>
          <w:sz w:val="18"/>
          <w:szCs w:val="18"/>
        </w:rPr>
        <w:t>。</w:t>
      </w:r>
    </w:p>
    <w:p w14:paraId="574F117C"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（三）</w:t>
      </w:r>
      <w:r>
        <w:rPr>
          <w:rFonts w:ascii="宋体" w:eastAsia="宋体" w:hAnsi="宋体" w:cs="宋体" w:hint="eastAsia"/>
          <w:color w:val="C00000"/>
          <w:sz w:val="18"/>
          <w:szCs w:val="18"/>
        </w:rPr>
        <w:t>被告人当庭认罪认罚案件的处理</w:t>
      </w:r>
      <w:r>
        <w:rPr>
          <w:rFonts w:ascii="宋体" w:eastAsia="宋体" w:hAnsi="宋体" w:cs="宋体" w:hint="eastAsia"/>
          <w:color w:val="000000" w:themeColor="text1"/>
          <w:sz w:val="18"/>
          <w:szCs w:val="18"/>
        </w:rPr>
        <w:t>。被告人在侦查、审查起诉阶段没有认罪认罚，但当庭认罪，愿意接受处罚的，人民法院</w:t>
      </w:r>
      <w:r>
        <w:rPr>
          <w:rFonts w:ascii="宋体" w:eastAsia="宋体" w:hAnsi="宋体" w:cs="宋体" w:hint="eastAsia"/>
          <w:color w:val="C00000"/>
          <w:sz w:val="18"/>
          <w:szCs w:val="18"/>
        </w:rPr>
        <w:t>可以不再通知人民检察院提出或者调整量刑建议，应当根据审理查明的事实，应当就定罪和量刑听取控辩双方意见，依法作出裁判</w:t>
      </w:r>
      <w:r>
        <w:rPr>
          <w:rFonts w:ascii="宋体" w:eastAsia="宋体" w:hAnsi="宋体" w:cs="宋体" w:hint="eastAsia"/>
          <w:color w:val="000000" w:themeColor="text1"/>
          <w:sz w:val="18"/>
          <w:szCs w:val="18"/>
        </w:rPr>
        <w:t>。</w:t>
      </w:r>
    </w:p>
    <w:p w14:paraId="0F5EB49E"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十、未成年人认罪认罚案件的办理</w:t>
      </w:r>
    </w:p>
    <w:p w14:paraId="3F43BA76"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（一）</w:t>
      </w:r>
      <w:r>
        <w:rPr>
          <w:rFonts w:ascii="宋体" w:eastAsia="宋体" w:hAnsi="宋体" w:cs="宋体" w:hint="eastAsia"/>
          <w:color w:val="C00000"/>
          <w:sz w:val="18"/>
          <w:szCs w:val="18"/>
        </w:rPr>
        <w:t>听取意见</w:t>
      </w:r>
      <w:r>
        <w:rPr>
          <w:rFonts w:ascii="宋体" w:eastAsia="宋体" w:hAnsi="宋体" w:cs="宋体" w:hint="eastAsia"/>
          <w:color w:val="000000" w:themeColor="text1"/>
          <w:sz w:val="18"/>
          <w:szCs w:val="18"/>
        </w:rPr>
        <w:t>。人民法院、人民检察院办理未成年人认罪认罚案件，</w:t>
      </w:r>
      <w:r>
        <w:rPr>
          <w:rFonts w:ascii="宋体" w:eastAsia="宋体" w:hAnsi="宋体" w:cs="宋体" w:hint="eastAsia"/>
          <w:color w:val="C00000"/>
          <w:sz w:val="18"/>
          <w:szCs w:val="18"/>
        </w:rPr>
        <w:t>应当听取</w:t>
      </w:r>
      <w:r>
        <w:rPr>
          <w:rFonts w:ascii="宋体" w:eastAsia="宋体" w:hAnsi="宋体" w:cs="宋体" w:hint="eastAsia"/>
          <w:color w:val="000000" w:themeColor="text1"/>
          <w:sz w:val="18"/>
          <w:szCs w:val="18"/>
        </w:rPr>
        <w:t>未成年犯罪嫌疑人、被告人的</w:t>
      </w:r>
      <w:r>
        <w:rPr>
          <w:rFonts w:ascii="宋体" w:eastAsia="宋体" w:hAnsi="宋体" w:cs="宋体" w:hint="eastAsia"/>
          <w:color w:val="C00000"/>
          <w:sz w:val="18"/>
          <w:szCs w:val="18"/>
        </w:rPr>
        <w:t>法定代理人的意见</w:t>
      </w:r>
      <w:r>
        <w:rPr>
          <w:rFonts w:ascii="宋体" w:eastAsia="宋体" w:hAnsi="宋体" w:cs="宋体" w:hint="eastAsia"/>
          <w:color w:val="000000" w:themeColor="text1"/>
          <w:sz w:val="18"/>
          <w:szCs w:val="18"/>
        </w:rPr>
        <w:t>，法定代理人</w:t>
      </w:r>
      <w:r>
        <w:rPr>
          <w:rFonts w:ascii="宋体" w:eastAsia="宋体" w:hAnsi="宋体" w:cs="宋体" w:hint="eastAsia"/>
          <w:color w:val="C00000"/>
          <w:sz w:val="18"/>
          <w:szCs w:val="18"/>
        </w:rPr>
        <w:t>无法到场的</w:t>
      </w:r>
      <w:r>
        <w:rPr>
          <w:rFonts w:ascii="宋体" w:eastAsia="宋体" w:hAnsi="宋体" w:cs="宋体" w:hint="eastAsia"/>
          <w:color w:val="000000" w:themeColor="text1"/>
          <w:sz w:val="18"/>
          <w:szCs w:val="18"/>
        </w:rPr>
        <w:t>，</w:t>
      </w:r>
      <w:r>
        <w:rPr>
          <w:rFonts w:ascii="宋体" w:eastAsia="宋体" w:hAnsi="宋体" w:cs="宋体" w:hint="eastAsia"/>
          <w:color w:val="C00000"/>
          <w:sz w:val="18"/>
          <w:szCs w:val="18"/>
        </w:rPr>
        <w:t>应当听取合适成年人的意见，但受案时犯罪嫌疑人已经成年的除外</w:t>
      </w:r>
      <w:r>
        <w:rPr>
          <w:rFonts w:ascii="宋体" w:eastAsia="宋体" w:hAnsi="宋体" w:cs="宋体" w:hint="eastAsia"/>
          <w:color w:val="000000" w:themeColor="text1"/>
          <w:sz w:val="18"/>
          <w:szCs w:val="18"/>
        </w:rPr>
        <w:t>。</w:t>
      </w:r>
    </w:p>
    <w:p w14:paraId="24550906"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（二）</w:t>
      </w:r>
      <w:r>
        <w:rPr>
          <w:rFonts w:ascii="宋体" w:eastAsia="宋体" w:hAnsi="宋体" w:cs="宋体" w:hint="eastAsia"/>
          <w:color w:val="C00000"/>
          <w:sz w:val="18"/>
          <w:szCs w:val="18"/>
        </w:rPr>
        <w:t>具结书签署</w:t>
      </w:r>
      <w:r>
        <w:rPr>
          <w:rFonts w:ascii="宋体" w:eastAsia="宋体" w:hAnsi="宋体" w:cs="宋体" w:hint="eastAsia"/>
          <w:color w:val="000000" w:themeColor="text1"/>
          <w:sz w:val="18"/>
          <w:szCs w:val="18"/>
        </w:rPr>
        <w:t>。</w:t>
      </w:r>
      <w:r>
        <w:rPr>
          <w:rFonts w:ascii="宋体" w:eastAsia="宋体" w:hAnsi="宋体" w:cs="宋体" w:hint="eastAsia"/>
          <w:color w:val="C00000"/>
          <w:sz w:val="18"/>
          <w:szCs w:val="18"/>
        </w:rPr>
        <w:t>未成年犯罪嫌疑人签署认罪认罚具结书时，其法定代理人应当到场并签字确认。法定代理人无法到场的，合适成年人应当到场签字确认。法定代理人、辩护人对未成年人认罪认罚有异议的，不需要签署认罪认罚具结书</w:t>
      </w:r>
      <w:r>
        <w:rPr>
          <w:rFonts w:ascii="宋体" w:eastAsia="宋体" w:hAnsi="宋体" w:cs="宋体" w:hint="eastAsia"/>
          <w:color w:val="000000" w:themeColor="text1"/>
          <w:sz w:val="18"/>
          <w:szCs w:val="18"/>
        </w:rPr>
        <w:t>。</w:t>
      </w:r>
    </w:p>
    <w:p w14:paraId="6D4801F2"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（三）</w:t>
      </w:r>
      <w:r>
        <w:rPr>
          <w:rFonts w:ascii="宋体" w:eastAsia="宋体" w:hAnsi="宋体" w:cs="宋体" w:hint="eastAsia"/>
          <w:color w:val="C00000"/>
          <w:sz w:val="18"/>
          <w:szCs w:val="18"/>
        </w:rPr>
        <w:t>程序适用</w:t>
      </w:r>
      <w:r>
        <w:rPr>
          <w:rFonts w:ascii="宋体" w:eastAsia="宋体" w:hAnsi="宋体" w:cs="宋体" w:hint="eastAsia"/>
          <w:color w:val="000000" w:themeColor="text1"/>
          <w:sz w:val="18"/>
          <w:szCs w:val="18"/>
        </w:rPr>
        <w:t>。未成年人认罪认罚案件，</w:t>
      </w:r>
      <w:r>
        <w:rPr>
          <w:rFonts w:ascii="宋体" w:eastAsia="宋体" w:hAnsi="宋体" w:cs="宋体" w:hint="eastAsia"/>
          <w:color w:val="C00000"/>
          <w:sz w:val="18"/>
          <w:szCs w:val="18"/>
        </w:rPr>
        <w:t>不适用速裁程序。</w:t>
      </w:r>
    </w:p>
    <w:p w14:paraId="7E7F87CA"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十一、速裁程序的适用</w:t>
      </w:r>
    </w:p>
    <w:p w14:paraId="7D89395B"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（一）速裁程序的</w:t>
      </w:r>
      <w:r>
        <w:rPr>
          <w:rFonts w:ascii="宋体" w:eastAsia="宋体" w:hAnsi="宋体" w:cs="宋体" w:hint="eastAsia"/>
          <w:color w:val="C00000"/>
          <w:sz w:val="18"/>
          <w:szCs w:val="18"/>
        </w:rPr>
        <w:t>适用范围</w:t>
      </w:r>
      <w:r>
        <w:rPr>
          <w:rFonts w:ascii="宋体" w:eastAsia="宋体" w:hAnsi="宋体" w:cs="宋体" w:hint="eastAsia"/>
          <w:color w:val="000000" w:themeColor="text1"/>
          <w:sz w:val="18"/>
          <w:szCs w:val="18"/>
        </w:rPr>
        <w:t>：基层人民法院管辖的</w:t>
      </w:r>
      <w:r>
        <w:rPr>
          <w:rFonts w:ascii="宋体" w:eastAsia="宋体" w:hAnsi="宋体" w:cs="宋体" w:hint="eastAsia"/>
          <w:b/>
          <w:bCs/>
          <w:color w:val="C00000"/>
          <w:sz w:val="18"/>
          <w:szCs w:val="18"/>
          <w:u w:val="single"/>
        </w:rPr>
        <w:t>可能判处三年有期徒刑以下</w:t>
      </w:r>
      <w:r>
        <w:rPr>
          <w:rFonts w:ascii="宋体" w:eastAsia="宋体" w:hAnsi="宋体" w:cs="宋体" w:hint="eastAsia"/>
          <w:color w:val="C00000"/>
          <w:sz w:val="18"/>
          <w:szCs w:val="18"/>
        </w:rPr>
        <w:t>刑罚的案件，案件事实清楚，证据确实、充分，</w:t>
      </w:r>
      <w:r>
        <w:rPr>
          <w:rFonts w:ascii="宋体" w:eastAsia="宋体" w:hAnsi="宋体" w:cs="宋体" w:hint="eastAsia"/>
          <w:b/>
          <w:bCs/>
          <w:color w:val="C00000"/>
          <w:sz w:val="18"/>
          <w:szCs w:val="18"/>
        </w:rPr>
        <w:t>被告人</w:t>
      </w:r>
      <w:r>
        <w:rPr>
          <w:rFonts w:ascii="宋体" w:eastAsia="宋体" w:hAnsi="宋体" w:cs="宋体" w:hint="eastAsia"/>
          <w:b/>
          <w:bCs/>
          <w:color w:val="C00000"/>
          <w:sz w:val="18"/>
          <w:szCs w:val="18"/>
          <w:u w:val="single"/>
        </w:rPr>
        <w:t>认罪认罚</w:t>
      </w:r>
      <w:r>
        <w:rPr>
          <w:rFonts w:ascii="宋体" w:eastAsia="宋体" w:hAnsi="宋体" w:cs="宋体" w:hint="eastAsia"/>
          <w:color w:val="C00000"/>
          <w:sz w:val="18"/>
          <w:szCs w:val="18"/>
        </w:rPr>
        <w:t>并同意适用速裁程序的，可以适用速裁程序，由审判员一人独任审判。</w:t>
      </w:r>
      <w:r>
        <w:rPr>
          <w:rFonts w:ascii="宋体" w:eastAsia="宋体" w:hAnsi="宋体" w:cs="宋体" w:hint="eastAsia"/>
          <w:color w:val="000000" w:themeColor="text1"/>
          <w:sz w:val="18"/>
          <w:szCs w:val="18"/>
        </w:rPr>
        <w:t>人民检察院提起公诉时，可以建议人民法院适用速裁程序。有下列情形之一的，</w:t>
      </w:r>
      <w:r>
        <w:rPr>
          <w:rFonts w:ascii="宋体" w:eastAsia="宋体" w:hAnsi="宋体" w:cs="宋体" w:hint="eastAsia"/>
          <w:color w:val="C00000"/>
          <w:sz w:val="18"/>
          <w:szCs w:val="18"/>
        </w:rPr>
        <w:t>不适用速裁程序办理：</w:t>
      </w:r>
      <w:r>
        <w:rPr>
          <w:rFonts w:ascii="宋体" w:eastAsia="宋体" w:hAnsi="宋体" w:cs="宋体" w:hint="eastAsia"/>
          <w:color w:val="000000" w:themeColor="text1"/>
          <w:sz w:val="18"/>
          <w:szCs w:val="18"/>
        </w:rPr>
        <w:t>1．被告人是盲、聋、哑人，或者是尚未完全丧失辨认或者控制自己行为能力的精神病人的；2．</w:t>
      </w:r>
      <w:r>
        <w:rPr>
          <w:rFonts w:ascii="宋体" w:eastAsia="宋体" w:hAnsi="宋体" w:cs="宋体" w:hint="eastAsia"/>
          <w:color w:val="C00000"/>
          <w:sz w:val="18"/>
          <w:szCs w:val="18"/>
        </w:rPr>
        <w:t>被告人是未成年人的</w:t>
      </w:r>
      <w:r>
        <w:rPr>
          <w:rFonts w:ascii="宋体" w:eastAsia="宋体" w:hAnsi="宋体" w:cs="宋体" w:hint="eastAsia"/>
          <w:color w:val="000000" w:themeColor="text1"/>
          <w:sz w:val="18"/>
          <w:szCs w:val="18"/>
        </w:rPr>
        <w:t>；3．案件有重大社会影响的；4．共同犯罪案件中部分被告人对指控的犯罪事实、罪名、量刑建议或者适用速裁程序有异议的；5．</w:t>
      </w:r>
      <w:r>
        <w:rPr>
          <w:rFonts w:ascii="宋体" w:eastAsia="宋体" w:hAnsi="宋体" w:cs="宋体" w:hint="eastAsia"/>
          <w:color w:val="C00000"/>
          <w:sz w:val="18"/>
          <w:szCs w:val="18"/>
        </w:rPr>
        <w:t>被告人与被害人或者其法定代理人没有就附带民事诉讼赔偿等事项达成调解或者和解协议的</w:t>
      </w:r>
      <w:r>
        <w:rPr>
          <w:rFonts w:ascii="宋体" w:eastAsia="宋体" w:hAnsi="宋体" w:cs="宋体" w:hint="eastAsia"/>
          <w:color w:val="000000" w:themeColor="text1"/>
          <w:sz w:val="18"/>
          <w:szCs w:val="18"/>
        </w:rPr>
        <w:t>；6．辩护人作无罪辩护的；7．其他不宜适用速裁程序办理的案件。</w:t>
      </w:r>
    </w:p>
    <w:p w14:paraId="146A4455"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（二）速裁程序的</w:t>
      </w:r>
      <w:r>
        <w:rPr>
          <w:rFonts w:ascii="宋体" w:eastAsia="宋体" w:hAnsi="宋体" w:cs="宋体" w:hint="eastAsia"/>
          <w:color w:val="C00000"/>
          <w:sz w:val="18"/>
          <w:szCs w:val="18"/>
        </w:rPr>
        <w:t>启动</w:t>
      </w:r>
      <w:r>
        <w:rPr>
          <w:rFonts w:ascii="宋体" w:eastAsia="宋体" w:hAnsi="宋体" w:cs="宋体" w:hint="eastAsia"/>
          <w:color w:val="000000" w:themeColor="text1"/>
          <w:sz w:val="18"/>
          <w:szCs w:val="18"/>
        </w:rPr>
        <w:t>：</w:t>
      </w:r>
      <w:r>
        <w:rPr>
          <w:rFonts w:ascii="宋体" w:eastAsia="宋体" w:hAnsi="宋体" w:cs="宋体" w:hint="eastAsia"/>
          <w:b/>
          <w:bCs/>
          <w:color w:val="0070C0"/>
          <w:sz w:val="18"/>
          <w:szCs w:val="18"/>
        </w:rPr>
        <w:t>不限于检察院建议启动；法院可以主动适用；被告人及其辩护人可以申请适用</w:t>
      </w:r>
    </w:p>
    <w:p w14:paraId="4BCC367D"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（三）速裁案件的审理程序：</w:t>
      </w:r>
      <w:r>
        <w:rPr>
          <w:rFonts w:ascii="宋体" w:eastAsia="宋体" w:hAnsi="宋体" w:cs="宋体" w:hint="eastAsia"/>
          <w:color w:val="C00000"/>
          <w:sz w:val="18"/>
          <w:szCs w:val="18"/>
        </w:rPr>
        <w:t>不受</w:t>
      </w:r>
      <w:r>
        <w:rPr>
          <w:rFonts w:ascii="宋体" w:eastAsia="宋体" w:hAnsi="宋体" w:cs="宋体" w:hint="eastAsia"/>
          <w:color w:val="000000" w:themeColor="text1"/>
          <w:sz w:val="18"/>
          <w:szCs w:val="18"/>
        </w:rPr>
        <w:t>刑事诉讼法规定的</w:t>
      </w:r>
      <w:r>
        <w:rPr>
          <w:rFonts w:ascii="宋体" w:eastAsia="宋体" w:hAnsi="宋体" w:cs="宋体" w:hint="eastAsia"/>
          <w:color w:val="C00000"/>
          <w:sz w:val="18"/>
          <w:szCs w:val="18"/>
        </w:rPr>
        <w:t>送达期限的限制</w:t>
      </w:r>
      <w:r>
        <w:rPr>
          <w:rFonts w:ascii="宋体" w:eastAsia="宋体" w:hAnsi="宋体" w:cs="宋体" w:hint="eastAsia"/>
          <w:color w:val="000000" w:themeColor="text1"/>
          <w:sz w:val="18"/>
          <w:szCs w:val="18"/>
        </w:rPr>
        <w:t>，</w:t>
      </w:r>
      <w:r>
        <w:rPr>
          <w:rFonts w:ascii="宋体" w:eastAsia="宋体" w:hAnsi="宋体" w:cs="宋体" w:hint="eastAsia"/>
          <w:color w:val="C00000"/>
          <w:sz w:val="18"/>
          <w:szCs w:val="18"/>
        </w:rPr>
        <w:t>一般不进行</w:t>
      </w:r>
      <w:r>
        <w:rPr>
          <w:rFonts w:ascii="宋体" w:eastAsia="宋体" w:hAnsi="宋体" w:cs="宋体" w:hint="eastAsia"/>
          <w:color w:val="000000" w:themeColor="text1"/>
          <w:sz w:val="18"/>
          <w:szCs w:val="18"/>
        </w:rPr>
        <w:t>法庭调查、法庭辩论，但在</w:t>
      </w:r>
      <w:r>
        <w:rPr>
          <w:rFonts w:ascii="宋体" w:eastAsia="宋体" w:hAnsi="宋体" w:cs="宋体" w:hint="eastAsia"/>
          <w:color w:val="C00000"/>
          <w:sz w:val="18"/>
          <w:szCs w:val="18"/>
        </w:rPr>
        <w:t>判决宣告前应当听取辩护人的意见和被告人的最后陈述意见</w:t>
      </w:r>
      <w:r>
        <w:rPr>
          <w:rFonts w:ascii="宋体" w:eastAsia="宋体" w:hAnsi="宋体" w:cs="宋体" w:hint="eastAsia"/>
          <w:color w:val="000000" w:themeColor="text1"/>
          <w:sz w:val="18"/>
          <w:szCs w:val="18"/>
        </w:rPr>
        <w:t>。适用速裁程序审理案件，</w:t>
      </w:r>
      <w:r>
        <w:rPr>
          <w:rFonts w:ascii="宋体" w:eastAsia="宋体" w:hAnsi="宋体" w:cs="宋体" w:hint="eastAsia"/>
          <w:color w:val="C00000"/>
          <w:sz w:val="18"/>
          <w:szCs w:val="18"/>
        </w:rPr>
        <w:t>应当当庭宣判</w:t>
      </w:r>
      <w:r>
        <w:rPr>
          <w:rFonts w:ascii="宋体" w:eastAsia="宋体" w:hAnsi="宋体" w:cs="宋体" w:hint="eastAsia"/>
          <w:color w:val="000000" w:themeColor="text1"/>
          <w:sz w:val="18"/>
          <w:szCs w:val="18"/>
        </w:rPr>
        <w:t>。集中审理的，</w:t>
      </w:r>
      <w:r>
        <w:rPr>
          <w:rFonts w:ascii="宋体" w:eastAsia="宋体" w:hAnsi="宋体" w:cs="宋体" w:hint="eastAsia"/>
          <w:color w:val="C00000"/>
          <w:sz w:val="18"/>
          <w:szCs w:val="18"/>
        </w:rPr>
        <w:t>可以集中当庭宣判</w:t>
      </w:r>
      <w:r>
        <w:rPr>
          <w:rFonts w:ascii="宋体" w:eastAsia="宋体" w:hAnsi="宋体" w:cs="宋体" w:hint="eastAsia"/>
          <w:color w:val="000000" w:themeColor="text1"/>
          <w:sz w:val="18"/>
          <w:szCs w:val="18"/>
        </w:rPr>
        <w:t>。</w:t>
      </w:r>
    </w:p>
    <w:p w14:paraId="7453296E"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（四）速裁案件的二审程序。被告人不服适用速裁程序作出的第一审判决提出上诉的案件，</w:t>
      </w:r>
      <w:r>
        <w:rPr>
          <w:rFonts w:ascii="宋体" w:eastAsia="宋体" w:hAnsi="宋体" w:cs="宋体" w:hint="eastAsia"/>
          <w:b/>
          <w:bCs/>
          <w:color w:val="C00000"/>
          <w:sz w:val="18"/>
          <w:szCs w:val="18"/>
        </w:rPr>
        <w:t>可以不开庭审理</w:t>
      </w:r>
      <w:r>
        <w:rPr>
          <w:rFonts w:ascii="宋体" w:eastAsia="宋体" w:hAnsi="宋体" w:cs="宋体" w:hint="eastAsia"/>
          <w:color w:val="000000" w:themeColor="text1"/>
          <w:sz w:val="18"/>
          <w:szCs w:val="18"/>
        </w:rPr>
        <w:t>。第二审人民法院审查后，按照下列情形分别处理：</w:t>
      </w:r>
    </w:p>
    <w:p w14:paraId="356960DD" w14:textId="77777777" w:rsidR="00464ADF" w:rsidRDefault="00000000">
      <w:pPr>
        <w:ind w:firstLine="420"/>
        <w:rPr>
          <w:rFonts w:ascii="宋体" w:eastAsia="宋体" w:hAnsi="宋体" w:cs="宋体" w:hint="eastAsia"/>
          <w:color w:val="C00000"/>
          <w:sz w:val="18"/>
          <w:szCs w:val="18"/>
        </w:rPr>
      </w:pPr>
      <w:r>
        <w:rPr>
          <w:rFonts w:ascii="宋体" w:eastAsia="宋体" w:hAnsi="宋体" w:cs="宋体" w:hint="eastAsia"/>
          <w:color w:val="C00000"/>
          <w:sz w:val="18"/>
          <w:szCs w:val="18"/>
        </w:rPr>
        <w:t>1．发现被告人以</w:t>
      </w:r>
      <w:r>
        <w:rPr>
          <w:rFonts w:ascii="宋体" w:eastAsia="宋体" w:hAnsi="宋体" w:cs="宋体" w:hint="eastAsia"/>
          <w:b/>
          <w:bCs/>
          <w:color w:val="C00000"/>
          <w:sz w:val="18"/>
          <w:szCs w:val="18"/>
        </w:rPr>
        <w:t>事实不清、证据不足</w:t>
      </w:r>
      <w:r>
        <w:rPr>
          <w:rFonts w:ascii="宋体" w:eastAsia="宋体" w:hAnsi="宋体" w:cs="宋体" w:hint="eastAsia"/>
          <w:color w:val="C00000"/>
          <w:sz w:val="18"/>
          <w:szCs w:val="18"/>
        </w:rPr>
        <w:t>为由提出上诉的，</w:t>
      </w:r>
      <w:r>
        <w:rPr>
          <w:rFonts w:ascii="宋体" w:eastAsia="宋体" w:hAnsi="宋体" w:cs="宋体" w:hint="eastAsia"/>
          <w:b/>
          <w:bCs/>
          <w:color w:val="C00000"/>
          <w:sz w:val="18"/>
          <w:szCs w:val="18"/>
          <w:u w:val="single"/>
        </w:rPr>
        <w:t>应当</w:t>
      </w:r>
      <w:r>
        <w:rPr>
          <w:rFonts w:ascii="宋体" w:eastAsia="宋体" w:hAnsi="宋体" w:cs="宋体" w:hint="eastAsia"/>
          <w:b/>
          <w:bCs/>
          <w:color w:val="C00000"/>
          <w:sz w:val="18"/>
          <w:szCs w:val="18"/>
        </w:rPr>
        <w:t>裁定撤销原判</w:t>
      </w:r>
      <w:r>
        <w:rPr>
          <w:rFonts w:ascii="宋体" w:eastAsia="宋体" w:hAnsi="宋体" w:cs="宋体" w:hint="eastAsia"/>
          <w:color w:val="C00000"/>
          <w:sz w:val="18"/>
          <w:szCs w:val="18"/>
        </w:rPr>
        <w:t>，</w:t>
      </w:r>
      <w:r>
        <w:rPr>
          <w:rFonts w:ascii="宋体" w:eastAsia="宋体" w:hAnsi="宋体" w:cs="宋体" w:hint="eastAsia"/>
          <w:b/>
          <w:bCs/>
          <w:color w:val="C00000"/>
          <w:sz w:val="18"/>
          <w:szCs w:val="18"/>
        </w:rPr>
        <w:t>发回原审人民法院适用普通程序重新审理</w:t>
      </w:r>
      <w:r>
        <w:rPr>
          <w:rFonts w:ascii="宋体" w:eastAsia="宋体" w:hAnsi="宋体" w:cs="宋体" w:hint="eastAsia"/>
          <w:color w:val="C00000"/>
          <w:sz w:val="18"/>
          <w:szCs w:val="18"/>
        </w:rPr>
        <w:t>，不再按认罪认罚案件从宽处罚；</w:t>
      </w:r>
    </w:p>
    <w:p w14:paraId="26B5DA86" w14:textId="77777777" w:rsidR="00464ADF" w:rsidRDefault="00000000">
      <w:pPr>
        <w:ind w:firstLine="420"/>
        <w:rPr>
          <w:rFonts w:ascii="宋体" w:eastAsia="宋体" w:hAnsi="宋体" w:cs="宋体" w:hint="eastAsia"/>
          <w:color w:val="C00000"/>
          <w:sz w:val="18"/>
          <w:szCs w:val="18"/>
        </w:rPr>
      </w:pPr>
      <w:r>
        <w:rPr>
          <w:rFonts w:ascii="宋体" w:eastAsia="宋体" w:hAnsi="宋体" w:cs="宋体" w:hint="eastAsia"/>
          <w:color w:val="C00000"/>
          <w:sz w:val="18"/>
          <w:szCs w:val="18"/>
        </w:rPr>
        <w:t>2．发现被告人以</w:t>
      </w:r>
      <w:r>
        <w:rPr>
          <w:rFonts w:ascii="宋体" w:eastAsia="宋体" w:hAnsi="宋体" w:cs="宋体" w:hint="eastAsia"/>
          <w:b/>
          <w:bCs/>
          <w:color w:val="C00000"/>
          <w:sz w:val="18"/>
          <w:szCs w:val="18"/>
        </w:rPr>
        <w:t>量刑不当</w:t>
      </w:r>
      <w:r>
        <w:rPr>
          <w:rFonts w:ascii="宋体" w:eastAsia="宋体" w:hAnsi="宋体" w:cs="宋体" w:hint="eastAsia"/>
          <w:color w:val="C00000"/>
          <w:sz w:val="18"/>
          <w:szCs w:val="18"/>
        </w:rPr>
        <w:t>为由提出上诉的，原判量刑适当的，应当裁定驳回上诉，维持原判；原判</w:t>
      </w:r>
      <w:r>
        <w:rPr>
          <w:rFonts w:ascii="宋体" w:eastAsia="宋体" w:hAnsi="宋体" w:cs="宋体" w:hint="eastAsia"/>
          <w:b/>
          <w:bCs/>
          <w:color w:val="C00000"/>
          <w:sz w:val="18"/>
          <w:szCs w:val="18"/>
        </w:rPr>
        <w:t>量刑不当</w:t>
      </w:r>
      <w:r>
        <w:rPr>
          <w:rFonts w:ascii="宋体" w:eastAsia="宋体" w:hAnsi="宋体" w:cs="宋体" w:hint="eastAsia"/>
          <w:color w:val="C00000"/>
          <w:sz w:val="18"/>
          <w:szCs w:val="18"/>
        </w:rPr>
        <w:t>的，经审理后</w:t>
      </w:r>
      <w:r>
        <w:rPr>
          <w:rFonts w:ascii="宋体" w:eastAsia="宋体" w:hAnsi="宋体" w:cs="宋体" w:hint="eastAsia"/>
          <w:b/>
          <w:bCs/>
          <w:color w:val="C00000"/>
          <w:sz w:val="18"/>
          <w:szCs w:val="18"/>
        </w:rPr>
        <w:t>依法改判</w:t>
      </w:r>
      <w:r>
        <w:rPr>
          <w:rFonts w:ascii="宋体" w:eastAsia="宋体" w:hAnsi="宋体" w:cs="宋体" w:hint="eastAsia"/>
          <w:color w:val="C00000"/>
          <w:sz w:val="18"/>
          <w:szCs w:val="18"/>
        </w:rPr>
        <w:t>。</w:t>
      </w:r>
    </w:p>
    <w:p w14:paraId="298D1129" w14:textId="5A2AC7E0" w:rsidR="00464ADF" w:rsidRDefault="00000000">
      <w:pPr>
        <w:pStyle w:val="1"/>
        <w:tabs>
          <w:tab w:val="left" w:pos="420"/>
        </w:tabs>
        <w:spacing w:before="0" w:after="0" w:line="240" w:lineRule="auto"/>
        <w:jc w:val="center"/>
        <w:rPr>
          <w:rFonts w:ascii="宋体" w:hAnsi="宋体" w:hint="eastAsia"/>
          <w:bCs w:val="0"/>
          <w:sz w:val="18"/>
          <w:szCs w:val="18"/>
        </w:rPr>
      </w:pPr>
      <w:bookmarkStart w:id="38" w:name="_Toc29614"/>
      <w:bookmarkStart w:id="39" w:name="_Toc136521793"/>
      <w:bookmarkStart w:id="40" w:name="_Toc4844148"/>
      <w:r>
        <w:rPr>
          <w:rFonts w:ascii="宋体" w:hAnsi="宋体" w:hint="eastAsia"/>
          <w:bCs w:val="0"/>
          <w:sz w:val="18"/>
          <w:szCs w:val="18"/>
        </w:rPr>
        <w:t>考点5</w:t>
      </w:r>
      <w:r>
        <w:rPr>
          <w:rFonts w:ascii="宋体" w:hAnsi="宋体"/>
          <w:bCs w:val="0"/>
          <w:sz w:val="18"/>
          <w:szCs w:val="18"/>
        </w:rPr>
        <w:t xml:space="preserve">3  </w:t>
      </w:r>
      <w:r>
        <w:rPr>
          <w:rFonts w:ascii="宋体" w:hAnsi="宋体" w:hint="eastAsia"/>
          <w:bCs w:val="0"/>
          <w:sz w:val="18"/>
          <w:szCs w:val="18"/>
        </w:rPr>
        <w:t>第二审程序的审判原则</w:t>
      </w:r>
      <w:bookmarkEnd w:id="38"/>
      <w:bookmarkEnd w:id="39"/>
      <w:bookmarkEnd w:id="40"/>
      <w:r w:rsidR="000612DA">
        <w:rPr>
          <w:rFonts w:ascii="宋体" w:hAnsi="宋体" w:cs="宋体" w:hint="eastAsia"/>
          <w:bCs w:val="0"/>
          <w:sz w:val="18"/>
          <w:szCs w:val="18"/>
        </w:rPr>
        <w:t>（</w:t>
      </w:r>
      <w:r w:rsidR="00F047C2">
        <w:rPr>
          <w:rFonts w:ascii="宋体" w:hAnsi="宋体" w:cs="宋体" w:hint="eastAsia"/>
          <w:bCs w:val="0"/>
          <w:sz w:val="18"/>
          <w:szCs w:val="18"/>
        </w:rPr>
        <w:t>11</w:t>
      </w:r>
      <w:r w:rsidR="000612DA">
        <w:rPr>
          <w:rFonts w:ascii="宋体" w:hAnsi="宋体" w:cs="宋体" w:hint="eastAsia"/>
          <w:bCs w:val="0"/>
          <w:sz w:val="18"/>
          <w:szCs w:val="18"/>
        </w:rPr>
        <w:t>:0</w:t>
      </w:r>
      <w:r w:rsidR="00F047C2">
        <w:rPr>
          <w:rFonts w:ascii="宋体" w:hAnsi="宋体" w:cs="宋体" w:hint="eastAsia"/>
          <w:bCs w:val="0"/>
          <w:sz w:val="18"/>
          <w:szCs w:val="18"/>
        </w:rPr>
        <w:t>2</w:t>
      </w:r>
      <w:r w:rsidR="000612DA">
        <w:rPr>
          <w:rFonts w:ascii="宋体" w:hAnsi="宋体" w:cs="宋体" w:hint="eastAsia"/>
          <w:bCs w:val="0"/>
          <w:sz w:val="18"/>
          <w:szCs w:val="18"/>
        </w:rPr>
        <w:t>:00-</w:t>
      </w:r>
      <w:r w:rsidR="00376AD6">
        <w:rPr>
          <w:rFonts w:ascii="宋体" w:hAnsi="宋体" w:cs="宋体" w:hint="eastAsia"/>
          <w:bCs w:val="0"/>
          <w:sz w:val="18"/>
          <w:szCs w:val="18"/>
        </w:rPr>
        <w:t>11</w:t>
      </w:r>
      <w:r w:rsidR="000612DA">
        <w:rPr>
          <w:rFonts w:ascii="宋体" w:hAnsi="宋体" w:cs="宋体" w:hint="eastAsia"/>
          <w:bCs w:val="0"/>
          <w:sz w:val="18"/>
          <w:szCs w:val="18"/>
        </w:rPr>
        <w:t>:1</w:t>
      </w:r>
      <w:r w:rsidR="00376AD6">
        <w:rPr>
          <w:rFonts w:ascii="宋体" w:hAnsi="宋体" w:cs="宋体" w:hint="eastAsia"/>
          <w:bCs w:val="0"/>
          <w:sz w:val="18"/>
          <w:szCs w:val="18"/>
        </w:rPr>
        <w:t>2</w:t>
      </w:r>
      <w:r w:rsidR="000612DA">
        <w:rPr>
          <w:rFonts w:ascii="宋体" w:hAnsi="宋体" w:cs="宋体" w:hint="eastAsia"/>
          <w:bCs w:val="0"/>
          <w:sz w:val="18"/>
          <w:szCs w:val="18"/>
        </w:rPr>
        <w:t>:00）</w:t>
      </w:r>
    </w:p>
    <w:p w14:paraId="5E672850" w14:textId="35D23B0D" w:rsidR="00464ADF" w:rsidRDefault="00C24833">
      <w:pPr>
        <w:pStyle w:val="3"/>
        <w:spacing w:line="240" w:lineRule="auto"/>
        <w:ind w:firstLineChars="200" w:firstLine="360"/>
        <w:rPr>
          <w:rFonts w:eastAsia="宋体" w:hint="eastAsia"/>
          <w:color w:val="C00000"/>
          <w:sz w:val="18"/>
          <w:szCs w:val="20"/>
        </w:rPr>
      </w:pPr>
      <w:bookmarkStart w:id="41" w:name="_Toc510879133"/>
      <w:r>
        <w:rPr>
          <w:rFonts w:eastAsia="宋体" w:hint="eastAsia"/>
          <w:color w:val="auto"/>
          <w:sz w:val="18"/>
          <w:szCs w:val="20"/>
        </w:rPr>
        <w:t>一、</w:t>
      </w:r>
      <w:r>
        <w:rPr>
          <w:rFonts w:eastAsia="宋体" w:hint="eastAsia"/>
          <w:sz w:val="18"/>
          <w:szCs w:val="18"/>
        </w:rPr>
        <w:t>上诉不加刑原则</w:t>
      </w:r>
      <w:bookmarkEnd w:id="41"/>
      <w:r>
        <w:rPr>
          <w:rFonts w:eastAsia="宋体" w:hint="eastAsia"/>
          <w:b/>
          <w:bCs/>
          <w:color w:val="C00000"/>
          <w:sz w:val="18"/>
          <w:szCs w:val="18"/>
        </w:rPr>
        <w:t>（不得作实质不利的改判）重中之重！——看到题目，先判断本案是否适用上诉不加刑。</w:t>
      </w:r>
      <w:r>
        <w:rPr>
          <w:rFonts w:eastAsia="宋体" w:hint="eastAsia"/>
          <w:color w:val="C00000"/>
          <w:sz w:val="18"/>
          <w:szCs w:val="18"/>
        </w:rPr>
        <w:t>要</w:t>
      </w:r>
      <w:r>
        <w:rPr>
          <w:rFonts w:eastAsia="宋体" w:hint="eastAsia"/>
          <w:color w:val="C00000"/>
          <w:sz w:val="18"/>
          <w:szCs w:val="20"/>
        </w:rPr>
        <w:t>对法院解释第4</w:t>
      </w:r>
      <w:r>
        <w:rPr>
          <w:rFonts w:eastAsia="宋体"/>
          <w:color w:val="C00000"/>
          <w:sz w:val="18"/>
          <w:szCs w:val="20"/>
        </w:rPr>
        <w:t>01</w:t>
      </w:r>
      <w:r>
        <w:rPr>
          <w:rFonts w:eastAsia="宋体" w:hint="eastAsia"/>
          <w:color w:val="C00000"/>
          <w:sz w:val="18"/>
          <w:szCs w:val="20"/>
        </w:rPr>
        <w:t>条灵活掌握！</w:t>
      </w:r>
    </w:p>
    <w:p w14:paraId="36826592" w14:textId="77777777" w:rsidR="00464ADF" w:rsidRDefault="00000000">
      <w:pPr>
        <w:ind w:firstLine="420"/>
        <w:rPr>
          <w:rFonts w:ascii="宋体" w:eastAsia="宋体" w:hAnsi="宋体" w:hint="eastAsia"/>
          <w:color w:val="C00000"/>
          <w:sz w:val="18"/>
          <w:szCs w:val="18"/>
        </w:rPr>
      </w:pPr>
      <w:r>
        <w:rPr>
          <w:rFonts w:ascii="宋体" w:eastAsia="宋体" w:hAnsi="宋体" w:hint="eastAsia"/>
          <w:sz w:val="18"/>
          <w:szCs w:val="18"/>
        </w:rPr>
        <w:t>审理</w:t>
      </w:r>
      <w:r>
        <w:rPr>
          <w:rFonts w:ascii="宋体" w:eastAsia="宋体" w:hAnsi="宋体" w:hint="eastAsia"/>
          <w:color w:val="C00000"/>
          <w:sz w:val="18"/>
          <w:szCs w:val="18"/>
        </w:rPr>
        <w:t>被告人或者其法定代理人、辩护人、近亲属</w:t>
      </w:r>
      <w:r>
        <w:rPr>
          <w:rFonts w:ascii="宋体" w:eastAsia="宋体" w:hAnsi="宋体" w:hint="eastAsia"/>
          <w:sz w:val="18"/>
          <w:szCs w:val="18"/>
        </w:rPr>
        <w:t>提出上诉的案件，</w:t>
      </w:r>
      <w:r>
        <w:rPr>
          <w:rFonts w:ascii="宋体" w:eastAsia="宋体" w:hAnsi="宋体" w:hint="eastAsia"/>
          <w:color w:val="C00000"/>
          <w:sz w:val="18"/>
          <w:szCs w:val="18"/>
        </w:rPr>
        <w:t>不得对被告人的刑罚作出实质不利的改判，人民检察院抗诉或者自诉人上诉的案件，不受限制。</w:t>
      </w:r>
    </w:p>
    <w:p w14:paraId="437F6A14" w14:textId="77777777" w:rsidR="00464ADF" w:rsidRDefault="00000000">
      <w:pPr>
        <w:ind w:firstLine="420"/>
        <w:rPr>
          <w:rFonts w:ascii="宋体" w:eastAsia="宋体" w:hAnsi="宋体" w:hint="eastAsia"/>
          <w:color w:val="FF0000"/>
          <w:sz w:val="18"/>
          <w:szCs w:val="18"/>
        </w:rPr>
      </w:pPr>
      <w:r>
        <w:rPr>
          <w:rFonts w:ascii="宋体" w:eastAsia="宋体" w:hAnsi="宋体" w:hint="eastAsia"/>
          <w:sz w:val="18"/>
          <w:szCs w:val="18"/>
        </w:rPr>
        <w:t>原判认定的罪名不当的，</w:t>
      </w:r>
      <w:r>
        <w:rPr>
          <w:rFonts w:ascii="宋体" w:eastAsia="宋体" w:hAnsi="宋体" w:hint="eastAsia"/>
          <w:color w:val="C00000"/>
          <w:sz w:val="18"/>
          <w:szCs w:val="18"/>
        </w:rPr>
        <w:t>可以改变罪名，但不得加重刑罚或者对刑罚执行产生不利影响。</w:t>
      </w:r>
      <w:r>
        <w:rPr>
          <w:rFonts w:ascii="宋体" w:eastAsia="宋体" w:hAnsi="宋体" w:hint="eastAsia"/>
          <w:sz w:val="18"/>
          <w:szCs w:val="18"/>
        </w:rPr>
        <w:t>原判认定的罪数不当的，</w:t>
      </w:r>
      <w:r>
        <w:rPr>
          <w:rFonts w:ascii="宋体" w:eastAsia="宋体" w:hAnsi="宋体" w:hint="eastAsia"/>
          <w:color w:val="C00000"/>
          <w:sz w:val="18"/>
          <w:szCs w:val="18"/>
        </w:rPr>
        <w:t>可以改变罪数，并调整刑罚，但不得加重决定执行的刑罚或者对刑罚执行产生不利影响。</w:t>
      </w:r>
    </w:p>
    <w:p w14:paraId="72CA7028" w14:textId="6E7215FC" w:rsidR="00464ADF" w:rsidRDefault="00000000" w:rsidP="000612DA">
      <w:pPr>
        <w:ind w:firstLine="420"/>
        <w:rPr>
          <w:rFonts w:ascii="宋体" w:eastAsia="宋体" w:hAnsi="宋体" w:hint="eastAsia"/>
          <w:color w:val="C00000"/>
          <w:sz w:val="18"/>
          <w:szCs w:val="18"/>
        </w:rPr>
      </w:pPr>
      <w:r>
        <w:rPr>
          <w:rFonts w:ascii="宋体" w:eastAsia="宋体" w:hAnsi="宋体" w:hint="eastAsia"/>
          <w:color w:val="C00000"/>
          <w:sz w:val="18"/>
          <w:szCs w:val="18"/>
        </w:rPr>
        <w:t>被告人或者其法定代理人、辩护人、近亲属提出上诉，人民检察院未提出抗诉的案件，第二审人民法院发回重新审判后，除有新的犯罪事实且人民检察院补充起诉的以外，</w:t>
      </w:r>
      <w:r>
        <w:rPr>
          <w:rFonts w:ascii="宋体" w:eastAsia="宋体" w:hAnsi="宋体" w:hint="eastAsia"/>
          <w:sz w:val="18"/>
          <w:szCs w:val="18"/>
        </w:rPr>
        <w:t>原审人民法院不得加重被告人的刑罚。</w:t>
      </w:r>
      <w:r>
        <w:rPr>
          <w:rFonts w:ascii="宋体" w:eastAsia="宋体" w:hAnsi="宋体" w:hint="eastAsia"/>
          <w:color w:val="C00000"/>
          <w:sz w:val="18"/>
          <w:szCs w:val="18"/>
        </w:rPr>
        <w:t>原审人民法院对上诉发回重新审判的案件依法作出判决后，人民检察院抗诉的，第二审人民法院不得改判为重于原审人民法院第一次判处的刑罚。</w:t>
      </w:r>
    </w:p>
    <w:p w14:paraId="5B3D9A20" w14:textId="2D65A0A1" w:rsidR="00464ADF" w:rsidRDefault="00000000">
      <w:pPr>
        <w:pStyle w:val="1"/>
        <w:tabs>
          <w:tab w:val="left" w:pos="420"/>
        </w:tabs>
        <w:spacing w:before="0" w:after="0" w:line="240" w:lineRule="auto"/>
        <w:jc w:val="center"/>
        <w:rPr>
          <w:rFonts w:ascii="宋体" w:hAnsi="宋体" w:hint="eastAsia"/>
          <w:bCs w:val="0"/>
          <w:sz w:val="18"/>
          <w:szCs w:val="18"/>
        </w:rPr>
      </w:pPr>
      <w:bookmarkStart w:id="42" w:name="_Toc510879134"/>
      <w:bookmarkStart w:id="43" w:name="_Toc136521794"/>
      <w:bookmarkStart w:id="44" w:name="_Toc8285"/>
      <w:bookmarkStart w:id="45" w:name="_Toc4844149"/>
      <w:r>
        <w:rPr>
          <w:rFonts w:ascii="宋体" w:hAnsi="宋体" w:hint="eastAsia"/>
          <w:bCs w:val="0"/>
          <w:sz w:val="18"/>
          <w:szCs w:val="18"/>
        </w:rPr>
        <w:lastRenderedPageBreak/>
        <w:t>考点5</w:t>
      </w:r>
      <w:r>
        <w:rPr>
          <w:rFonts w:ascii="宋体" w:hAnsi="宋体"/>
          <w:bCs w:val="0"/>
          <w:sz w:val="18"/>
          <w:szCs w:val="18"/>
        </w:rPr>
        <w:t>4</w:t>
      </w:r>
      <w:r>
        <w:rPr>
          <w:rFonts w:ascii="宋体" w:hAnsi="宋体" w:hint="eastAsia"/>
          <w:bCs w:val="0"/>
          <w:sz w:val="18"/>
          <w:szCs w:val="18"/>
        </w:rPr>
        <w:t xml:space="preserve">  第二审程序的审理</w:t>
      </w:r>
      <w:bookmarkEnd w:id="42"/>
      <w:bookmarkEnd w:id="43"/>
      <w:bookmarkEnd w:id="44"/>
      <w:bookmarkEnd w:id="45"/>
      <w:r w:rsidR="000612DA">
        <w:rPr>
          <w:rFonts w:ascii="宋体" w:hAnsi="宋体" w:cs="宋体" w:hint="eastAsia"/>
          <w:bCs w:val="0"/>
          <w:sz w:val="18"/>
          <w:szCs w:val="18"/>
        </w:rPr>
        <w:t>（</w:t>
      </w:r>
      <w:r w:rsidR="00376AD6">
        <w:rPr>
          <w:rFonts w:ascii="宋体" w:hAnsi="宋体" w:cs="宋体" w:hint="eastAsia"/>
          <w:bCs w:val="0"/>
          <w:sz w:val="18"/>
          <w:szCs w:val="18"/>
        </w:rPr>
        <w:t>11:12</w:t>
      </w:r>
      <w:r w:rsidR="000612DA">
        <w:rPr>
          <w:rFonts w:ascii="宋体" w:hAnsi="宋体" w:cs="宋体" w:hint="eastAsia"/>
          <w:bCs w:val="0"/>
          <w:sz w:val="18"/>
          <w:szCs w:val="18"/>
        </w:rPr>
        <w:t>:00-</w:t>
      </w:r>
      <w:r w:rsidR="00CD2AEC">
        <w:rPr>
          <w:rFonts w:ascii="宋体" w:hAnsi="宋体" w:cs="宋体" w:hint="eastAsia"/>
          <w:bCs w:val="0"/>
          <w:sz w:val="18"/>
          <w:szCs w:val="18"/>
        </w:rPr>
        <w:t>11</w:t>
      </w:r>
      <w:r w:rsidR="000612DA">
        <w:rPr>
          <w:rFonts w:ascii="宋体" w:hAnsi="宋体" w:cs="宋体" w:hint="eastAsia"/>
          <w:bCs w:val="0"/>
          <w:sz w:val="18"/>
          <w:szCs w:val="18"/>
        </w:rPr>
        <w:t>:</w:t>
      </w:r>
      <w:r w:rsidR="00CD2AEC">
        <w:rPr>
          <w:rFonts w:ascii="宋体" w:hAnsi="宋体" w:cs="宋体" w:hint="eastAsia"/>
          <w:bCs w:val="0"/>
          <w:sz w:val="18"/>
          <w:szCs w:val="18"/>
        </w:rPr>
        <w:t>23</w:t>
      </w:r>
      <w:r w:rsidR="000612DA">
        <w:rPr>
          <w:rFonts w:ascii="宋体" w:hAnsi="宋体" w:cs="宋体" w:hint="eastAsia"/>
          <w:bCs w:val="0"/>
          <w:sz w:val="18"/>
          <w:szCs w:val="18"/>
        </w:rPr>
        <w:t>:00）</w:t>
      </w:r>
    </w:p>
    <w:p w14:paraId="654EB788" w14:textId="77777777" w:rsidR="00464ADF" w:rsidRDefault="00000000">
      <w:pPr>
        <w:pStyle w:val="3"/>
        <w:spacing w:line="240" w:lineRule="auto"/>
        <w:ind w:firstLineChars="200" w:firstLine="360"/>
        <w:rPr>
          <w:rFonts w:eastAsia="宋体" w:hint="eastAsia"/>
          <w:b/>
          <w:sz w:val="18"/>
          <w:szCs w:val="18"/>
        </w:rPr>
      </w:pPr>
      <w:bookmarkStart w:id="46" w:name="_Toc510879135"/>
      <w:r>
        <w:rPr>
          <w:rFonts w:eastAsia="宋体" w:hint="eastAsia"/>
          <w:sz w:val="18"/>
          <w:szCs w:val="18"/>
        </w:rPr>
        <w:t>一、上诉、抗诉的提起与撤回</w:t>
      </w:r>
    </w:p>
    <w:p w14:paraId="17E3CA8E"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（一）上诉</w:t>
      </w:r>
    </w:p>
    <w:p w14:paraId="18DE5D84" w14:textId="77777777" w:rsidR="00464ADF" w:rsidRDefault="00000000">
      <w:pPr>
        <w:widowControl/>
        <w:ind w:firstLineChars="200" w:firstLine="360"/>
        <w:rPr>
          <w:rFonts w:ascii="宋体" w:eastAsia="宋体" w:hAnsi="宋体" w:hint="eastAsia"/>
          <w:sz w:val="18"/>
          <w:szCs w:val="18"/>
        </w:rPr>
      </w:pPr>
      <w:r>
        <w:rPr>
          <w:rFonts w:ascii="宋体" w:eastAsia="宋体" w:hAnsi="宋体" w:hint="eastAsia"/>
          <w:sz w:val="18"/>
          <w:szCs w:val="18"/>
        </w:rPr>
        <w:t>1．上诉人的范围</w:t>
      </w:r>
      <w:r>
        <w:rPr>
          <w:rFonts w:ascii="宋体" w:eastAsia="宋体" w:hAnsi="宋体"/>
          <w:sz w:val="18"/>
          <w:szCs w:val="18"/>
        </w:rPr>
        <w:t xml:space="preserve"> </w:t>
      </w:r>
      <w:r>
        <w:rPr>
          <w:rFonts w:ascii="宋体" w:eastAsia="宋体" w:hAnsi="宋体" w:hint="eastAsia"/>
          <w:sz w:val="18"/>
          <w:szCs w:val="18"/>
        </w:rPr>
        <w:t>地方各级人民法院在宣告第一审判决、裁定时，应当告知</w:t>
      </w:r>
      <w:r>
        <w:rPr>
          <w:rFonts w:ascii="宋体" w:eastAsia="宋体" w:hAnsi="宋体" w:hint="eastAsia"/>
          <w:color w:val="B00824"/>
          <w:sz w:val="18"/>
          <w:szCs w:val="18"/>
        </w:rPr>
        <w:t>被告人、自诉人及其法定代理人</w:t>
      </w:r>
      <w:r>
        <w:rPr>
          <w:rFonts w:ascii="宋体" w:eastAsia="宋体" w:hAnsi="宋体" w:hint="eastAsia"/>
          <w:sz w:val="18"/>
          <w:szCs w:val="18"/>
        </w:rPr>
        <w:t>不服</w:t>
      </w:r>
      <w:r>
        <w:rPr>
          <w:rFonts w:ascii="宋体" w:eastAsia="宋体" w:hAnsi="宋体" w:hint="eastAsia"/>
          <w:color w:val="B00824"/>
          <w:sz w:val="18"/>
          <w:szCs w:val="18"/>
        </w:rPr>
        <w:t>判决和准许撤回起诉、终止审理等裁定</w:t>
      </w:r>
      <w:r>
        <w:rPr>
          <w:rFonts w:ascii="宋体" w:eastAsia="宋体" w:hAnsi="宋体" w:hint="eastAsia"/>
          <w:sz w:val="18"/>
          <w:szCs w:val="18"/>
        </w:rPr>
        <w:t>的，</w:t>
      </w:r>
      <w:r>
        <w:rPr>
          <w:rFonts w:ascii="宋体" w:eastAsia="宋体" w:hAnsi="宋体" w:hint="eastAsia"/>
          <w:color w:val="B00824"/>
          <w:sz w:val="18"/>
          <w:szCs w:val="18"/>
        </w:rPr>
        <w:t>通过本院或者直接向上一级人民法院提出上诉</w:t>
      </w:r>
      <w:r>
        <w:rPr>
          <w:rFonts w:ascii="宋体" w:eastAsia="宋体" w:hAnsi="宋体" w:hint="eastAsia"/>
          <w:sz w:val="18"/>
          <w:szCs w:val="18"/>
        </w:rPr>
        <w:t>；</w:t>
      </w:r>
      <w:r>
        <w:rPr>
          <w:rFonts w:ascii="宋体" w:eastAsia="宋体" w:hAnsi="宋体" w:hint="eastAsia"/>
          <w:b/>
          <w:bCs/>
          <w:color w:val="B00824"/>
          <w:sz w:val="18"/>
          <w:szCs w:val="18"/>
        </w:rPr>
        <w:t>被告人的辩护人、近亲属经被告人同意</w:t>
      </w:r>
      <w:r>
        <w:rPr>
          <w:rFonts w:ascii="宋体" w:eastAsia="宋体" w:hAnsi="宋体" w:hint="eastAsia"/>
          <w:sz w:val="18"/>
          <w:szCs w:val="18"/>
        </w:rPr>
        <w:t>，也可以提出上诉；</w:t>
      </w:r>
      <w:r>
        <w:rPr>
          <w:rFonts w:ascii="宋体" w:eastAsia="宋体" w:hAnsi="宋体" w:hint="eastAsia"/>
          <w:color w:val="B00824"/>
          <w:sz w:val="18"/>
          <w:szCs w:val="18"/>
        </w:rPr>
        <w:t>附带民事诉讼当事人及其法定代理人</w:t>
      </w:r>
      <w:r>
        <w:rPr>
          <w:rFonts w:ascii="宋体" w:eastAsia="宋体" w:hAnsi="宋体" w:hint="eastAsia"/>
          <w:sz w:val="18"/>
          <w:szCs w:val="18"/>
        </w:rPr>
        <w:t>，可以</w:t>
      </w:r>
      <w:r>
        <w:rPr>
          <w:rFonts w:ascii="宋体" w:eastAsia="宋体" w:hAnsi="宋体" w:hint="eastAsia"/>
          <w:color w:val="B00824"/>
          <w:sz w:val="18"/>
          <w:szCs w:val="18"/>
        </w:rPr>
        <w:t>对判决、裁定中的附带民事部分提出上诉。</w:t>
      </w:r>
      <w:r>
        <w:rPr>
          <w:rFonts w:ascii="宋体" w:eastAsia="宋体" w:hAnsi="宋体" w:hint="eastAsia"/>
          <w:b/>
          <w:bCs/>
          <w:color w:val="0070C0"/>
          <w:sz w:val="18"/>
          <w:szCs w:val="18"/>
        </w:rPr>
        <w:t>（注意刑事诉讼中，只有一种情况近亲属有独立上诉权——缺席审判）</w:t>
      </w:r>
    </w:p>
    <w:p w14:paraId="25B63FB6" w14:textId="77777777" w:rsidR="00464ADF" w:rsidRDefault="00000000">
      <w:pPr>
        <w:ind w:firstLineChars="200" w:firstLine="360"/>
        <w:rPr>
          <w:rFonts w:ascii="宋体" w:eastAsia="宋体" w:hAnsi="宋体" w:hint="eastAsia"/>
          <w:sz w:val="18"/>
          <w:szCs w:val="18"/>
        </w:rPr>
      </w:pPr>
      <w:r>
        <w:rPr>
          <w:rFonts w:ascii="宋体" w:eastAsia="宋体" w:hAnsi="宋体"/>
          <w:sz w:val="18"/>
          <w:szCs w:val="18"/>
        </w:rPr>
        <w:t>2</w:t>
      </w:r>
      <w:r>
        <w:rPr>
          <w:rFonts w:ascii="宋体" w:eastAsia="宋体" w:hAnsi="宋体" w:hint="eastAsia"/>
          <w:sz w:val="18"/>
          <w:szCs w:val="18"/>
        </w:rPr>
        <w:t>．上诉的撤回：（1）上诉人在</w:t>
      </w:r>
      <w:r>
        <w:rPr>
          <w:rFonts w:ascii="宋体" w:eastAsia="宋体" w:hAnsi="宋体" w:hint="eastAsia"/>
          <w:color w:val="B00824"/>
          <w:sz w:val="18"/>
          <w:szCs w:val="18"/>
        </w:rPr>
        <w:t>上诉期限内</w:t>
      </w:r>
      <w:r>
        <w:rPr>
          <w:rFonts w:ascii="宋体" w:eastAsia="宋体" w:hAnsi="宋体" w:hint="eastAsia"/>
          <w:sz w:val="18"/>
          <w:szCs w:val="18"/>
        </w:rPr>
        <w:t>要求撤回上诉的，人民法院应当准许。（2）上诉人在</w:t>
      </w:r>
      <w:r>
        <w:rPr>
          <w:rFonts w:ascii="宋体" w:eastAsia="宋体" w:hAnsi="宋体" w:hint="eastAsia"/>
          <w:color w:val="B00824"/>
          <w:sz w:val="18"/>
          <w:szCs w:val="18"/>
        </w:rPr>
        <w:t>上诉期满后</w:t>
      </w:r>
      <w:r>
        <w:rPr>
          <w:rFonts w:ascii="宋体" w:eastAsia="宋体" w:hAnsi="宋体" w:hint="eastAsia"/>
          <w:sz w:val="18"/>
          <w:szCs w:val="18"/>
        </w:rPr>
        <w:t>要求撤回上诉的，第二审人民法院经审查，认为原判认定事实和适用法律正确，量刑适当的，应当裁定准许；认为原判</w:t>
      </w:r>
      <w:r>
        <w:rPr>
          <w:rFonts w:ascii="宋体" w:eastAsia="宋体" w:hAnsi="宋体" w:hint="eastAsia"/>
          <w:color w:val="C00000"/>
          <w:sz w:val="18"/>
          <w:szCs w:val="18"/>
        </w:rPr>
        <w:t>确有错误的</w:t>
      </w:r>
      <w:r>
        <w:rPr>
          <w:rFonts w:ascii="宋体" w:eastAsia="宋体" w:hAnsi="宋体" w:hint="eastAsia"/>
          <w:sz w:val="18"/>
          <w:szCs w:val="18"/>
        </w:rPr>
        <w:t>，</w:t>
      </w:r>
      <w:r>
        <w:rPr>
          <w:rFonts w:ascii="宋体" w:eastAsia="宋体" w:hAnsi="宋体" w:hint="eastAsia"/>
          <w:color w:val="C00000"/>
          <w:sz w:val="18"/>
          <w:szCs w:val="18"/>
        </w:rPr>
        <w:t>应当不予准许，继续按照上诉案件审理</w:t>
      </w:r>
      <w:r>
        <w:rPr>
          <w:rFonts w:ascii="宋体" w:eastAsia="宋体" w:hAnsi="宋体" w:hint="eastAsia"/>
          <w:sz w:val="18"/>
          <w:szCs w:val="18"/>
        </w:rPr>
        <w:t>。（3）被判处</w:t>
      </w:r>
      <w:r>
        <w:rPr>
          <w:rFonts w:ascii="宋体" w:eastAsia="宋体" w:hAnsi="宋体" w:hint="eastAsia"/>
          <w:color w:val="B00824"/>
          <w:sz w:val="18"/>
          <w:szCs w:val="18"/>
        </w:rPr>
        <w:t>死刑立即执行的被告人提出上诉，</w:t>
      </w:r>
      <w:r>
        <w:rPr>
          <w:rFonts w:ascii="宋体" w:eastAsia="宋体" w:hAnsi="宋体" w:hint="eastAsia"/>
          <w:color w:val="C00000"/>
          <w:sz w:val="18"/>
          <w:szCs w:val="18"/>
        </w:rPr>
        <w:t>在第二审开庭后宣告裁判前申请撤回上诉的</w:t>
      </w:r>
      <w:r>
        <w:rPr>
          <w:rFonts w:ascii="宋体" w:eastAsia="宋体" w:hAnsi="宋体" w:hint="eastAsia"/>
          <w:sz w:val="18"/>
          <w:szCs w:val="18"/>
        </w:rPr>
        <w:t>，应当不予准许，</w:t>
      </w:r>
      <w:r>
        <w:rPr>
          <w:rFonts w:ascii="宋体" w:eastAsia="宋体" w:hAnsi="宋体" w:hint="eastAsia"/>
          <w:b/>
          <w:bCs/>
          <w:color w:val="C00000"/>
          <w:sz w:val="18"/>
          <w:szCs w:val="18"/>
        </w:rPr>
        <w:t>继续按照上诉案件审理</w:t>
      </w:r>
      <w:r>
        <w:rPr>
          <w:rFonts w:ascii="宋体" w:eastAsia="宋体" w:hAnsi="宋体" w:hint="eastAsia"/>
          <w:sz w:val="18"/>
          <w:szCs w:val="18"/>
        </w:rPr>
        <w:t>。</w:t>
      </w:r>
    </w:p>
    <w:p w14:paraId="5BB6E9C7"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C00000"/>
          <w:sz w:val="18"/>
          <w:szCs w:val="18"/>
        </w:rPr>
      </w:pPr>
      <w:r>
        <w:rPr>
          <w:rFonts w:ascii="宋体" w:eastAsia="宋体" w:hAnsi="宋体" w:hint="eastAsia"/>
          <w:b w:val="0"/>
          <w:color w:val="000000" w:themeColor="text1"/>
          <w:sz w:val="18"/>
          <w:szCs w:val="18"/>
        </w:rPr>
        <w:t>（二）抗诉</w:t>
      </w:r>
      <w:r>
        <w:rPr>
          <w:rFonts w:ascii="宋体" w:eastAsia="宋体" w:hAnsi="宋体" w:hint="eastAsia"/>
          <w:bCs w:val="0"/>
          <w:color w:val="0070C0"/>
          <w:sz w:val="18"/>
          <w:szCs w:val="18"/>
        </w:rPr>
        <w:t>（抗诉一定要区分是二审抗诉还是再审抗诉！）</w:t>
      </w:r>
    </w:p>
    <w:p w14:paraId="13336E22" w14:textId="77777777" w:rsidR="00464ADF" w:rsidRDefault="00000000">
      <w:pPr>
        <w:widowControl/>
        <w:ind w:firstLineChars="200" w:firstLine="360"/>
        <w:rPr>
          <w:rFonts w:ascii="宋体" w:eastAsia="宋体" w:hAnsi="宋体" w:hint="eastAsia"/>
          <w:color w:val="B00824"/>
          <w:sz w:val="18"/>
          <w:szCs w:val="18"/>
        </w:rPr>
      </w:pPr>
      <w:r>
        <w:rPr>
          <w:rFonts w:ascii="宋体" w:eastAsia="宋体" w:hAnsi="宋体" w:hint="eastAsia"/>
          <w:sz w:val="18"/>
          <w:szCs w:val="18"/>
        </w:rPr>
        <w:t>1．二审抗诉的主体：</w:t>
      </w:r>
      <w:r>
        <w:rPr>
          <w:rFonts w:ascii="宋体" w:eastAsia="宋体" w:hAnsi="宋体" w:hint="eastAsia"/>
          <w:color w:val="B00824"/>
          <w:sz w:val="18"/>
          <w:szCs w:val="18"/>
        </w:rPr>
        <w:t>一审法院的同级人民检察院，</w:t>
      </w:r>
      <w:r>
        <w:rPr>
          <w:rFonts w:ascii="宋体" w:eastAsia="宋体" w:hAnsi="宋体" w:hint="eastAsia"/>
          <w:sz w:val="18"/>
          <w:szCs w:val="18"/>
        </w:rPr>
        <w:t>应当</w:t>
      </w:r>
      <w:r>
        <w:rPr>
          <w:rFonts w:ascii="宋体" w:eastAsia="宋体" w:hAnsi="宋体" w:hint="eastAsia"/>
          <w:color w:val="B00824"/>
          <w:sz w:val="18"/>
          <w:szCs w:val="18"/>
        </w:rPr>
        <w:t>通过第一审人民法院提交抗诉书。</w:t>
      </w:r>
    </w:p>
    <w:p w14:paraId="3714C4FA" w14:textId="77777777" w:rsidR="00464ADF" w:rsidRDefault="00000000">
      <w:pPr>
        <w:widowControl/>
        <w:ind w:firstLineChars="200" w:firstLine="360"/>
        <w:rPr>
          <w:rFonts w:ascii="宋体" w:eastAsia="宋体" w:hAnsi="宋体" w:hint="eastAsia"/>
          <w:color w:val="B00824"/>
          <w:sz w:val="18"/>
          <w:szCs w:val="18"/>
        </w:rPr>
      </w:pPr>
      <w:r>
        <w:rPr>
          <w:rFonts w:ascii="宋体" w:eastAsia="宋体" w:hAnsi="宋体" w:hint="eastAsia"/>
          <w:color w:val="B00824"/>
          <w:sz w:val="18"/>
          <w:szCs w:val="18"/>
        </w:rPr>
        <w:t>注意：</w:t>
      </w:r>
      <w:r>
        <w:rPr>
          <w:rFonts w:ascii="宋体" w:eastAsia="宋体" w:hAnsi="宋体" w:hint="eastAsia"/>
          <w:color w:val="C00000"/>
          <w:sz w:val="18"/>
          <w:szCs w:val="18"/>
        </w:rPr>
        <w:t>上级</w:t>
      </w:r>
      <w:r>
        <w:rPr>
          <w:rFonts w:ascii="宋体" w:eastAsia="宋体" w:hAnsi="宋体" w:hint="eastAsia"/>
          <w:sz w:val="18"/>
          <w:szCs w:val="18"/>
        </w:rPr>
        <w:t>人民检察院认为应当抗诉的，</w:t>
      </w:r>
      <w:r>
        <w:rPr>
          <w:rFonts w:ascii="宋体" w:eastAsia="宋体" w:hAnsi="宋体" w:hint="eastAsia"/>
          <w:color w:val="B00824"/>
          <w:sz w:val="18"/>
          <w:szCs w:val="18"/>
        </w:rPr>
        <w:t>只能指令一审法院的同级人民检察院在抗诉期内提起抗诉，不能直接提起二审抗诉</w:t>
      </w:r>
      <w:r>
        <w:rPr>
          <w:rFonts w:ascii="宋体" w:eastAsia="宋体" w:hAnsi="宋体" w:hint="eastAsia"/>
          <w:sz w:val="18"/>
          <w:szCs w:val="18"/>
        </w:rPr>
        <w:t>。</w:t>
      </w:r>
      <w:r>
        <w:rPr>
          <w:rFonts w:ascii="宋体" w:eastAsia="宋体" w:hAnsi="宋体" w:hint="eastAsia"/>
          <w:color w:val="C00000"/>
          <w:sz w:val="18"/>
          <w:szCs w:val="18"/>
        </w:rPr>
        <w:t>对已经提起的抗诉，认为不当的，直接向二审法院撤回</w:t>
      </w:r>
      <w:r>
        <w:rPr>
          <w:rFonts w:ascii="宋体" w:eastAsia="宋体" w:hAnsi="宋体" w:hint="eastAsia"/>
          <w:sz w:val="18"/>
          <w:szCs w:val="18"/>
        </w:rPr>
        <w:t>。</w:t>
      </w:r>
    </w:p>
    <w:p w14:paraId="32D56E42" w14:textId="77777777" w:rsidR="00464ADF" w:rsidRDefault="00000000">
      <w:pPr>
        <w:widowControl/>
        <w:ind w:firstLineChars="200" w:firstLine="361"/>
        <w:rPr>
          <w:rFonts w:ascii="宋体" w:eastAsia="宋体" w:hAnsi="宋体" w:hint="eastAsia"/>
          <w:b/>
          <w:bCs/>
          <w:color w:val="B00824"/>
          <w:sz w:val="18"/>
          <w:szCs w:val="18"/>
        </w:rPr>
      </w:pPr>
      <w:r>
        <w:rPr>
          <w:rFonts w:ascii="宋体" w:eastAsia="宋体" w:hAnsi="宋体" w:hint="eastAsia"/>
          <w:b/>
          <w:bCs/>
          <w:sz w:val="18"/>
          <w:szCs w:val="18"/>
        </w:rPr>
        <w:t>2．</w:t>
      </w:r>
      <w:r>
        <w:rPr>
          <w:rFonts w:ascii="宋体" w:eastAsia="宋体" w:hAnsi="宋体" w:hint="eastAsia"/>
          <w:sz w:val="18"/>
          <w:szCs w:val="18"/>
        </w:rPr>
        <w:t>抗诉的撤回：人民检察院在</w:t>
      </w:r>
      <w:r>
        <w:rPr>
          <w:rFonts w:ascii="宋体" w:eastAsia="宋体" w:hAnsi="宋体" w:hint="eastAsia"/>
          <w:color w:val="B00824"/>
          <w:sz w:val="18"/>
          <w:szCs w:val="18"/>
        </w:rPr>
        <w:t>抗诉期满后</w:t>
      </w:r>
      <w:r>
        <w:rPr>
          <w:rFonts w:ascii="宋体" w:eastAsia="宋体" w:hAnsi="宋体" w:hint="eastAsia"/>
          <w:sz w:val="18"/>
          <w:szCs w:val="18"/>
        </w:rPr>
        <w:t>要求撤回抗诉的，第二审人民法院可以裁定准许，</w:t>
      </w:r>
      <w:r>
        <w:rPr>
          <w:rFonts w:ascii="宋体" w:eastAsia="宋体" w:hAnsi="宋体" w:hint="eastAsia"/>
          <w:color w:val="B00824"/>
          <w:sz w:val="18"/>
          <w:szCs w:val="18"/>
        </w:rPr>
        <w:t>但是认为原判存在将无罪判为有罪、轻罪重判等情形的，</w:t>
      </w:r>
      <w:r>
        <w:rPr>
          <w:rFonts w:ascii="宋体" w:eastAsia="宋体" w:hAnsi="宋体" w:hint="eastAsia"/>
          <w:b/>
          <w:bCs/>
          <w:color w:val="B00824"/>
          <w:sz w:val="18"/>
          <w:szCs w:val="18"/>
        </w:rPr>
        <w:t>应当不予准许，继续审理。</w:t>
      </w:r>
    </w:p>
    <w:p w14:paraId="40F39FBC" w14:textId="6E5ADB1D" w:rsidR="00464ADF" w:rsidRDefault="00000000">
      <w:pPr>
        <w:widowControl/>
        <w:ind w:firstLine="420"/>
        <w:rPr>
          <w:rFonts w:ascii="宋体" w:eastAsia="宋体" w:hAnsi="宋体" w:hint="eastAsia"/>
          <w:b/>
          <w:bCs/>
          <w:color w:val="0070C0"/>
          <w:sz w:val="18"/>
          <w:szCs w:val="18"/>
        </w:rPr>
      </w:pPr>
      <w:r>
        <w:rPr>
          <w:rFonts w:ascii="宋体" w:eastAsia="宋体" w:hAnsi="宋体" w:hint="eastAsia"/>
          <w:b/>
          <w:bCs/>
          <w:color w:val="0070C0"/>
          <w:sz w:val="18"/>
          <w:szCs w:val="18"/>
        </w:rPr>
        <w:t>注意记忆：讲义中关联知识点一审、二审判决裁定的生效时间问题</w:t>
      </w:r>
    </w:p>
    <w:p w14:paraId="5D43CD41" w14:textId="77777777" w:rsidR="00464ADF" w:rsidRDefault="00000000">
      <w:pPr>
        <w:widowControl/>
        <w:numPr>
          <w:ilvl w:val="0"/>
          <w:numId w:val="1"/>
        </w:numPr>
        <w:ind w:firstLineChars="200" w:firstLine="360"/>
        <w:rPr>
          <w:rFonts w:ascii="宋体" w:eastAsia="宋体" w:hAnsi="宋体" w:hint="eastAsia"/>
          <w:sz w:val="18"/>
          <w:szCs w:val="18"/>
        </w:rPr>
      </w:pPr>
      <w:r>
        <w:rPr>
          <w:rFonts w:ascii="宋体" w:eastAsia="宋体" w:hAnsi="宋体" w:hint="eastAsia"/>
          <w:sz w:val="18"/>
          <w:szCs w:val="18"/>
        </w:rPr>
        <w:t>二审案件开庭审理的范围</w:t>
      </w:r>
      <w:bookmarkEnd w:id="46"/>
      <w:r>
        <w:rPr>
          <w:rFonts w:ascii="宋体" w:eastAsia="宋体" w:hAnsi="宋体" w:hint="eastAsia"/>
          <w:sz w:val="18"/>
          <w:szCs w:val="1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6955"/>
      </w:tblGrid>
      <w:tr w:rsidR="00464ADF" w14:paraId="3EE1BC70" w14:textId="77777777">
        <w:trPr>
          <w:jc w:val="center"/>
        </w:trPr>
        <w:tc>
          <w:tcPr>
            <w:tcW w:w="1550" w:type="dxa"/>
            <w:tcBorders>
              <w:top w:val="single" w:sz="8" w:space="0" w:color="FF0000"/>
              <w:left w:val="single" w:sz="8" w:space="0" w:color="FF0000"/>
              <w:bottom w:val="single" w:sz="8" w:space="0" w:color="FF0000"/>
              <w:right w:val="single" w:sz="8" w:space="0" w:color="FF0000"/>
            </w:tcBorders>
            <w:vAlign w:val="center"/>
          </w:tcPr>
          <w:p w14:paraId="0D262E47" w14:textId="77777777" w:rsidR="00464ADF" w:rsidRDefault="00464ADF">
            <w:pPr>
              <w:spacing w:beforeLines="10" w:before="31" w:afterLines="20" w:after="62" w:line="280" w:lineRule="exact"/>
              <w:jc w:val="center"/>
              <w:rPr>
                <w:rFonts w:ascii="宋体" w:eastAsia="宋体" w:hAnsi="宋体" w:cs="宋体" w:hint="eastAsia"/>
                <w:sz w:val="13"/>
                <w:szCs w:val="13"/>
              </w:rPr>
            </w:pPr>
            <w:bookmarkStart w:id="47" w:name="_Hlk135905083"/>
          </w:p>
        </w:tc>
        <w:tc>
          <w:tcPr>
            <w:tcW w:w="6955" w:type="dxa"/>
            <w:tcBorders>
              <w:top w:val="single" w:sz="8" w:space="0" w:color="FF0000"/>
              <w:left w:val="single" w:sz="8" w:space="0" w:color="FF0000"/>
              <w:bottom w:val="single" w:sz="8" w:space="0" w:color="FF0000"/>
              <w:right w:val="single" w:sz="8" w:space="0" w:color="FF0000"/>
            </w:tcBorders>
            <w:vAlign w:val="center"/>
          </w:tcPr>
          <w:p w14:paraId="0CCA1058" w14:textId="77777777" w:rsidR="00464ADF" w:rsidRDefault="00000000">
            <w:pPr>
              <w:spacing w:beforeLines="10" w:before="31" w:afterLines="20" w:after="62" w:line="280" w:lineRule="exact"/>
              <w:jc w:val="center"/>
              <w:rPr>
                <w:rFonts w:ascii="宋体" w:eastAsia="宋体" w:hAnsi="宋体" w:cs="宋体" w:hint="eastAsia"/>
                <w:b/>
                <w:sz w:val="13"/>
                <w:szCs w:val="13"/>
              </w:rPr>
            </w:pPr>
            <w:r>
              <w:rPr>
                <w:rFonts w:ascii="宋体" w:eastAsia="宋体" w:hAnsi="宋体" w:cs="宋体" w:hint="eastAsia"/>
                <w:bCs/>
                <w:sz w:val="13"/>
                <w:szCs w:val="13"/>
              </w:rPr>
              <w:t>案件</w:t>
            </w:r>
          </w:p>
        </w:tc>
      </w:tr>
      <w:tr w:rsidR="00464ADF" w14:paraId="387280EB" w14:textId="77777777">
        <w:trPr>
          <w:jc w:val="center"/>
        </w:trPr>
        <w:tc>
          <w:tcPr>
            <w:tcW w:w="1550" w:type="dxa"/>
            <w:vMerge w:val="restart"/>
            <w:tcBorders>
              <w:top w:val="single" w:sz="8" w:space="0" w:color="FF0000"/>
              <w:left w:val="single" w:sz="8" w:space="0" w:color="FF0000"/>
              <w:bottom w:val="single" w:sz="8" w:space="0" w:color="FF0000"/>
              <w:right w:val="single" w:sz="8" w:space="0" w:color="FF0000"/>
            </w:tcBorders>
            <w:vAlign w:val="center"/>
          </w:tcPr>
          <w:p w14:paraId="7506DE90" w14:textId="77777777" w:rsidR="00464ADF" w:rsidRDefault="00000000">
            <w:pPr>
              <w:spacing w:beforeLines="10" w:before="31" w:afterLines="20" w:after="62" w:line="280" w:lineRule="exact"/>
              <w:rPr>
                <w:rFonts w:ascii="宋体" w:eastAsia="宋体" w:hAnsi="宋体" w:cs="宋体" w:hint="eastAsia"/>
                <w:bCs/>
                <w:sz w:val="13"/>
                <w:szCs w:val="13"/>
              </w:rPr>
            </w:pPr>
            <w:r>
              <w:rPr>
                <w:rFonts w:ascii="宋体" w:eastAsia="宋体" w:hAnsi="宋体" w:cs="宋体" w:hint="eastAsia"/>
                <w:bCs/>
                <w:sz w:val="13"/>
                <w:szCs w:val="13"/>
              </w:rPr>
              <w:t>二审应当开庭的案件</w:t>
            </w:r>
          </w:p>
          <w:p w14:paraId="23953E43" w14:textId="77777777" w:rsidR="00464ADF" w:rsidRDefault="00000000">
            <w:pPr>
              <w:spacing w:beforeLines="10" w:before="31" w:afterLines="20" w:after="62" w:line="280" w:lineRule="exact"/>
              <w:rPr>
                <w:rFonts w:ascii="宋体" w:eastAsia="宋体" w:hAnsi="宋体" w:cs="宋体" w:hint="eastAsia"/>
                <w:bCs/>
                <w:sz w:val="13"/>
                <w:szCs w:val="13"/>
              </w:rPr>
            </w:pPr>
            <w:r>
              <w:rPr>
                <w:rFonts w:ascii="宋体" w:eastAsia="宋体" w:hAnsi="宋体" w:cs="宋体" w:hint="eastAsia"/>
                <w:b/>
                <w:color w:val="0070C0"/>
                <w:sz w:val="13"/>
                <w:szCs w:val="13"/>
              </w:rPr>
              <w:t>（重点记忆）</w:t>
            </w:r>
          </w:p>
        </w:tc>
        <w:tc>
          <w:tcPr>
            <w:tcW w:w="6955" w:type="dxa"/>
            <w:tcBorders>
              <w:top w:val="single" w:sz="8" w:space="0" w:color="FF0000"/>
              <w:left w:val="single" w:sz="8" w:space="0" w:color="FF0000"/>
              <w:bottom w:val="single" w:sz="8" w:space="0" w:color="FF0000"/>
              <w:right w:val="single" w:sz="8" w:space="0" w:color="FF0000"/>
            </w:tcBorders>
            <w:vAlign w:val="center"/>
          </w:tcPr>
          <w:p w14:paraId="2F82653C" w14:textId="77777777" w:rsidR="00464ADF" w:rsidRDefault="00000000">
            <w:pPr>
              <w:spacing w:beforeLines="10" w:before="31" w:afterLines="20" w:after="62" w:line="280" w:lineRule="exact"/>
              <w:rPr>
                <w:rFonts w:ascii="宋体" w:eastAsia="宋体" w:hAnsi="宋体" w:cs="宋体" w:hint="eastAsia"/>
                <w:sz w:val="13"/>
                <w:szCs w:val="13"/>
              </w:rPr>
            </w:pPr>
            <w:r>
              <w:rPr>
                <w:rFonts w:ascii="宋体" w:eastAsia="宋体" w:hAnsi="宋体" w:cs="宋体" w:hint="eastAsia"/>
                <w:sz w:val="13"/>
                <w:szCs w:val="13"/>
              </w:rPr>
              <w:t>被告人、自诉人及其法定代理人对第一审认定的事实、证据提出异议，可能影响定罪量刑的上诉案件</w:t>
            </w:r>
          </w:p>
        </w:tc>
      </w:tr>
      <w:tr w:rsidR="00464ADF" w14:paraId="59CDF9E6" w14:textId="77777777">
        <w:trPr>
          <w:jc w:val="center"/>
        </w:trPr>
        <w:tc>
          <w:tcPr>
            <w:tcW w:w="1550" w:type="dxa"/>
            <w:vMerge/>
            <w:tcBorders>
              <w:top w:val="single" w:sz="8" w:space="0" w:color="FF0000"/>
              <w:left w:val="single" w:sz="8" w:space="0" w:color="FF0000"/>
              <w:bottom w:val="single" w:sz="8" w:space="0" w:color="FF0000"/>
              <w:right w:val="single" w:sz="8" w:space="0" w:color="FF0000"/>
            </w:tcBorders>
            <w:vAlign w:val="center"/>
          </w:tcPr>
          <w:p w14:paraId="1BC89436" w14:textId="77777777" w:rsidR="00464ADF" w:rsidRDefault="00464ADF">
            <w:pPr>
              <w:spacing w:beforeLines="10" w:before="31" w:afterLines="20" w:after="62" w:line="280" w:lineRule="exact"/>
              <w:rPr>
                <w:rFonts w:ascii="宋体" w:eastAsia="宋体" w:hAnsi="宋体" w:cs="宋体" w:hint="eastAsia"/>
                <w:sz w:val="13"/>
                <w:szCs w:val="13"/>
              </w:rPr>
            </w:pPr>
          </w:p>
        </w:tc>
        <w:tc>
          <w:tcPr>
            <w:tcW w:w="6955" w:type="dxa"/>
            <w:tcBorders>
              <w:top w:val="single" w:sz="8" w:space="0" w:color="FF0000"/>
              <w:left w:val="single" w:sz="8" w:space="0" w:color="FF0000"/>
              <w:bottom w:val="single" w:sz="8" w:space="0" w:color="FF0000"/>
              <w:right w:val="single" w:sz="8" w:space="0" w:color="FF0000"/>
            </w:tcBorders>
            <w:vAlign w:val="center"/>
          </w:tcPr>
          <w:p w14:paraId="78EA911D" w14:textId="77777777" w:rsidR="00464ADF" w:rsidRDefault="00000000">
            <w:pPr>
              <w:spacing w:beforeLines="10" w:before="31" w:afterLines="20" w:after="62" w:line="280" w:lineRule="exact"/>
              <w:rPr>
                <w:rFonts w:ascii="宋体" w:eastAsia="宋体" w:hAnsi="宋体" w:cs="宋体" w:hint="eastAsia"/>
                <w:sz w:val="13"/>
                <w:szCs w:val="13"/>
              </w:rPr>
            </w:pPr>
            <w:r>
              <w:rPr>
                <w:rFonts w:ascii="宋体" w:eastAsia="宋体" w:hAnsi="宋体" w:cs="宋体" w:hint="eastAsia"/>
                <w:sz w:val="13"/>
                <w:szCs w:val="13"/>
              </w:rPr>
              <w:t>被告人被判处死刑（包括死缓）的上诉案件（含被判处死刑立即执行的被告人没有上诉，同案其他被告人上诉的案件）</w:t>
            </w:r>
          </w:p>
        </w:tc>
      </w:tr>
      <w:tr w:rsidR="00464ADF" w14:paraId="07A2EA26" w14:textId="77777777">
        <w:trPr>
          <w:jc w:val="center"/>
        </w:trPr>
        <w:tc>
          <w:tcPr>
            <w:tcW w:w="1550" w:type="dxa"/>
            <w:vMerge/>
            <w:tcBorders>
              <w:top w:val="single" w:sz="8" w:space="0" w:color="FF0000"/>
              <w:left w:val="single" w:sz="8" w:space="0" w:color="FF0000"/>
              <w:bottom w:val="single" w:sz="8" w:space="0" w:color="FF0000"/>
              <w:right w:val="single" w:sz="8" w:space="0" w:color="FF0000"/>
            </w:tcBorders>
            <w:vAlign w:val="center"/>
          </w:tcPr>
          <w:p w14:paraId="4DF8C9D7" w14:textId="77777777" w:rsidR="00464ADF" w:rsidRDefault="00464ADF">
            <w:pPr>
              <w:spacing w:beforeLines="10" w:before="31" w:afterLines="20" w:after="62" w:line="280" w:lineRule="exact"/>
              <w:rPr>
                <w:rFonts w:ascii="宋体" w:eastAsia="宋体" w:hAnsi="宋体" w:cs="宋体" w:hint="eastAsia"/>
                <w:sz w:val="13"/>
                <w:szCs w:val="13"/>
              </w:rPr>
            </w:pPr>
          </w:p>
        </w:tc>
        <w:tc>
          <w:tcPr>
            <w:tcW w:w="6955" w:type="dxa"/>
            <w:tcBorders>
              <w:top w:val="single" w:sz="8" w:space="0" w:color="FF0000"/>
              <w:left w:val="single" w:sz="8" w:space="0" w:color="FF0000"/>
              <w:bottom w:val="single" w:sz="8" w:space="0" w:color="FF0000"/>
              <w:right w:val="single" w:sz="8" w:space="0" w:color="FF0000"/>
            </w:tcBorders>
            <w:vAlign w:val="center"/>
          </w:tcPr>
          <w:p w14:paraId="5C641C6A" w14:textId="77777777" w:rsidR="00464ADF" w:rsidRDefault="00000000">
            <w:pPr>
              <w:spacing w:beforeLines="10" w:before="31" w:afterLines="20" w:after="62" w:line="280" w:lineRule="exact"/>
              <w:rPr>
                <w:rFonts w:ascii="宋体" w:eastAsia="宋体" w:hAnsi="宋体" w:cs="宋体" w:hint="eastAsia"/>
                <w:sz w:val="13"/>
                <w:szCs w:val="13"/>
              </w:rPr>
            </w:pPr>
            <w:r>
              <w:rPr>
                <w:rFonts w:ascii="宋体" w:eastAsia="宋体" w:hAnsi="宋体" w:cs="宋体" w:hint="eastAsia"/>
                <w:sz w:val="13"/>
                <w:szCs w:val="13"/>
              </w:rPr>
              <w:t>人民检察院抗诉的案件</w:t>
            </w:r>
          </w:p>
        </w:tc>
      </w:tr>
      <w:tr w:rsidR="00464ADF" w14:paraId="3E63D235" w14:textId="77777777">
        <w:trPr>
          <w:jc w:val="center"/>
        </w:trPr>
        <w:tc>
          <w:tcPr>
            <w:tcW w:w="1550" w:type="dxa"/>
            <w:vMerge/>
            <w:tcBorders>
              <w:top w:val="single" w:sz="8" w:space="0" w:color="FF0000"/>
              <w:left w:val="single" w:sz="8" w:space="0" w:color="FF0000"/>
              <w:bottom w:val="single" w:sz="8" w:space="0" w:color="FF0000"/>
              <w:right w:val="single" w:sz="8" w:space="0" w:color="FF0000"/>
            </w:tcBorders>
            <w:vAlign w:val="center"/>
          </w:tcPr>
          <w:p w14:paraId="0FFD6CE7" w14:textId="77777777" w:rsidR="00464ADF" w:rsidRDefault="00464ADF">
            <w:pPr>
              <w:spacing w:beforeLines="10" w:before="31" w:afterLines="20" w:after="62" w:line="280" w:lineRule="exact"/>
              <w:rPr>
                <w:rFonts w:ascii="宋体" w:eastAsia="宋体" w:hAnsi="宋体" w:cs="宋体" w:hint="eastAsia"/>
                <w:sz w:val="13"/>
                <w:szCs w:val="13"/>
              </w:rPr>
            </w:pPr>
          </w:p>
        </w:tc>
        <w:tc>
          <w:tcPr>
            <w:tcW w:w="6955" w:type="dxa"/>
            <w:tcBorders>
              <w:top w:val="single" w:sz="8" w:space="0" w:color="FF0000"/>
              <w:left w:val="single" w:sz="8" w:space="0" w:color="FF0000"/>
              <w:bottom w:val="single" w:sz="8" w:space="0" w:color="FF0000"/>
              <w:right w:val="single" w:sz="8" w:space="0" w:color="FF0000"/>
            </w:tcBorders>
            <w:vAlign w:val="center"/>
          </w:tcPr>
          <w:p w14:paraId="08479D22" w14:textId="77777777" w:rsidR="00464ADF" w:rsidRDefault="00000000">
            <w:pPr>
              <w:spacing w:beforeLines="10" w:before="31" w:afterLines="20" w:after="62" w:line="280" w:lineRule="exact"/>
              <w:rPr>
                <w:rFonts w:ascii="宋体" w:eastAsia="宋体" w:hAnsi="宋体" w:cs="宋体" w:hint="eastAsia"/>
                <w:sz w:val="13"/>
                <w:szCs w:val="13"/>
              </w:rPr>
            </w:pPr>
            <w:r>
              <w:rPr>
                <w:rFonts w:ascii="宋体" w:eastAsia="宋体" w:hAnsi="宋体" w:cs="宋体" w:hint="eastAsia"/>
                <w:sz w:val="13"/>
                <w:szCs w:val="13"/>
              </w:rPr>
              <w:t>应当开庭审理的其他案件</w:t>
            </w:r>
          </w:p>
        </w:tc>
      </w:tr>
    </w:tbl>
    <w:bookmarkEnd w:id="47"/>
    <w:p w14:paraId="1683FF37" w14:textId="77777777" w:rsidR="00464ADF" w:rsidRDefault="00000000">
      <w:pPr>
        <w:widowControl/>
        <w:ind w:firstLineChars="200" w:firstLine="360"/>
        <w:rPr>
          <w:rFonts w:ascii="宋体" w:eastAsia="宋体" w:hAnsi="宋体" w:hint="eastAsia"/>
          <w:sz w:val="18"/>
          <w:szCs w:val="18"/>
        </w:rPr>
      </w:pPr>
      <w:r>
        <w:rPr>
          <w:rFonts w:ascii="宋体" w:eastAsia="宋体" w:hAnsi="宋体" w:hint="eastAsia"/>
          <w:color w:val="C00000"/>
          <w:sz w:val="18"/>
          <w:szCs w:val="18"/>
        </w:rPr>
        <w:t>注意：对上诉、抗诉案件</w:t>
      </w:r>
      <w:r>
        <w:rPr>
          <w:rFonts w:ascii="宋体" w:eastAsia="宋体" w:hAnsi="宋体" w:hint="eastAsia"/>
          <w:sz w:val="18"/>
          <w:szCs w:val="18"/>
        </w:rPr>
        <w:t>，第二审人民法院经审查，认为原判事实不清、证据不足，或者具有刑事诉讼法第二百三十八条规定的违反法定诉讼程序情形，</w:t>
      </w:r>
      <w:r>
        <w:rPr>
          <w:rFonts w:ascii="宋体" w:eastAsia="宋体" w:hAnsi="宋体" w:hint="eastAsia"/>
          <w:color w:val="C00000"/>
          <w:sz w:val="18"/>
          <w:szCs w:val="18"/>
        </w:rPr>
        <w:t>需要发回重新审判的，可以不开庭审理</w:t>
      </w:r>
      <w:r>
        <w:rPr>
          <w:rFonts w:ascii="宋体" w:eastAsia="宋体" w:hAnsi="宋体" w:hint="eastAsia"/>
          <w:sz w:val="18"/>
          <w:szCs w:val="18"/>
        </w:rPr>
        <w:t>。</w:t>
      </w:r>
    </w:p>
    <w:p w14:paraId="60E2B127" w14:textId="77777777" w:rsidR="00464ADF" w:rsidRDefault="00000000">
      <w:pPr>
        <w:ind w:firstLineChars="200" w:firstLine="360"/>
        <w:rPr>
          <w:rFonts w:ascii="宋体" w:eastAsia="宋体" w:hAnsi="宋体" w:hint="eastAsia"/>
          <w:sz w:val="18"/>
          <w:szCs w:val="18"/>
        </w:rPr>
      </w:pPr>
      <w:bookmarkStart w:id="48" w:name="_Toc510879136"/>
      <w:r>
        <w:rPr>
          <w:rFonts w:ascii="宋体" w:eastAsia="宋体" w:hAnsi="宋体" w:hint="eastAsia"/>
          <w:sz w:val="18"/>
          <w:szCs w:val="18"/>
        </w:rPr>
        <w:t>三、二审案件开庭审理的方式和程序</w:t>
      </w:r>
      <w:bookmarkEnd w:id="48"/>
      <w:r>
        <w:rPr>
          <w:rFonts w:ascii="宋体" w:eastAsia="宋体" w:hAnsi="宋体" w:hint="eastAsia"/>
          <w:sz w:val="18"/>
          <w:szCs w:val="18"/>
        </w:rPr>
        <w:t>：1.开庭前的准备：（1）提交新证据（及时通知对方查阅、摘抄或者复制）（2）决定开庭</w:t>
      </w:r>
      <w:r>
        <w:rPr>
          <w:rFonts w:ascii="宋体" w:eastAsia="宋体" w:hAnsi="宋体" w:hint="eastAsia"/>
          <w:color w:val="C00000"/>
          <w:sz w:val="18"/>
          <w:szCs w:val="18"/>
        </w:rPr>
        <w:t>（及时通知检察院查阅案卷-应在一个月以内查阅完毕</w:t>
      </w:r>
      <w:r>
        <w:rPr>
          <w:rFonts w:ascii="宋体" w:eastAsia="宋体" w:hAnsi="宋体" w:hint="eastAsia"/>
          <w:sz w:val="18"/>
          <w:szCs w:val="18"/>
        </w:rPr>
        <w:t>。自通知后的第二日起，</w:t>
      </w:r>
      <w:r>
        <w:rPr>
          <w:rFonts w:ascii="宋体" w:eastAsia="宋体" w:hAnsi="宋体" w:hint="eastAsia"/>
          <w:color w:val="C00000"/>
          <w:sz w:val="18"/>
          <w:szCs w:val="18"/>
        </w:rPr>
        <w:t>查阅案卷的时间不计入审理期限</w:t>
      </w:r>
      <w:r>
        <w:rPr>
          <w:rFonts w:ascii="宋体" w:eastAsia="宋体" w:hAnsi="宋体" w:hint="eastAsia"/>
          <w:sz w:val="18"/>
          <w:szCs w:val="18"/>
        </w:rPr>
        <w:t>；</w:t>
      </w:r>
      <w:r>
        <w:rPr>
          <w:rFonts w:ascii="宋体" w:eastAsia="宋体" w:hAnsi="宋体" w:hint="eastAsia"/>
          <w:color w:val="C00000"/>
          <w:sz w:val="18"/>
          <w:szCs w:val="18"/>
        </w:rPr>
        <w:t>通知同级检察院派员出庭</w:t>
      </w:r>
      <w:r>
        <w:rPr>
          <w:rFonts w:ascii="宋体" w:eastAsia="宋体" w:hAnsi="宋体" w:hint="eastAsia"/>
          <w:sz w:val="18"/>
          <w:szCs w:val="18"/>
        </w:rPr>
        <w:t>-抗诉案件，检察院接到开庭通知后不派员出庭，且未说明原因，可裁定按撤回抗诉处理）2.审理程序：重点围绕对一审裁判有争议的问题或有疑问的部分进行（具体特点：</w:t>
      </w:r>
      <w:r>
        <w:rPr>
          <w:rFonts w:ascii="宋体" w:eastAsia="宋体" w:hAnsi="宋体" w:hint="eastAsia"/>
          <w:color w:val="C00000"/>
          <w:sz w:val="18"/>
          <w:szCs w:val="18"/>
        </w:rPr>
        <w:t>对同案审理案件中未上诉，也未被抗诉的被告人</w:t>
      </w:r>
      <w:r>
        <w:rPr>
          <w:rFonts w:ascii="宋体" w:eastAsia="宋体" w:hAnsi="宋体" w:hint="eastAsia"/>
          <w:sz w:val="18"/>
          <w:szCs w:val="18"/>
        </w:rPr>
        <w:t>，未被申请出庭或法院认为没有必要到庭的，</w:t>
      </w:r>
      <w:r>
        <w:rPr>
          <w:rFonts w:ascii="宋体" w:eastAsia="宋体" w:hAnsi="宋体" w:hint="eastAsia"/>
          <w:color w:val="C00000"/>
          <w:sz w:val="18"/>
          <w:szCs w:val="18"/>
        </w:rPr>
        <w:t>可不再传唤到庭</w:t>
      </w:r>
      <w:r>
        <w:rPr>
          <w:rFonts w:ascii="宋体" w:eastAsia="宋体" w:hAnsi="宋体" w:hint="eastAsia"/>
          <w:sz w:val="18"/>
          <w:szCs w:val="18"/>
        </w:rPr>
        <w:t>；要求出庭的，应当准许，出庭的被告人可以参加法庭调查和辩论。）</w:t>
      </w:r>
    </w:p>
    <w:p w14:paraId="73B30CA4" w14:textId="77777777" w:rsidR="00464ADF" w:rsidRDefault="00000000">
      <w:pPr>
        <w:pStyle w:val="3"/>
        <w:spacing w:line="240" w:lineRule="auto"/>
        <w:ind w:firstLineChars="200" w:firstLine="360"/>
        <w:rPr>
          <w:rFonts w:eastAsia="宋体" w:hint="eastAsia"/>
          <w:b/>
          <w:color w:val="C00000"/>
          <w:sz w:val="18"/>
          <w:szCs w:val="18"/>
        </w:rPr>
      </w:pPr>
      <w:bookmarkStart w:id="49" w:name="_Toc510879137"/>
      <w:r>
        <w:rPr>
          <w:rFonts w:eastAsia="宋体" w:hint="eastAsia"/>
          <w:sz w:val="18"/>
          <w:szCs w:val="18"/>
        </w:rPr>
        <w:t>四、二审案件不开庭审理</w:t>
      </w:r>
      <w:bookmarkEnd w:id="49"/>
      <w:r>
        <w:rPr>
          <w:rFonts w:eastAsia="宋体" w:hint="eastAsia"/>
          <w:color w:val="C00000"/>
          <w:sz w:val="18"/>
          <w:szCs w:val="18"/>
        </w:rPr>
        <w:t>不等于书面审，</w:t>
      </w:r>
      <w:r>
        <w:rPr>
          <w:rFonts w:eastAsia="宋体" w:hint="eastAsia"/>
          <w:bCs/>
          <w:color w:val="B00824"/>
          <w:sz w:val="18"/>
          <w:szCs w:val="18"/>
        </w:rPr>
        <w:t>应当讯问被告人，</w:t>
      </w:r>
      <w:r>
        <w:rPr>
          <w:rFonts w:eastAsia="宋体" w:hint="eastAsia"/>
          <w:bCs/>
          <w:color w:val="B00824"/>
          <w:sz w:val="18"/>
          <w:szCs w:val="18"/>
          <w:u w:val="single"/>
        </w:rPr>
        <w:t>听取其他当事人、辩护人、诉讼代理人的意见</w:t>
      </w:r>
      <w:r>
        <w:rPr>
          <w:rFonts w:eastAsia="宋体" w:hint="eastAsia"/>
          <w:bCs/>
          <w:color w:val="B00824"/>
          <w:sz w:val="18"/>
          <w:szCs w:val="18"/>
        </w:rPr>
        <w:t>。合议庭全体成员应当阅卷，必要时应当提交书面阅卷意见。</w:t>
      </w:r>
    </w:p>
    <w:p w14:paraId="36F8E9DD" w14:textId="77203BD2" w:rsidR="00464ADF" w:rsidRDefault="00000000">
      <w:pPr>
        <w:pStyle w:val="1"/>
        <w:tabs>
          <w:tab w:val="left" w:pos="420"/>
        </w:tabs>
        <w:spacing w:before="0" w:after="0" w:line="240" w:lineRule="auto"/>
        <w:jc w:val="center"/>
        <w:rPr>
          <w:rFonts w:ascii="宋体" w:hAnsi="宋体" w:hint="eastAsia"/>
          <w:bCs w:val="0"/>
          <w:sz w:val="18"/>
          <w:szCs w:val="18"/>
        </w:rPr>
      </w:pPr>
      <w:bookmarkStart w:id="50" w:name="_Toc4844150"/>
      <w:bookmarkStart w:id="51" w:name="_Toc7417"/>
      <w:bookmarkStart w:id="52" w:name="_Toc136521795"/>
      <w:bookmarkStart w:id="53" w:name="_Toc510879139"/>
      <w:r>
        <w:rPr>
          <w:rFonts w:ascii="宋体" w:hAnsi="宋体" w:hint="eastAsia"/>
          <w:bCs w:val="0"/>
          <w:sz w:val="18"/>
          <w:szCs w:val="18"/>
        </w:rPr>
        <w:t>考点5</w:t>
      </w:r>
      <w:r>
        <w:rPr>
          <w:rFonts w:ascii="宋体" w:hAnsi="宋体"/>
          <w:bCs w:val="0"/>
          <w:sz w:val="18"/>
          <w:szCs w:val="18"/>
        </w:rPr>
        <w:t>5</w:t>
      </w:r>
      <w:r>
        <w:rPr>
          <w:rFonts w:ascii="宋体" w:hAnsi="宋体" w:hint="eastAsia"/>
          <w:bCs w:val="0"/>
          <w:sz w:val="18"/>
          <w:szCs w:val="18"/>
        </w:rPr>
        <w:t xml:space="preserve">  对上诉、抗诉案件审理后的处理</w:t>
      </w:r>
      <w:bookmarkEnd w:id="50"/>
      <w:bookmarkEnd w:id="51"/>
      <w:bookmarkEnd w:id="52"/>
      <w:bookmarkEnd w:id="53"/>
      <w:r w:rsidR="000612DA">
        <w:rPr>
          <w:rFonts w:ascii="宋体" w:hAnsi="宋体" w:cs="宋体" w:hint="eastAsia"/>
          <w:bCs w:val="0"/>
          <w:sz w:val="18"/>
          <w:szCs w:val="18"/>
        </w:rPr>
        <w:t>（</w:t>
      </w:r>
      <w:r w:rsidR="00675182">
        <w:rPr>
          <w:rFonts w:ascii="宋体" w:hAnsi="宋体" w:cs="宋体" w:hint="eastAsia"/>
          <w:bCs w:val="0"/>
          <w:sz w:val="18"/>
          <w:szCs w:val="18"/>
        </w:rPr>
        <w:t>11</w:t>
      </w:r>
      <w:r w:rsidR="000612DA">
        <w:rPr>
          <w:rFonts w:ascii="宋体" w:hAnsi="宋体" w:cs="宋体" w:hint="eastAsia"/>
          <w:bCs w:val="0"/>
          <w:sz w:val="18"/>
          <w:szCs w:val="18"/>
        </w:rPr>
        <w:t>:</w:t>
      </w:r>
      <w:r w:rsidR="00675182">
        <w:rPr>
          <w:rFonts w:ascii="宋体" w:hAnsi="宋体" w:cs="宋体" w:hint="eastAsia"/>
          <w:bCs w:val="0"/>
          <w:sz w:val="18"/>
          <w:szCs w:val="18"/>
        </w:rPr>
        <w:t>23</w:t>
      </w:r>
      <w:r w:rsidR="000612DA">
        <w:rPr>
          <w:rFonts w:ascii="宋体" w:hAnsi="宋体" w:cs="宋体" w:hint="eastAsia"/>
          <w:bCs w:val="0"/>
          <w:sz w:val="18"/>
          <w:szCs w:val="18"/>
        </w:rPr>
        <w:t>:00-</w:t>
      </w:r>
      <w:r w:rsidR="00675182">
        <w:rPr>
          <w:rFonts w:ascii="宋体" w:hAnsi="宋体" w:cs="宋体" w:hint="eastAsia"/>
          <w:bCs w:val="0"/>
          <w:sz w:val="18"/>
          <w:szCs w:val="18"/>
        </w:rPr>
        <w:t>11</w:t>
      </w:r>
      <w:r w:rsidR="000612DA">
        <w:rPr>
          <w:rFonts w:ascii="宋体" w:hAnsi="宋体" w:cs="宋体" w:hint="eastAsia"/>
          <w:bCs w:val="0"/>
          <w:sz w:val="18"/>
          <w:szCs w:val="18"/>
        </w:rPr>
        <w:t>:</w:t>
      </w:r>
      <w:r w:rsidR="00B622C8">
        <w:rPr>
          <w:rFonts w:ascii="宋体" w:hAnsi="宋体" w:cs="宋体" w:hint="eastAsia"/>
          <w:bCs w:val="0"/>
          <w:sz w:val="18"/>
          <w:szCs w:val="18"/>
        </w:rPr>
        <w:t>37</w:t>
      </w:r>
      <w:r w:rsidR="000612DA">
        <w:rPr>
          <w:rFonts w:ascii="宋体" w:hAnsi="宋体" w:cs="宋体" w:hint="eastAsia"/>
          <w:bCs w:val="0"/>
          <w:sz w:val="18"/>
          <w:szCs w:val="18"/>
        </w:rPr>
        <w:t>:00）</w:t>
      </w:r>
    </w:p>
    <w:p w14:paraId="0630878C" w14:textId="77777777" w:rsidR="00464ADF" w:rsidRDefault="00000000">
      <w:pPr>
        <w:pStyle w:val="3"/>
        <w:spacing w:line="240" w:lineRule="auto"/>
        <w:ind w:firstLineChars="200" w:firstLine="360"/>
        <w:rPr>
          <w:rFonts w:eastAsia="宋体" w:hint="eastAsia"/>
          <w:sz w:val="18"/>
          <w:szCs w:val="18"/>
        </w:rPr>
      </w:pPr>
      <w:bookmarkStart w:id="54" w:name="_Toc510879140"/>
      <w:r>
        <w:rPr>
          <w:rFonts w:eastAsia="宋体" w:hint="eastAsia"/>
          <w:sz w:val="18"/>
          <w:szCs w:val="18"/>
        </w:rPr>
        <w:t>一、</w:t>
      </w:r>
      <w:r>
        <w:rPr>
          <w:rFonts w:eastAsia="宋体"/>
          <w:sz w:val="18"/>
          <w:szCs w:val="18"/>
        </w:rPr>
        <w:t>对上诉</w:t>
      </w:r>
      <w:r>
        <w:rPr>
          <w:rFonts w:eastAsia="宋体" w:hint="eastAsia"/>
          <w:sz w:val="18"/>
          <w:szCs w:val="18"/>
        </w:rPr>
        <w:t>、</w:t>
      </w:r>
      <w:r>
        <w:rPr>
          <w:rFonts w:eastAsia="宋体"/>
          <w:sz w:val="18"/>
          <w:szCs w:val="18"/>
        </w:rPr>
        <w:t>抗诉案件审理后的处理</w:t>
      </w:r>
      <w:bookmarkEnd w:id="54"/>
    </w:p>
    <w:p w14:paraId="0ECCCB8C" w14:textId="77777777" w:rsidR="00464ADF" w:rsidRDefault="00000000">
      <w:pPr>
        <w:pStyle w:val="3"/>
        <w:spacing w:line="240" w:lineRule="auto"/>
        <w:ind w:firstLineChars="200" w:firstLine="360"/>
        <w:rPr>
          <w:rFonts w:eastAsia="宋体" w:hint="eastAsia"/>
          <w:sz w:val="18"/>
          <w:szCs w:val="18"/>
        </w:rPr>
      </w:pPr>
      <w:r>
        <w:rPr>
          <w:rFonts w:eastAsia="宋体" w:hint="eastAsia"/>
          <w:sz w:val="18"/>
          <w:szCs w:val="18"/>
          <w:highlight w:val="yellow"/>
        </w:rPr>
        <w:t>记住三句话：事实不清可改可发；仅是量刑不当应当直接判；只要程序违法了，应当裁定撤！</w:t>
      </w:r>
    </w:p>
    <w:p w14:paraId="61A96A7C" w14:textId="77777777" w:rsidR="00464ADF" w:rsidRDefault="00000000">
      <w:pPr>
        <w:ind w:firstLine="420"/>
        <w:rPr>
          <w:rFonts w:ascii="宋体" w:eastAsia="宋体" w:hAnsi="宋体" w:hint="eastAsia"/>
          <w:sz w:val="18"/>
          <w:szCs w:val="18"/>
        </w:rPr>
      </w:pPr>
      <w:r>
        <w:rPr>
          <w:rFonts w:ascii="宋体" w:eastAsia="宋体" w:hAnsi="宋体" w:hint="eastAsia"/>
          <w:sz w:val="18"/>
          <w:szCs w:val="18"/>
        </w:rPr>
        <w:t>原判决、裁定认定事实不清楚或证据不足既可以在查清事实后改判，也可以裁定撤销原判发回重审。有多名被告人的案件，</w:t>
      </w:r>
      <w:r>
        <w:rPr>
          <w:rFonts w:ascii="宋体" w:eastAsia="宋体" w:hAnsi="宋体" w:hint="eastAsia"/>
          <w:color w:val="C00000"/>
          <w:sz w:val="18"/>
          <w:szCs w:val="18"/>
        </w:rPr>
        <w:t>部分被告人的犯罪事实不清、证据不足</w:t>
      </w:r>
      <w:r>
        <w:rPr>
          <w:rFonts w:ascii="宋体" w:eastAsia="宋体" w:hAnsi="宋体" w:hint="eastAsia"/>
          <w:sz w:val="18"/>
          <w:szCs w:val="18"/>
        </w:rPr>
        <w:t>或者</w:t>
      </w:r>
      <w:r>
        <w:rPr>
          <w:rFonts w:ascii="宋体" w:eastAsia="宋体" w:hAnsi="宋体" w:hint="eastAsia"/>
          <w:color w:val="C00000"/>
          <w:sz w:val="18"/>
          <w:szCs w:val="18"/>
        </w:rPr>
        <w:t>有新的犯罪事实需要追诉，且有关犯罪与其他同案被告人没有关联的</w:t>
      </w:r>
      <w:r>
        <w:rPr>
          <w:rFonts w:ascii="宋体" w:eastAsia="宋体" w:hAnsi="宋体" w:hint="eastAsia"/>
          <w:sz w:val="18"/>
          <w:szCs w:val="18"/>
        </w:rPr>
        <w:t>，第二审人民法院根据案件情况，可以对该部分被告人</w:t>
      </w:r>
      <w:r>
        <w:rPr>
          <w:rFonts w:ascii="宋体" w:eastAsia="宋体" w:hAnsi="宋体" w:hint="eastAsia"/>
          <w:color w:val="C00000"/>
          <w:sz w:val="18"/>
          <w:szCs w:val="18"/>
        </w:rPr>
        <w:t>分案处理</w:t>
      </w:r>
      <w:r>
        <w:rPr>
          <w:rFonts w:ascii="宋体" w:eastAsia="宋体" w:hAnsi="宋体" w:hint="eastAsia"/>
          <w:sz w:val="18"/>
          <w:szCs w:val="18"/>
        </w:rPr>
        <w:t>，</w:t>
      </w:r>
      <w:r>
        <w:rPr>
          <w:rFonts w:ascii="宋体" w:eastAsia="宋体" w:hAnsi="宋体" w:hint="eastAsia"/>
          <w:color w:val="C00000"/>
          <w:sz w:val="18"/>
          <w:szCs w:val="18"/>
        </w:rPr>
        <w:t>将该部分被告人发回原审人民法院重新审判</w:t>
      </w:r>
      <w:r>
        <w:rPr>
          <w:rFonts w:ascii="宋体" w:eastAsia="宋体" w:hAnsi="宋体" w:hint="eastAsia"/>
          <w:sz w:val="18"/>
          <w:szCs w:val="18"/>
        </w:rPr>
        <w:t>。原审人民法院重新作出判决后，被告人上诉或者人民检察院抗诉，其他被告人的案件尚未作出第二审判决、裁定的，第二审人民法院</w:t>
      </w:r>
      <w:r>
        <w:rPr>
          <w:rFonts w:ascii="宋体" w:eastAsia="宋体" w:hAnsi="宋体" w:hint="eastAsia"/>
          <w:color w:val="C00000"/>
          <w:sz w:val="18"/>
          <w:szCs w:val="18"/>
        </w:rPr>
        <w:t>可以并案审理</w:t>
      </w:r>
      <w:r>
        <w:rPr>
          <w:rFonts w:ascii="宋体" w:eastAsia="宋体" w:hAnsi="宋体" w:hint="eastAsia"/>
          <w:sz w:val="18"/>
          <w:szCs w:val="18"/>
        </w:rPr>
        <w:t>。</w:t>
      </w:r>
    </w:p>
    <w:p w14:paraId="3B6712D4" w14:textId="77777777" w:rsidR="00464ADF" w:rsidRDefault="00000000">
      <w:pPr>
        <w:ind w:firstLine="422"/>
        <w:rPr>
          <w:rFonts w:ascii="宋体" w:eastAsia="宋体" w:hAnsi="宋体" w:hint="eastAsia"/>
          <w:color w:val="C00000"/>
          <w:sz w:val="18"/>
          <w:szCs w:val="18"/>
        </w:rPr>
      </w:pPr>
      <w:r>
        <w:rPr>
          <w:rFonts w:ascii="宋体" w:eastAsia="宋体" w:hAnsi="宋体" w:hint="eastAsia"/>
          <w:b/>
          <w:bCs/>
          <w:color w:val="C00000"/>
          <w:sz w:val="18"/>
          <w:szCs w:val="18"/>
        </w:rPr>
        <w:t>裁定撤销原判，发回原审人民法院重新审判：</w:t>
      </w:r>
      <w:r>
        <w:rPr>
          <w:rFonts w:ascii="宋体" w:eastAsia="宋体" w:hAnsi="宋体" w:hint="eastAsia"/>
          <w:color w:val="C00000"/>
          <w:sz w:val="18"/>
          <w:szCs w:val="18"/>
        </w:rPr>
        <w:t>（1）违反公开审判的规定（2）违反回避制度的（3）剥夺</w:t>
      </w:r>
      <w:r>
        <w:rPr>
          <w:rFonts w:ascii="宋体" w:eastAsia="宋体" w:hAnsi="宋体" w:hint="eastAsia"/>
          <w:color w:val="C00000"/>
          <w:sz w:val="18"/>
          <w:szCs w:val="18"/>
        </w:rPr>
        <w:lastRenderedPageBreak/>
        <w:t>或限制当事人的法定诉讼权利，可能影响公正审判（4）审判组织的组成不合法（5）其他违反法定诉讼程序可能影响公正审判。</w:t>
      </w:r>
    </w:p>
    <w:p w14:paraId="7C4A2B8C" w14:textId="77777777" w:rsidR="00464ADF" w:rsidRDefault="00000000">
      <w:pPr>
        <w:ind w:firstLine="422"/>
        <w:rPr>
          <w:rFonts w:ascii="宋体" w:eastAsia="宋体" w:hAnsi="宋体" w:hint="eastAsia"/>
          <w:color w:val="C00000"/>
          <w:sz w:val="18"/>
          <w:szCs w:val="18"/>
        </w:rPr>
      </w:pPr>
      <w:r>
        <w:rPr>
          <w:rFonts w:ascii="宋体" w:eastAsia="宋体" w:hAnsi="宋体" w:hint="eastAsia"/>
          <w:color w:val="C00000"/>
          <w:sz w:val="18"/>
          <w:szCs w:val="18"/>
        </w:rPr>
        <w:t>“事实不清，分案发回重审”，对部分被告人的案件发回，其余被告人的案件可以视情况继续审理（有必要的，也可以中止审理）。如果发回被告人的案件重新进入二审的，可以与其他被告人的二审案件合并。</w:t>
      </w:r>
    </w:p>
    <w:p w14:paraId="4475A693" w14:textId="77777777" w:rsidR="00464ADF" w:rsidRDefault="00000000">
      <w:pPr>
        <w:widowControl/>
        <w:ind w:firstLineChars="200" w:firstLine="360"/>
        <w:rPr>
          <w:rFonts w:ascii="宋体" w:eastAsia="宋体" w:hAnsi="宋体" w:hint="eastAsia"/>
          <w:sz w:val="18"/>
          <w:szCs w:val="18"/>
        </w:rPr>
      </w:pPr>
      <w:r>
        <w:rPr>
          <w:rFonts w:ascii="宋体" w:eastAsia="宋体" w:hAnsi="宋体" w:hint="eastAsia"/>
          <w:sz w:val="18"/>
          <w:szCs w:val="18"/>
        </w:rPr>
        <w:t>二、</w:t>
      </w:r>
      <w:bookmarkStart w:id="55" w:name="_Toc510879142"/>
      <w:r>
        <w:rPr>
          <w:rFonts w:ascii="宋体" w:eastAsia="宋体" w:hAnsi="宋体"/>
          <w:sz w:val="18"/>
          <w:szCs w:val="18"/>
        </w:rPr>
        <w:t>对</w:t>
      </w:r>
      <w:r>
        <w:rPr>
          <w:rFonts w:ascii="宋体" w:eastAsia="宋体" w:hAnsi="宋体" w:hint="eastAsia"/>
          <w:sz w:val="18"/>
          <w:szCs w:val="18"/>
        </w:rPr>
        <w:t>附带民事诉讼案件的处理</w:t>
      </w:r>
      <w:bookmarkEnd w:id="55"/>
    </w:p>
    <w:p w14:paraId="70843409" w14:textId="77777777" w:rsidR="00464ADF" w:rsidRDefault="00000000">
      <w:pPr>
        <w:widowControl/>
        <w:ind w:firstLineChars="200" w:firstLine="360"/>
        <w:rPr>
          <w:rFonts w:ascii="宋体" w:eastAsia="宋体" w:hAnsi="宋体" w:hint="eastAsia"/>
          <w:sz w:val="18"/>
          <w:szCs w:val="18"/>
        </w:rPr>
      </w:pPr>
      <w:r>
        <w:rPr>
          <w:rFonts w:ascii="宋体" w:eastAsia="宋体" w:hAnsi="宋体" w:hint="eastAsia"/>
          <w:sz w:val="18"/>
          <w:szCs w:val="18"/>
        </w:rPr>
        <w:t>（1）对刑事部分提出上诉、抗诉，附带民事部分已经发生法律效力的案件，</w:t>
      </w:r>
      <w:r>
        <w:rPr>
          <w:rFonts w:ascii="宋体" w:eastAsia="宋体" w:hAnsi="宋体" w:hint="eastAsia"/>
          <w:color w:val="C00000"/>
          <w:sz w:val="18"/>
          <w:szCs w:val="18"/>
        </w:rPr>
        <w:t>附带民事部分正确的</w:t>
      </w:r>
      <w:r>
        <w:rPr>
          <w:rFonts w:ascii="宋体" w:eastAsia="宋体" w:hAnsi="宋体" w:hint="eastAsia"/>
          <w:sz w:val="18"/>
          <w:szCs w:val="18"/>
        </w:rPr>
        <w:t>，刑事部分按二审程序审理；</w:t>
      </w:r>
      <w:r>
        <w:rPr>
          <w:rFonts w:ascii="宋体" w:eastAsia="宋体" w:hAnsi="宋体" w:hint="eastAsia"/>
          <w:color w:val="C00000"/>
          <w:sz w:val="18"/>
          <w:szCs w:val="18"/>
        </w:rPr>
        <w:t>附带民事部分有错的</w:t>
      </w:r>
      <w:r>
        <w:rPr>
          <w:rFonts w:ascii="宋体" w:eastAsia="宋体" w:hAnsi="宋体" w:hint="eastAsia"/>
          <w:sz w:val="18"/>
          <w:szCs w:val="18"/>
        </w:rPr>
        <w:t>，刑事部分仍按二审，之后依审判监督程序对附带民事部分予以纠正。（2）对附带民事部分提出上诉，刑事部分已经发生法律效力的案件，刑事部分正确的，附带民事部分按二审；刑事部分有错的，依审监程序对刑事部分再审，</w:t>
      </w:r>
      <w:r>
        <w:rPr>
          <w:rFonts w:ascii="宋体" w:eastAsia="宋体" w:hAnsi="宋体" w:hint="eastAsia"/>
          <w:color w:val="C00000"/>
          <w:sz w:val="18"/>
          <w:szCs w:val="18"/>
        </w:rPr>
        <w:t>并一并审理附带民事部分</w:t>
      </w:r>
      <w:r>
        <w:rPr>
          <w:rFonts w:ascii="宋体" w:eastAsia="宋体" w:hAnsi="宋体" w:hint="eastAsia"/>
          <w:sz w:val="18"/>
          <w:szCs w:val="18"/>
        </w:rPr>
        <w:t>。（3）第一审附带民事诉讼原告人增加独立的诉讼请求或第一审附带民事诉讼被告人提出反诉的，</w:t>
      </w:r>
      <w:r>
        <w:rPr>
          <w:rFonts w:ascii="宋体" w:eastAsia="宋体" w:hAnsi="宋体" w:hint="eastAsia"/>
          <w:color w:val="C00000"/>
          <w:sz w:val="18"/>
          <w:szCs w:val="18"/>
        </w:rPr>
        <w:t>先调解</w:t>
      </w:r>
      <w:r>
        <w:rPr>
          <w:rFonts w:ascii="宋体" w:eastAsia="宋体" w:hAnsi="宋体" w:hint="eastAsia"/>
          <w:sz w:val="18"/>
          <w:szCs w:val="18"/>
        </w:rPr>
        <w:t>；调解不成的，</w:t>
      </w:r>
      <w:r>
        <w:rPr>
          <w:rFonts w:ascii="宋体" w:eastAsia="宋体" w:hAnsi="宋体" w:hint="eastAsia"/>
          <w:color w:val="C00000"/>
          <w:sz w:val="18"/>
          <w:szCs w:val="18"/>
        </w:rPr>
        <w:t>告知当事人另行起诉</w:t>
      </w:r>
      <w:r>
        <w:rPr>
          <w:rFonts w:ascii="宋体" w:eastAsia="宋体" w:hAnsi="宋体" w:hint="eastAsia"/>
          <w:sz w:val="18"/>
          <w:szCs w:val="18"/>
        </w:rPr>
        <w:t>。</w:t>
      </w:r>
    </w:p>
    <w:p w14:paraId="1ACD26EC" w14:textId="77777777" w:rsidR="00464ADF" w:rsidRDefault="00000000">
      <w:pPr>
        <w:ind w:firstLineChars="200" w:firstLine="360"/>
        <w:rPr>
          <w:rFonts w:ascii="宋体" w:eastAsia="宋体" w:hAnsi="宋体" w:hint="eastAsia"/>
          <w:color w:val="C00000"/>
          <w:kern w:val="0"/>
          <w:sz w:val="18"/>
          <w:szCs w:val="18"/>
        </w:rPr>
      </w:pPr>
      <w:r>
        <w:rPr>
          <w:rFonts w:ascii="宋体" w:eastAsia="宋体" w:hAnsi="宋体" w:hint="eastAsia"/>
          <w:kern w:val="0"/>
          <w:sz w:val="18"/>
          <w:szCs w:val="18"/>
        </w:rPr>
        <w:t>刑事附带民事诉讼案件，只有附带民事诉讼当事人及其法定代理人上诉的，</w:t>
      </w:r>
      <w:r>
        <w:rPr>
          <w:rFonts w:ascii="宋体" w:eastAsia="宋体" w:hAnsi="宋体" w:hint="eastAsia"/>
          <w:color w:val="B00824"/>
          <w:kern w:val="0"/>
          <w:sz w:val="18"/>
          <w:szCs w:val="18"/>
        </w:rPr>
        <w:t>第一审刑事部分的判决在上诉期满后即发生法律效力，应当送监执行的第一审刑事被告人是第二审附带民事诉讼被告人的，在第二审附带民事诉讼案件审结前，可以暂缓送监执行</w:t>
      </w:r>
      <w:r>
        <w:rPr>
          <w:rFonts w:ascii="宋体" w:eastAsia="宋体" w:hAnsi="宋体" w:hint="eastAsia"/>
          <w:kern w:val="0"/>
          <w:sz w:val="18"/>
          <w:szCs w:val="18"/>
        </w:rPr>
        <w:t>。</w:t>
      </w:r>
      <w:bookmarkStart w:id="56" w:name="_Toc510879143"/>
      <w:r>
        <w:rPr>
          <w:rFonts w:ascii="宋体" w:eastAsia="宋体" w:hAnsi="宋体" w:hint="eastAsia"/>
          <w:color w:val="C00000"/>
          <w:kern w:val="0"/>
          <w:sz w:val="18"/>
          <w:szCs w:val="18"/>
        </w:rPr>
        <w:t>（注意暂缓送监在死刑复核中也存在！）</w:t>
      </w:r>
    </w:p>
    <w:bookmarkEnd w:id="56"/>
    <w:p w14:paraId="4B5AE3B5" w14:textId="77777777" w:rsidR="00464ADF" w:rsidRDefault="00000000">
      <w:pPr>
        <w:ind w:firstLineChars="200" w:firstLine="361"/>
        <w:rPr>
          <w:rFonts w:ascii="宋体" w:eastAsia="宋体" w:hAnsi="宋体" w:hint="eastAsia"/>
          <w:b/>
          <w:bCs/>
          <w:color w:val="0070C0"/>
          <w:kern w:val="0"/>
          <w:sz w:val="18"/>
          <w:szCs w:val="18"/>
        </w:rPr>
      </w:pPr>
      <w:r>
        <w:rPr>
          <w:rFonts w:ascii="宋体" w:eastAsia="宋体" w:hAnsi="宋体" w:hint="eastAsia"/>
          <w:b/>
          <w:bCs/>
          <w:color w:val="0070C0"/>
          <w:kern w:val="0"/>
          <w:sz w:val="18"/>
          <w:szCs w:val="18"/>
        </w:rPr>
        <w:t>【补充！注意！】考试中如果看到和解，要反应是刑事和解还是自行和解，如果是自行和解就是包括自诉案件也包括公诉案件，如果是刑事和解就是公诉案件。</w:t>
      </w:r>
    </w:p>
    <w:p w14:paraId="78DE6487" w14:textId="77777777" w:rsidR="00464ADF" w:rsidRDefault="00000000">
      <w:pPr>
        <w:ind w:firstLineChars="200" w:firstLine="361"/>
        <w:rPr>
          <w:rFonts w:ascii="宋体" w:eastAsia="宋体" w:hAnsi="宋体" w:hint="eastAsia"/>
          <w:b/>
          <w:bCs/>
          <w:color w:val="0070C0"/>
          <w:kern w:val="0"/>
          <w:sz w:val="18"/>
          <w:szCs w:val="18"/>
        </w:rPr>
      </w:pPr>
      <w:r>
        <w:rPr>
          <w:rFonts w:ascii="宋体" w:eastAsia="宋体" w:hAnsi="宋体" w:hint="eastAsia"/>
          <w:b/>
          <w:bCs/>
          <w:color w:val="0070C0"/>
          <w:kern w:val="0"/>
          <w:sz w:val="18"/>
          <w:szCs w:val="18"/>
        </w:rPr>
        <w:t>调解有可能是自诉案件的前两类，也可能是附带民事部分。</w:t>
      </w:r>
    </w:p>
    <w:p w14:paraId="06C37DB7" w14:textId="77777777" w:rsidR="00464ADF" w:rsidRDefault="00000000">
      <w:pPr>
        <w:ind w:firstLineChars="200" w:firstLine="361"/>
        <w:rPr>
          <w:rFonts w:ascii="宋体" w:eastAsia="宋体" w:hAnsi="宋体" w:hint="eastAsia"/>
          <w:b/>
          <w:bCs/>
          <w:color w:val="0070C0"/>
          <w:kern w:val="0"/>
          <w:sz w:val="18"/>
          <w:szCs w:val="18"/>
        </w:rPr>
      </w:pPr>
      <w:r>
        <w:rPr>
          <w:rFonts w:ascii="宋体" w:eastAsia="宋体" w:hAnsi="宋体" w:hint="eastAsia"/>
          <w:b/>
          <w:bCs/>
          <w:color w:val="0070C0"/>
          <w:kern w:val="0"/>
          <w:sz w:val="18"/>
          <w:szCs w:val="18"/>
        </w:rPr>
        <w:t>看到反诉时，要看到是针对自诉案件提反诉，还是附民部分提反诉。</w:t>
      </w:r>
    </w:p>
    <w:p w14:paraId="2976080A" w14:textId="77777777" w:rsidR="000612DA" w:rsidRPr="000612DA" w:rsidRDefault="000612DA" w:rsidP="000612DA">
      <w:pPr>
        <w:ind w:firstLineChars="200" w:firstLine="360"/>
        <w:rPr>
          <w:rFonts w:ascii="宋体" w:eastAsia="宋体" w:hAnsi="宋体" w:hint="eastAsia"/>
          <w:kern w:val="0"/>
          <w:sz w:val="18"/>
          <w:szCs w:val="18"/>
        </w:rPr>
      </w:pPr>
      <w:r w:rsidRPr="000612DA">
        <w:rPr>
          <w:rFonts w:ascii="宋体" w:eastAsia="宋体" w:hAnsi="宋体" w:hint="eastAsia"/>
          <w:kern w:val="0"/>
          <w:sz w:val="18"/>
          <w:szCs w:val="18"/>
        </w:rPr>
        <w:t>三、对自诉案件的处理</w:t>
      </w:r>
    </w:p>
    <w:p w14:paraId="0FB312A0" w14:textId="301F3A48" w:rsidR="000612DA" w:rsidRDefault="000612DA" w:rsidP="000612DA">
      <w:pPr>
        <w:ind w:firstLineChars="200" w:firstLine="360"/>
        <w:rPr>
          <w:rFonts w:ascii="宋体" w:eastAsia="宋体" w:hAnsi="宋体" w:hint="eastAsia"/>
          <w:kern w:val="0"/>
          <w:sz w:val="18"/>
          <w:szCs w:val="18"/>
        </w:rPr>
      </w:pPr>
      <w:r w:rsidRPr="000612DA">
        <w:rPr>
          <w:rFonts w:ascii="宋体" w:eastAsia="宋体" w:hAnsi="宋体" w:hint="eastAsia"/>
          <w:kern w:val="0"/>
          <w:sz w:val="18"/>
          <w:szCs w:val="18"/>
        </w:rPr>
        <w:t>必要时，可以调解，调解结案的，应制作调解书，第一审判决、裁定视为自动撤销。当事人自行和解的，自行和解后，自诉人可以撤回自诉。法院经审查，认为和解、撤回自诉确属自愿的，应当裁定准许；认为系被强迫、威吓等，并非自愿的，不予准许。裁定准许撤回自诉的，应当撤销第一审判决、裁定。当事人提出反诉的，告知当事人另行起诉。</w:t>
      </w:r>
    </w:p>
    <w:p w14:paraId="62304731" w14:textId="77777777" w:rsidR="000612DA" w:rsidRPr="000612DA" w:rsidRDefault="000612DA" w:rsidP="000612DA">
      <w:pPr>
        <w:ind w:firstLineChars="200" w:firstLine="360"/>
        <w:rPr>
          <w:rFonts w:ascii="宋体" w:eastAsia="宋体" w:hAnsi="宋体" w:hint="eastAsia"/>
          <w:kern w:val="0"/>
          <w:sz w:val="18"/>
          <w:szCs w:val="18"/>
        </w:rPr>
      </w:pPr>
      <w:r w:rsidRPr="000612DA">
        <w:rPr>
          <w:rFonts w:ascii="宋体" w:eastAsia="宋体" w:hAnsi="宋体" w:hint="eastAsia"/>
          <w:kern w:val="0"/>
          <w:sz w:val="18"/>
          <w:szCs w:val="18"/>
        </w:rPr>
        <w:t>四、对涉案财物的处理</w:t>
      </w:r>
    </w:p>
    <w:p w14:paraId="7128124B" w14:textId="77777777" w:rsidR="000612DA" w:rsidRPr="000612DA" w:rsidRDefault="000612DA" w:rsidP="000612DA">
      <w:pPr>
        <w:ind w:firstLineChars="200" w:firstLine="360"/>
        <w:rPr>
          <w:rFonts w:ascii="宋体" w:eastAsia="宋体" w:hAnsi="宋体" w:hint="eastAsia"/>
          <w:kern w:val="0"/>
          <w:sz w:val="18"/>
          <w:szCs w:val="18"/>
        </w:rPr>
      </w:pPr>
      <w:r w:rsidRPr="000612DA">
        <w:rPr>
          <w:rFonts w:ascii="宋体" w:eastAsia="宋体" w:hAnsi="宋体" w:hint="eastAsia"/>
          <w:kern w:val="0"/>
          <w:sz w:val="18"/>
          <w:szCs w:val="18"/>
        </w:rPr>
        <w:t>（一）返还被害人：对被害人的合法财产，权属明确的，应当依法及时返还，但须经拍照、鉴定、估价，并在案卷中注明返还的理由，将原物照片、清单和被害人的领取手续附卷备查；权属不明的，应当在人民法院判决、裁定生效后，按比例返还被害人，但已获退赔的部分应予扣除。</w:t>
      </w:r>
    </w:p>
    <w:p w14:paraId="140DE103" w14:textId="2952ABE0" w:rsidR="000612DA" w:rsidRPr="000612DA" w:rsidRDefault="000612DA" w:rsidP="000612DA">
      <w:pPr>
        <w:ind w:firstLineChars="200" w:firstLine="360"/>
        <w:rPr>
          <w:rFonts w:ascii="宋体" w:eastAsia="宋体" w:hAnsi="宋体" w:hint="eastAsia"/>
          <w:kern w:val="0"/>
          <w:sz w:val="18"/>
          <w:szCs w:val="18"/>
        </w:rPr>
      </w:pPr>
      <w:r w:rsidRPr="000612DA">
        <w:rPr>
          <w:rFonts w:ascii="宋体" w:eastAsia="宋体" w:hAnsi="宋体" w:hint="eastAsia"/>
          <w:kern w:val="0"/>
          <w:sz w:val="18"/>
          <w:szCs w:val="18"/>
        </w:rPr>
        <w:t>（二）对涉案财物未处理的救济：第二审期间，发现第一审判决未对随案移送的涉案财物及其孳息作出处理的，可以裁定撤销原判，发回原审人民法院重新审判（视为一审事实不清），由原审人民法院依法对涉案财物及其孳息一并作出处理。判决生效后，发现原判未对随案移送的涉案财物及其孳息作出处理的，由原审人民法院依法对涉案财物及其孳息另行作出处理。</w:t>
      </w:r>
    </w:p>
    <w:p w14:paraId="2078D42A" w14:textId="1AFA1385" w:rsidR="00464ADF" w:rsidRDefault="00000000">
      <w:pPr>
        <w:pStyle w:val="1"/>
        <w:tabs>
          <w:tab w:val="left" w:pos="420"/>
        </w:tabs>
        <w:spacing w:before="0" w:after="0" w:line="240" w:lineRule="auto"/>
        <w:jc w:val="center"/>
        <w:rPr>
          <w:rFonts w:ascii="宋体" w:hAnsi="宋体" w:cs="宋体" w:hint="eastAsia"/>
          <w:bCs w:val="0"/>
          <w:color w:val="C00000"/>
          <w:sz w:val="18"/>
          <w:szCs w:val="18"/>
        </w:rPr>
      </w:pPr>
      <w:bookmarkStart w:id="57" w:name="_Toc4844151"/>
      <w:bookmarkStart w:id="58" w:name="_Toc136521796"/>
      <w:bookmarkStart w:id="59" w:name="_Toc18161"/>
      <w:r>
        <w:rPr>
          <w:rFonts w:ascii="宋体" w:hAnsi="宋体" w:hint="eastAsia"/>
          <w:bCs w:val="0"/>
          <w:sz w:val="18"/>
          <w:szCs w:val="18"/>
        </w:rPr>
        <w:t>考点5</w:t>
      </w:r>
      <w:r>
        <w:rPr>
          <w:rFonts w:ascii="宋体" w:hAnsi="宋体"/>
          <w:bCs w:val="0"/>
          <w:sz w:val="18"/>
          <w:szCs w:val="18"/>
        </w:rPr>
        <w:t xml:space="preserve">6  </w:t>
      </w:r>
      <w:r>
        <w:rPr>
          <w:rFonts w:ascii="宋体" w:hAnsi="宋体" w:hint="eastAsia"/>
          <w:bCs w:val="0"/>
          <w:sz w:val="18"/>
          <w:szCs w:val="18"/>
        </w:rPr>
        <w:t>死刑复核</w:t>
      </w:r>
      <w:bookmarkStart w:id="60" w:name="_Toc510879145"/>
      <w:bookmarkEnd w:id="57"/>
      <w:bookmarkEnd w:id="58"/>
      <w:bookmarkEnd w:id="59"/>
      <w:r w:rsidR="000612DA">
        <w:rPr>
          <w:rFonts w:ascii="宋体" w:hAnsi="宋体" w:cs="宋体" w:hint="eastAsia"/>
          <w:bCs w:val="0"/>
          <w:sz w:val="18"/>
          <w:szCs w:val="18"/>
        </w:rPr>
        <w:t>（</w:t>
      </w:r>
      <w:r w:rsidR="00B622C8">
        <w:rPr>
          <w:rFonts w:ascii="宋体" w:hAnsi="宋体" w:cs="宋体" w:hint="eastAsia"/>
          <w:bCs w:val="0"/>
          <w:sz w:val="18"/>
          <w:szCs w:val="18"/>
        </w:rPr>
        <w:t>11:</w:t>
      </w:r>
      <w:r w:rsidR="00BB28D2">
        <w:rPr>
          <w:rFonts w:ascii="宋体" w:hAnsi="宋体" w:cs="宋体" w:hint="eastAsia"/>
          <w:bCs w:val="0"/>
          <w:sz w:val="18"/>
          <w:szCs w:val="18"/>
        </w:rPr>
        <w:t>42</w:t>
      </w:r>
      <w:r w:rsidR="00B622C8">
        <w:rPr>
          <w:rFonts w:ascii="宋体" w:hAnsi="宋体" w:cs="宋体" w:hint="eastAsia"/>
          <w:bCs w:val="0"/>
          <w:sz w:val="18"/>
          <w:szCs w:val="18"/>
        </w:rPr>
        <w:t>:</w:t>
      </w:r>
      <w:r w:rsidR="000612DA">
        <w:rPr>
          <w:rFonts w:ascii="宋体" w:hAnsi="宋体" w:cs="宋体" w:hint="eastAsia"/>
          <w:bCs w:val="0"/>
          <w:sz w:val="18"/>
          <w:szCs w:val="18"/>
        </w:rPr>
        <w:t>00-</w:t>
      </w:r>
      <w:r w:rsidR="00BB28D2">
        <w:rPr>
          <w:rFonts w:ascii="宋体" w:hAnsi="宋体" w:cs="宋体" w:hint="eastAsia"/>
          <w:bCs w:val="0"/>
          <w:sz w:val="18"/>
          <w:szCs w:val="18"/>
        </w:rPr>
        <w:t>11</w:t>
      </w:r>
      <w:r w:rsidR="000612DA">
        <w:rPr>
          <w:rFonts w:ascii="宋体" w:hAnsi="宋体" w:cs="宋体" w:hint="eastAsia"/>
          <w:bCs w:val="0"/>
          <w:sz w:val="18"/>
          <w:szCs w:val="18"/>
        </w:rPr>
        <w:t>:</w:t>
      </w:r>
      <w:r w:rsidR="00BB28D2">
        <w:rPr>
          <w:rFonts w:ascii="宋体" w:hAnsi="宋体" w:cs="宋体" w:hint="eastAsia"/>
          <w:bCs w:val="0"/>
          <w:sz w:val="18"/>
          <w:szCs w:val="18"/>
        </w:rPr>
        <w:t>51</w:t>
      </w:r>
      <w:r w:rsidR="000612DA">
        <w:rPr>
          <w:rFonts w:ascii="宋体" w:hAnsi="宋体" w:cs="宋体" w:hint="eastAsia"/>
          <w:bCs w:val="0"/>
          <w:sz w:val="18"/>
          <w:szCs w:val="18"/>
        </w:rPr>
        <w:t>:00）</w:t>
      </w:r>
      <w:r>
        <w:rPr>
          <w:rFonts w:ascii="宋体" w:hAnsi="宋体" w:cs="宋体" w:hint="eastAsia"/>
          <w:bCs w:val="0"/>
          <w:color w:val="C00000"/>
          <w:sz w:val="18"/>
          <w:szCs w:val="18"/>
        </w:rPr>
        <w:t>（如何报上去、如何复核、复核后如何处理）</w:t>
      </w:r>
    </w:p>
    <w:p w14:paraId="56700EB9" w14:textId="77777777" w:rsidR="00464ADF" w:rsidRDefault="00000000">
      <w:pPr>
        <w:pStyle w:val="3"/>
        <w:spacing w:line="240" w:lineRule="auto"/>
        <w:ind w:firstLineChars="200" w:firstLine="360"/>
        <w:rPr>
          <w:rFonts w:eastAsia="宋体" w:hint="eastAsia"/>
          <w:b/>
          <w:sz w:val="18"/>
          <w:szCs w:val="18"/>
        </w:rPr>
      </w:pPr>
      <w:r>
        <w:rPr>
          <w:rFonts w:eastAsia="宋体" w:hint="eastAsia"/>
          <w:sz w:val="18"/>
          <w:szCs w:val="18"/>
        </w:rPr>
        <w:t>一、死刑立即执行案件的报请程序</w:t>
      </w:r>
    </w:p>
    <w:p w14:paraId="23F1A347"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中级人民法院判处死刑的第一审案件，被告人未上诉、人民检察院未抗诉的，在上诉、抗诉期满后十日以内报请高级人民法院复核。高级人民法院同意判处死刑的，应当在作出裁定后十日以内报请最高人民法院核准；认为原判认定的某一具体事实或者引用的法律条款等存在瑕疵，但判处被告人死刑并无不当的，</w:t>
      </w:r>
      <w:r>
        <w:rPr>
          <w:rFonts w:ascii="宋体" w:eastAsia="宋体" w:hAnsi="宋体" w:hint="eastAsia"/>
          <w:b/>
          <w:bCs/>
          <w:color w:val="C00000"/>
          <w:sz w:val="18"/>
          <w:szCs w:val="18"/>
        </w:rPr>
        <w:t>可以在纠正后作出核准的判决、裁定；不同意判处死刑的，应当依照第二审程序提审或者发回重新审判</w:t>
      </w:r>
      <w:r>
        <w:rPr>
          <w:rFonts w:ascii="宋体" w:eastAsia="宋体" w:hAnsi="宋体" w:hint="eastAsia"/>
          <w:sz w:val="18"/>
          <w:szCs w:val="18"/>
        </w:rPr>
        <w:t>。</w:t>
      </w:r>
    </w:p>
    <w:p w14:paraId="0811ACFE"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中级人民法院判处死刑的第一审案件，被告人上诉或者人民检察院抗诉，高级人民法院裁定维持的，应当在作出裁定后十日以内报请最高人民法院核准。</w:t>
      </w:r>
    </w:p>
    <w:p w14:paraId="292649B7"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高级人民法院判处死刑的第一审案件，被告人未上诉、人民检察院未抗诉的，应当在上诉、抗诉期满后十日以内报请最高人民法院核准。有上诉或抗诉的，最高人民法院按照二审程序进行审理，裁定驳回的，不再进行复核。（</w:t>
      </w:r>
      <w:r>
        <w:rPr>
          <w:rFonts w:ascii="宋体" w:eastAsia="宋体" w:hAnsi="宋体" w:hint="eastAsia"/>
          <w:color w:val="C00000"/>
          <w:sz w:val="18"/>
          <w:szCs w:val="18"/>
        </w:rPr>
        <w:t>注意：最高院通过审判程序判决或裁定的死刑立即执行、死缓案件无须再复核；高级法院通过审判程序判决或裁定的死缓案件无须再复核</w:t>
      </w:r>
      <w:r>
        <w:rPr>
          <w:rFonts w:ascii="宋体" w:eastAsia="宋体" w:hAnsi="宋体" w:hint="eastAsia"/>
          <w:sz w:val="18"/>
          <w:szCs w:val="18"/>
        </w:rPr>
        <w:t>）</w:t>
      </w:r>
    </w:p>
    <w:p w14:paraId="3CE6C939"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高级人民法院复核死刑案件，</w:t>
      </w:r>
      <w:r>
        <w:rPr>
          <w:rFonts w:ascii="宋体" w:eastAsia="宋体" w:hAnsi="宋体" w:hint="eastAsia"/>
          <w:b/>
          <w:color w:val="B00824"/>
          <w:sz w:val="18"/>
          <w:szCs w:val="18"/>
        </w:rPr>
        <w:t>应当讯问被告人</w:t>
      </w:r>
      <w:r>
        <w:rPr>
          <w:rFonts w:ascii="宋体" w:eastAsia="宋体" w:hAnsi="宋体" w:hint="eastAsia"/>
          <w:bCs/>
          <w:color w:val="B00824"/>
          <w:sz w:val="18"/>
          <w:szCs w:val="18"/>
        </w:rPr>
        <w:t>。</w:t>
      </w:r>
      <w:r>
        <w:rPr>
          <w:rFonts w:ascii="宋体" w:eastAsia="宋体" w:hAnsi="宋体" w:hint="eastAsia"/>
          <w:color w:val="B00824"/>
          <w:sz w:val="18"/>
          <w:szCs w:val="18"/>
        </w:rPr>
        <w:t>高级人民法院复核死刑案件，被告人没有委托辩护人的，</w:t>
      </w:r>
      <w:r>
        <w:rPr>
          <w:rFonts w:ascii="宋体" w:eastAsia="宋体" w:hAnsi="宋体" w:hint="eastAsia"/>
          <w:b/>
          <w:bCs/>
          <w:color w:val="B00824"/>
          <w:sz w:val="18"/>
          <w:szCs w:val="18"/>
        </w:rPr>
        <w:lastRenderedPageBreak/>
        <w:t>应当通知法律援助机构指派律师为其提供辩护</w:t>
      </w:r>
      <w:r>
        <w:rPr>
          <w:rFonts w:ascii="宋体" w:eastAsia="宋体" w:hAnsi="宋体" w:hint="eastAsia"/>
          <w:sz w:val="18"/>
          <w:szCs w:val="18"/>
        </w:rPr>
        <w:t>。（不需要本人提申请）</w:t>
      </w:r>
    </w:p>
    <w:p w14:paraId="7CC25E14"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二、死刑立即执行案件的复核</w:t>
      </w:r>
    </w:p>
    <w:p w14:paraId="47A02551"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（一）死刑立即执行案件复核后的处理</w:t>
      </w:r>
    </w:p>
    <w:p w14:paraId="65C47E99" w14:textId="77777777" w:rsidR="00464ADF" w:rsidRDefault="00000000">
      <w:pPr>
        <w:ind w:firstLineChars="200" w:firstLine="360"/>
        <w:rPr>
          <w:rFonts w:ascii="宋体" w:eastAsia="宋体" w:hAnsi="宋体" w:hint="eastAsia"/>
          <w:color w:val="C00000"/>
          <w:sz w:val="18"/>
          <w:szCs w:val="18"/>
        </w:rPr>
      </w:pPr>
      <w:r>
        <w:rPr>
          <w:rFonts w:ascii="宋体" w:eastAsia="宋体" w:hAnsi="宋体" w:hint="eastAsia"/>
          <w:sz w:val="18"/>
          <w:szCs w:val="18"/>
        </w:rPr>
        <w:t>注意法院解释新增：原判认定事实正确、证据充分，但依法不应当判处死刑的，应当裁定不予核准，并撤销原判，发回重新审判；</w:t>
      </w:r>
      <w:r>
        <w:rPr>
          <w:rFonts w:ascii="宋体" w:eastAsia="宋体" w:hAnsi="宋体" w:hint="eastAsia"/>
          <w:color w:val="C00000"/>
          <w:sz w:val="18"/>
          <w:szCs w:val="18"/>
        </w:rPr>
        <w:t>根据案件情况，必要时，也可以依法改判。</w:t>
      </w:r>
    </w:p>
    <w:bookmarkEnd w:id="60"/>
    <w:p w14:paraId="3E399C2F" w14:textId="77777777" w:rsidR="00464ADF" w:rsidRDefault="00000000">
      <w:pPr>
        <w:pStyle w:val="4"/>
        <w:tabs>
          <w:tab w:val="left" w:pos="420"/>
        </w:tabs>
        <w:spacing w:before="0" w:after="0" w:line="240" w:lineRule="auto"/>
        <w:jc w:val="left"/>
        <w:rPr>
          <w:rFonts w:ascii="宋体" w:eastAsia="宋体" w:hAnsi="宋体" w:hint="eastAsia"/>
          <w:b w:val="0"/>
          <w:color w:val="C00000"/>
          <w:sz w:val="18"/>
          <w:szCs w:val="18"/>
        </w:rPr>
      </w:pPr>
      <w:r>
        <w:rPr>
          <w:rFonts w:ascii="宋体" w:eastAsia="宋体" w:hAnsi="宋体" w:hint="eastAsia"/>
          <w:b w:val="0"/>
          <w:color w:val="C00000"/>
          <w:sz w:val="18"/>
          <w:szCs w:val="18"/>
        </w:rPr>
        <w:tab/>
      </w:r>
      <w:r>
        <w:rPr>
          <w:rFonts w:ascii="宋体" w:eastAsia="宋体" w:hAnsi="宋体" w:hint="eastAsia"/>
          <w:bCs w:val="0"/>
          <w:color w:val="C00000"/>
          <w:sz w:val="18"/>
          <w:szCs w:val="18"/>
        </w:rPr>
        <w:t>死刑复核期间，最高人民检察院提出意见的，最高人民法院应当审查，并将采纳情况及理由反馈最高人民检察院。</w:t>
      </w:r>
    </w:p>
    <w:p w14:paraId="4329806E" w14:textId="77777777" w:rsidR="00464ADF" w:rsidRDefault="00000000">
      <w:pPr>
        <w:pStyle w:val="4"/>
        <w:tabs>
          <w:tab w:val="left" w:pos="420"/>
        </w:tabs>
        <w:spacing w:before="0" w:after="0" w:line="240" w:lineRule="auto"/>
        <w:jc w:val="left"/>
        <w:rPr>
          <w:rFonts w:ascii="宋体" w:eastAsia="宋体" w:hAnsi="宋体" w:hint="eastAsia"/>
          <w:b w:val="0"/>
          <w:color w:val="C00000"/>
          <w:sz w:val="18"/>
          <w:szCs w:val="18"/>
        </w:rPr>
      </w:pPr>
      <w:r>
        <w:rPr>
          <w:rFonts w:ascii="宋体" w:eastAsia="宋体" w:hAnsi="宋体" w:hint="eastAsia"/>
          <w:b w:val="0"/>
          <w:color w:val="000000" w:themeColor="text1"/>
          <w:sz w:val="18"/>
          <w:szCs w:val="18"/>
        </w:rPr>
        <w:tab/>
        <w:t>发回重审的处理：</w:t>
      </w:r>
      <w:r>
        <w:rPr>
          <w:rFonts w:ascii="宋体" w:eastAsia="宋体" w:hAnsi="宋体" w:hint="eastAsia"/>
          <w:kern w:val="0"/>
          <w:sz w:val="18"/>
          <w:szCs w:val="18"/>
        </w:rPr>
        <w:t>1．进入最高院死刑复核程序的案件可分为两类：一是高院二审维持死刑立即执行并报请的案件</w:t>
      </w:r>
      <w:r>
        <w:rPr>
          <w:rFonts w:ascii="宋体" w:eastAsia="宋体" w:hAnsi="宋体" w:hint="eastAsia"/>
          <w:color w:val="B00824"/>
          <w:sz w:val="18"/>
          <w:szCs w:val="18"/>
        </w:rPr>
        <w:t>（此种情形下存在中院一审、高院二审）</w:t>
      </w:r>
      <w:r>
        <w:rPr>
          <w:rFonts w:ascii="宋体" w:eastAsia="宋体" w:hAnsi="宋体" w:hint="eastAsia"/>
          <w:kern w:val="0"/>
          <w:sz w:val="18"/>
          <w:szCs w:val="18"/>
        </w:rPr>
        <w:t>；二是高院经复核后同意判处死刑立即执行并报请的案件（此种情形下</w:t>
      </w:r>
      <w:r>
        <w:rPr>
          <w:rFonts w:ascii="宋体" w:eastAsia="宋体" w:hAnsi="宋体" w:hint="eastAsia"/>
          <w:color w:val="B00824"/>
          <w:sz w:val="18"/>
          <w:szCs w:val="18"/>
        </w:rPr>
        <w:t>只有中院的一审和高院的复核</w:t>
      </w:r>
      <w:r>
        <w:rPr>
          <w:rFonts w:ascii="宋体" w:eastAsia="宋体" w:hAnsi="宋体" w:hint="eastAsia"/>
          <w:kern w:val="0"/>
          <w:sz w:val="18"/>
          <w:szCs w:val="18"/>
        </w:rPr>
        <w:t>）</w:t>
      </w:r>
      <w:r>
        <w:rPr>
          <w:rFonts w:ascii="宋体" w:eastAsia="宋体" w:hAnsi="宋体" w:hint="eastAsia"/>
          <w:color w:val="0070C0"/>
          <w:kern w:val="0"/>
          <w:sz w:val="18"/>
          <w:szCs w:val="18"/>
        </w:rPr>
        <w:t>【这个表格内容十分重要！】</w:t>
      </w:r>
    </w:p>
    <w:tbl>
      <w:tblPr>
        <w:tblW w:w="8505" w:type="dxa"/>
        <w:jc w:val="center"/>
        <w:tblBorders>
          <w:top w:val="single" w:sz="8" w:space="0" w:color="B00824"/>
          <w:left w:val="single" w:sz="8" w:space="0" w:color="B00824"/>
          <w:bottom w:val="single" w:sz="8" w:space="0" w:color="B00824"/>
          <w:right w:val="single" w:sz="8" w:space="0" w:color="B00824"/>
          <w:insideH w:val="single" w:sz="8" w:space="0" w:color="B00824"/>
          <w:insideV w:val="single" w:sz="8" w:space="0" w:color="B00824"/>
        </w:tblBorders>
        <w:tblLayout w:type="fixed"/>
        <w:tblLook w:val="04A0" w:firstRow="1" w:lastRow="0" w:firstColumn="1" w:lastColumn="0" w:noHBand="0" w:noVBand="1"/>
      </w:tblPr>
      <w:tblGrid>
        <w:gridCol w:w="2542"/>
        <w:gridCol w:w="1417"/>
        <w:gridCol w:w="3544"/>
        <w:gridCol w:w="1002"/>
      </w:tblGrid>
      <w:tr w:rsidR="00464ADF" w14:paraId="7E98AE8E" w14:textId="77777777">
        <w:trPr>
          <w:jc w:val="center"/>
        </w:trPr>
        <w:tc>
          <w:tcPr>
            <w:tcW w:w="2542" w:type="dxa"/>
            <w:vAlign w:val="center"/>
          </w:tcPr>
          <w:p w14:paraId="2A30CF22" w14:textId="77777777" w:rsidR="00464ADF" w:rsidRDefault="00000000">
            <w:pPr>
              <w:spacing w:line="240" w:lineRule="exact"/>
              <w:jc w:val="center"/>
              <w:rPr>
                <w:rFonts w:ascii="宋体" w:eastAsia="宋体" w:hAnsi="宋体" w:hint="eastAsia"/>
                <w:bCs/>
                <w:sz w:val="13"/>
                <w:szCs w:val="13"/>
              </w:rPr>
            </w:pPr>
            <w:r>
              <w:rPr>
                <w:rFonts w:ascii="宋体" w:eastAsia="宋体" w:hAnsi="宋体" w:hint="eastAsia"/>
                <w:bCs/>
                <w:sz w:val="13"/>
                <w:szCs w:val="13"/>
              </w:rPr>
              <w:t>情形</w:t>
            </w:r>
          </w:p>
        </w:tc>
        <w:tc>
          <w:tcPr>
            <w:tcW w:w="1417" w:type="dxa"/>
            <w:vAlign w:val="center"/>
          </w:tcPr>
          <w:p w14:paraId="2D8716A8" w14:textId="77777777" w:rsidR="00464ADF" w:rsidRDefault="00000000">
            <w:pPr>
              <w:spacing w:line="240" w:lineRule="exact"/>
              <w:jc w:val="center"/>
              <w:rPr>
                <w:rFonts w:ascii="宋体" w:eastAsia="宋体" w:hAnsi="宋体" w:hint="eastAsia"/>
                <w:bCs/>
                <w:sz w:val="13"/>
                <w:szCs w:val="13"/>
              </w:rPr>
            </w:pPr>
            <w:r>
              <w:rPr>
                <w:rFonts w:ascii="宋体" w:eastAsia="宋体" w:hAnsi="宋体" w:hint="eastAsia"/>
                <w:bCs/>
                <w:sz w:val="13"/>
                <w:szCs w:val="13"/>
              </w:rPr>
              <w:t>重审法院</w:t>
            </w:r>
          </w:p>
        </w:tc>
        <w:tc>
          <w:tcPr>
            <w:tcW w:w="4546" w:type="dxa"/>
            <w:gridSpan w:val="2"/>
            <w:vAlign w:val="center"/>
          </w:tcPr>
          <w:p w14:paraId="327CF390" w14:textId="77777777" w:rsidR="00464ADF" w:rsidRDefault="00000000">
            <w:pPr>
              <w:spacing w:line="240" w:lineRule="exact"/>
              <w:jc w:val="center"/>
              <w:rPr>
                <w:rFonts w:ascii="宋体" w:eastAsia="宋体" w:hAnsi="宋体" w:hint="eastAsia"/>
                <w:bCs/>
                <w:sz w:val="13"/>
                <w:szCs w:val="13"/>
              </w:rPr>
            </w:pPr>
            <w:r>
              <w:rPr>
                <w:rFonts w:ascii="宋体" w:eastAsia="宋体" w:hAnsi="宋体" w:hint="eastAsia"/>
                <w:bCs/>
                <w:sz w:val="13"/>
                <w:szCs w:val="13"/>
              </w:rPr>
              <w:t>处理</w:t>
            </w:r>
          </w:p>
        </w:tc>
      </w:tr>
      <w:tr w:rsidR="00464ADF" w14:paraId="6185AFFF" w14:textId="77777777">
        <w:trPr>
          <w:jc w:val="center"/>
        </w:trPr>
        <w:tc>
          <w:tcPr>
            <w:tcW w:w="2542" w:type="dxa"/>
            <w:vMerge w:val="restart"/>
            <w:vAlign w:val="center"/>
          </w:tcPr>
          <w:p w14:paraId="426D7638" w14:textId="77777777" w:rsidR="00464ADF" w:rsidRDefault="00000000">
            <w:pPr>
              <w:spacing w:line="240" w:lineRule="exact"/>
              <w:jc w:val="center"/>
              <w:rPr>
                <w:rFonts w:ascii="宋体" w:eastAsia="宋体" w:hAnsi="宋体" w:hint="eastAsia"/>
                <w:sz w:val="13"/>
                <w:szCs w:val="13"/>
              </w:rPr>
            </w:pPr>
            <w:r>
              <w:rPr>
                <w:rFonts w:ascii="宋体" w:eastAsia="宋体" w:hAnsi="宋体" w:hint="eastAsia"/>
                <w:sz w:val="13"/>
                <w:szCs w:val="13"/>
              </w:rPr>
              <w:t>第一类：即中院一审，高院二审</w:t>
            </w:r>
          </w:p>
        </w:tc>
        <w:tc>
          <w:tcPr>
            <w:tcW w:w="1417" w:type="dxa"/>
            <w:vAlign w:val="center"/>
          </w:tcPr>
          <w:p w14:paraId="7C5D2D43" w14:textId="77777777" w:rsidR="00464ADF" w:rsidRDefault="00000000">
            <w:pPr>
              <w:spacing w:line="240" w:lineRule="exact"/>
              <w:rPr>
                <w:rFonts w:ascii="宋体" w:eastAsia="宋体" w:hAnsi="宋体" w:hint="eastAsia"/>
                <w:sz w:val="13"/>
                <w:szCs w:val="13"/>
              </w:rPr>
            </w:pPr>
            <w:r>
              <w:rPr>
                <w:rFonts w:ascii="宋体" w:eastAsia="宋体" w:hAnsi="宋体" w:hint="eastAsia"/>
                <w:sz w:val="13"/>
                <w:szCs w:val="13"/>
              </w:rPr>
              <w:t>发回一审法院重审</w:t>
            </w:r>
          </w:p>
        </w:tc>
        <w:tc>
          <w:tcPr>
            <w:tcW w:w="4546" w:type="dxa"/>
            <w:gridSpan w:val="2"/>
            <w:vAlign w:val="center"/>
          </w:tcPr>
          <w:p w14:paraId="1D9E6B43" w14:textId="77777777" w:rsidR="00464ADF" w:rsidRDefault="00000000">
            <w:pPr>
              <w:spacing w:line="240" w:lineRule="exact"/>
              <w:rPr>
                <w:rFonts w:ascii="宋体" w:eastAsia="宋体" w:hAnsi="宋体" w:hint="eastAsia"/>
                <w:sz w:val="13"/>
                <w:szCs w:val="13"/>
              </w:rPr>
            </w:pPr>
            <w:r>
              <w:rPr>
                <w:rFonts w:ascii="宋体" w:eastAsia="宋体" w:hAnsi="宋体" w:hint="eastAsia"/>
                <w:sz w:val="13"/>
                <w:szCs w:val="13"/>
              </w:rPr>
              <w:t>应当开庭审理</w:t>
            </w:r>
          </w:p>
        </w:tc>
      </w:tr>
      <w:tr w:rsidR="00464ADF" w14:paraId="3BF8CACA" w14:textId="77777777">
        <w:trPr>
          <w:jc w:val="center"/>
        </w:trPr>
        <w:tc>
          <w:tcPr>
            <w:tcW w:w="2542" w:type="dxa"/>
            <w:vMerge/>
            <w:vAlign w:val="center"/>
          </w:tcPr>
          <w:p w14:paraId="60BDAE7D" w14:textId="77777777" w:rsidR="00464ADF" w:rsidRDefault="00464ADF">
            <w:pPr>
              <w:spacing w:line="240" w:lineRule="exact"/>
              <w:rPr>
                <w:rFonts w:ascii="宋体" w:eastAsia="宋体" w:hAnsi="宋体" w:hint="eastAsia"/>
                <w:sz w:val="13"/>
                <w:szCs w:val="13"/>
              </w:rPr>
            </w:pPr>
          </w:p>
        </w:tc>
        <w:tc>
          <w:tcPr>
            <w:tcW w:w="1417" w:type="dxa"/>
            <w:vMerge w:val="restart"/>
            <w:vAlign w:val="center"/>
          </w:tcPr>
          <w:p w14:paraId="67DBDDFB" w14:textId="77777777" w:rsidR="00464ADF" w:rsidRDefault="00000000">
            <w:pPr>
              <w:spacing w:line="240" w:lineRule="exact"/>
              <w:rPr>
                <w:rFonts w:ascii="宋体" w:eastAsia="宋体" w:hAnsi="宋体" w:hint="eastAsia"/>
                <w:b/>
                <w:sz w:val="13"/>
                <w:szCs w:val="13"/>
              </w:rPr>
            </w:pPr>
            <w:r>
              <w:rPr>
                <w:rFonts w:ascii="宋体" w:eastAsia="宋体" w:hAnsi="宋体" w:hint="eastAsia"/>
                <w:bCs/>
                <w:color w:val="B00824"/>
                <w:sz w:val="13"/>
                <w:szCs w:val="13"/>
              </w:rPr>
              <w:t>发回二审法院重审</w:t>
            </w:r>
          </w:p>
        </w:tc>
        <w:tc>
          <w:tcPr>
            <w:tcW w:w="4546" w:type="dxa"/>
            <w:gridSpan w:val="2"/>
            <w:vAlign w:val="center"/>
          </w:tcPr>
          <w:p w14:paraId="78DFC796" w14:textId="77777777" w:rsidR="00464ADF" w:rsidRDefault="00000000">
            <w:pPr>
              <w:spacing w:line="240" w:lineRule="exact"/>
              <w:rPr>
                <w:rFonts w:ascii="宋体" w:eastAsia="宋体" w:hAnsi="宋体" w:hint="eastAsia"/>
                <w:sz w:val="13"/>
                <w:szCs w:val="13"/>
              </w:rPr>
            </w:pPr>
            <w:r>
              <w:rPr>
                <w:rFonts w:ascii="宋体" w:eastAsia="宋体" w:hAnsi="宋体" w:hint="eastAsia"/>
                <w:sz w:val="13"/>
                <w:szCs w:val="13"/>
              </w:rPr>
              <w:t>可以直接改判</w:t>
            </w:r>
          </w:p>
        </w:tc>
      </w:tr>
      <w:tr w:rsidR="00464ADF" w14:paraId="66A04FCC" w14:textId="77777777">
        <w:trPr>
          <w:jc w:val="center"/>
        </w:trPr>
        <w:tc>
          <w:tcPr>
            <w:tcW w:w="2542" w:type="dxa"/>
            <w:vMerge/>
            <w:vAlign w:val="center"/>
          </w:tcPr>
          <w:p w14:paraId="5288869E" w14:textId="77777777" w:rsidR="00464ADF" w:rsidRDefault="00464ADF">
            <w:pPr>
              <w:spacing w:line="240" w:lineRule="exact"/>
              <w:rPr>
                <w:rFonts w:ascii="宋体" w:eastAsia="宋体" w:hAnsi="宋体" w:hint="eastAsia"/>
                <w:sz w:val="13"/>
                <w:szCs w:val="13"/>
              </w:rPr>
            </w:pPr>
          </w:p>
        </w:tc>
        <w:tc>
          <w:tcPr>
            <w:tcW w:w="1417" w:type="dxa"/>
            <w:vMerge/>
            <w:vAlign w:val="center"/>
          </w:tcPr>
          <w:p w14:paraId="5AA13011" w14:textId="77777777" w:rsidR="00464ADF" w:rsidRDefault="00464ADF">
            <w:pPr>
              <w:spacing w:line="240" w:lineRule="exact"/>
              <w:rPr>
                <w:rFonts w:ascii="宋体" w:eastAsia="宋体" w:hAnsi="宋体" w:hint="eastAsia"/>
                <w:sz w:val="13"/>
                <w:szCs w:val="13"/>
              </w:rPr>
            </w:pPr>
          </w:p>
        </w:tc>
        <w:tc>
          <w:tcPr>
            <w:tcW w:w="3544" w:type="dxa"/>
            <w:vAlign w:val="center"/>
          </w:tcPr>
          <w:p w14:paraId="74BDDFC1" w14:textId="77777777" w:rsidR="00464ADF" w:rsidRDefault="00000000">
            <w:pPr>
              <w:spacing w:line="240" w:lineRule="exact"/>
              <w:rPr>
                <w:rFonts w:ascii="宋体" w:eastAsia="宋体" w:hAnsi="宋体" w:hint="eastAsia"/>
                <w:sz w:val="13"/>
                <w:szCs w:val="13"/>
              </w:rPr>
            </w:pPr>
            <w:r>
              <w:rPr>
                <w:rFonts w:ascii="宋体" w:eastAsia="宋体" w:hAnsi="宋体" w:hint="eastAsia"/>
                <w:sz w:val="13"/>
                <w:szCs w:val="13"/>
              </w:rPr>
              <w:t>必须通过开庭查清事实、核实证据或纠正原审程序违法的</w:t>
            </w:r>
          </w:p>
        </w:tc>
        <w:tc>
          <w:tcPr>
            <w:tcW w:w="1002" w:type="dxa"/>
            <w:vAlign w:val="center"/>
          </w:tcPr>
          <w:p w14:paraId="333DD850" w14:textId="77777777" w:rsidR="00464ADF" w:rsidRDefault="00000000">
            <w:pPr>
              <w:spacing w:line="240" w:lineRule="exact"/>
              <w:rPr>
                <w:rFonts w:ascii="宋体" w:eastAsia="宋体" w:hAnsi="宋体" w:hint="eastAsia"/>
                <w:sz w:val="13"/>
                <w:szCs w:val="13"/>
              </w:rPr>
            </w:pPr>
            <w:r>
              <w:rPr>
                <w:rFonts w:ascii="宋体" w:eastAsia="宋体" w:hAnsi="宋体" w:hint="eastAsia"/>
                <w:sz w:val="13"/>
                <w:szCs w:val="13"/>
              </w:rPr>
              <w:t>应当开庭审理</w:t>
            </w:r>
          </w:p>
        </w:tc>
      </w:tr>
      <w:tr w:rsidR="00464ADF" w14:paraId="30DDC2B8" w14:textId="77777777">
        <w:trPr>
          <w:jc w:val="center"/>
        </w:trPr>
        <w:tc>
          <w:tcPr>
            <w:tcW w:w="2542" w:type="dxa"/>
            <w:vMerge w:val="restart"/>
            <w:vAlign w:val="center"/>
          </w:tcPr>
          <w:p w14:paraId="2F22440A" w14:textId="77777777" w:rsidR="00464ADF" w:rsidRDefault="00000000">
            <w:pPr>
              <w:spacing w:line="240" w:lineRule="exact"/>
              <w:rPr>
                <w:rFonts w:ascii="宋体" w:eastAsia="宋体" w:hAnsi="宋体" w:hint="eastAsia"/>
                <w:sz w:val="13"/>
                <w:szCs w:val="13"/>
              </w:rPr>
            </w:pPr>
            <w:r>
              <w:rPr>
                <w:rFonts w:ascii="宋体" w:eastAsia="宋体" w:hAnsi="宋体" w:hint="eastAsia"/>
                <w:sz w:val="13"/>
                <w:szCs w:val="13"/>
              </w:rPr>
              <w:t>第二类：高级法院复核后报最高法院核准死刑，即中院一审、高院复核</w:t>
            </w:r>
          </w:p>
        </w:tc>
        <w:tc>
          <w:tcPr>
            <w:tcW w:w="1417" w:type="dxa"/>
            <w:vMerge w:val="restart"/>
            <w:vAlign w:val="center"/>
          </w:tcPr>
          <w:p w14:paraId="509901EF" w14:textId="77777777" w:rsidR="00464ADF" w:rsidRDefault="00000000">
            <w:pPr>
              <w:spacing w:line="240" w:lineRule="exact"/>
              <w:rPr>
                <w:rFonts w:ascii="宋体" w:eastAsia="宋体" w:hAnsi="宋体" w:hint="eastAsia"/>
                <w:sz w:val="13"/>
                <w:szCs w:val="13"/>
              </w:rPr>
            </w:pPr>
            <w:r>
              <w:rPr>
                <w:rFonts w:ascii="宋体" w:eastAsia="宋体" w:hAnsi="宋体" w:hint="eastAsia"/>
                <w:color w:val="C00000"/>
                <w:sz w:val="13"/>
                <w:szCs w:val="13"/>
              </w:rPr>
              <w:t>发回高级法院重审</w:t>
            </w:r>
          </w:p>
        </w:tc>
        <w:tc>
          <w:tcPr>
            <w:tcW w:w="4546" w:type="dxa"/>
            <w:gridSpan w:val="2"/>
            <w:vAlign w:val="center"/>
          </w:tcPr>
          <w:p w14:paraId="18EC008C" w14:textId="77777777" w:rsidR="00464ADF" w:rsidRDefault="00000000">
            <w:pPr>
              <w:spacing w:line="240" w:lineRule="exact"/>
              <w:rPr>
                <w:rFonts w:ascii="宋体" w:eastAsia="宋体" w:hAnsi="宋体" w:hint="eastAsia"/>
                <w:sz w:val="13"/>
                <w:szCs w:val="13"/>
              </w:rPr>
            </w:pPr>
            <w:r>
              <w:rPr>
                <w:rFonts w:ascii="宋体" w:eastAsia="宋体" w:hAnsi="宋体" w:hint="eastAsia"/>
                <w:sz w:val="13"/>
                <w:szCs w:val="13"/>
              </w:rPr>
              <w:t>可以依照第二审程序提审</w:t>
            </w:r>
          </w:p>
        </w:tc>
      </w:tr>
      <w:tr w:rsidR="00464ADF" w14:paraId="47191147" w14:textId="77777777">
        <w:trPr>
          <w:jc w:val="center"/>
        </w:trPr>
        <w:tc>
          <w:tcPr>
            <w:tcW w:w="2542" w:type="dxa"/>
            <w:vMerge/>
            <w:vAlign w:val="center"/>
          </w:tcPr>
          <w:p w14:paraId="4683C7BD" w14:textId="77777777" w:rsidR="00464ADF" w:rsidRDefault="00464ADF">
            <w:pPr>
              <w:spacing w:line="240" w:lineRule="exact"/>
              <w:rPr>
                <w:rFonts w:ascii="宋体" w:eastAsia="宋体" w:hAnsi="宋体" w:hint="eastAsia"/>
                <w:sz w:val="13"/>
                <w:szCs w:val="13"/>
              </w:rPr>
            </w:pPr>
          </w:p>
        </w:tc>
        <w:tc>
          <w:tcPr>
            <w:tcW w:w="1417" w:type="dxa"/>
            <w:vMerge/>
            <w:vAlign w:val="center"/>
          </w:tcPr>
          <w:p w14:paraId="48926EA8" w14:textId="77777777" w:rsidR="00464ADF" w:rsidRDefault="00464ADF">
            <w:pPr>
              <w:spacing w:line="240" w:lineRule="exact"/>
              <w:rPr>
                <w:rFonts w:ascii="宋体" w:eastAsia="宋体" w:hAnsi="宋体" w:hint="eastAsia"/>
                <w:sz w:val="13"/>
                <w:szCs w:val="13"/>
              </w:rPr>
            </w:pPr>
          </w:p>
        </w:tc>
        <w:tc>
          <w:tcPr>
            <w:tcW w:w="4546" w:type="dxa"/>
            <w:gridSpan w:val="2"/>
            <w:vAlign w:val="center"/>
          </w:tcPr>
          <w:p w14:paraId="34AC0A6F" w14:textId="77777777" w:rsidR="00464ADF" w:rsidRDefault="00000000">
            <w:pPr>
              <w:spacing w:line="240" w:lineRule="exact"/>
              <w:rPr>
                <w:rFonts w:ascii="宋体" w:eastAsia="宋体" w:hAnsi="宋体" w:hint="eastAsia"/>
                <w:sz w:val="13"/>
                <w:szCs w:val="13"/>
              </w:rPr>
            </w:pPr>
            <w:r>
              <w:rPr>
                <w:rFonts w:ascii="宋体" w:eastAsia="宋体" w:hAnsi="宋体" w:hint="eastAsia"/>
                <w:sz w:val="13"/>
                <w:szCs w:val="13"/>
              </w:rPr>
              <w:t>可以发回重新审判</w:t>
            </w:r>
          </w:p>
        </w:tc>
      </w:tr>
    </w:tbl>
    <w:p w14:paraId="27B8992D" w14:textId="77777777" w:rsidR="00464ADF" w:rsidRDefault="00000000">
      <w:pPr>
        <w:ind w:firstLineChars="200" w:firstLine="360"/>
        <w:rPr>
          <w:rFonts w:ascii="宋体" w:eastAsia="宋体" w:hAnsi="宋体" w:hint="eastAsia"/>
          <w:sz w:val="18"/>
          <w:szCs w:val="18"/>
        </w:rPr>
      </w:pPr>
      <w:r>
        <w:rPr>
          <w:rFonts w:ascii="宋体" w:eastAsia="宋体" w:hAnsi="宋体" w:hint="eastAsia"/>
          <w:kern w:val="0"/>
          <w:sz w:val="18"/>
          <w:szCs w:val="18"/>
        </w:rPr>
        <w:t>2．</w:t>
      </w:r>
      <w:r>
        <w:rPr>
          <w:rFonts w:ascii="宋体" w:eastAsia="宋体" w:hAnsi="宋体"/>
          <w:kern w:val="0"/>
          <w:sz w:val="18"/>
          <w:szCs w:val="18"/>
        </w:rPr>
        <w:t>最高人民</w:t>
      </w:r>
      <w:r>
        <w:rPr>
          <w:rFonts w:ascii="宋体" w:eastAsia="宋体" w:hAnsi="宋体"/>
          <w:sz w:val="18"/>
          <w:szCs w:val="18"/>
        </w:rPr>
        <w:t>法院裁定不予核准死刑，发回重新审判的案件，</w:t>
      </w:r>
      <w:r>
        <w:rPr>
          <w:rFonts w:ascii="宋体" w:eastAsia="宋体" w:hAnsi="宋体"/>
          <w:color w:val="B00824"/>
          <w:sz w:val="18"/>
          <w:szCs w:val="18"/>
        </w:rPr>
        <w:t>原审人民法院应当另行组成合议庭审理，但复核期间出现新的影响定罪量刑的事实</w:t>
      </w:r>
      <w:r>
        <w:rPr>
          <w:rFonts w:ascii="宋体" w:eastAsia="宋体" w:hAnsi="宋体" w:hint="eastAsia"/>
          <w:color w:val="B00824"/>
          <w:sz w:val="18"/>
          <w:szCs w:val="18"/>
        </w:rPr>
        <w:t>、</w:t>
      </w:r>
      <w:r>
        <w:rPr>
          <w:rFonts w:ascii="宋体" w:eastAsia="宋体" w:hAnsi="宋体"/>
          <w:color w:val="B00824"/>
          <w:sz w:val="18"/>
          <w:szCs w:val="18"/>
        </w:rPr>
        <w:t>证据或者原判认定事实正确</w:t>
      </w:r>
      <w:r>
        <w:rPr>
          <w:rFonts w:ascii="宋体" w:eastAsia="宋体" w:hAnsi="宋体" w:hint="eastAsia"/>
          <w:color w:val="B00824"/>
          <w:sz w:val="18"/>
          <w:szCs w:val="18"/>
        </w:rPr>
        <w:t>，</w:t>
      </w:r>
      <w:r>
        <w:rPr>
          <w:rFonts w:ascii="宋体" w:eastAsia="宋体" w:hAnsi="宋体"/>
          <w:color w:val="B00824"/>
          <w:sz w:val="18"/>
          <w:szCs w:val="18"/>
        </w:rPr>
        <w:t>但依法不应当判处死刑的</w:t>
      </w:r>
      <w:r>
        <w:rPr>
          <w:rFonts w:ascii="宋体" w:eastAsia="宋体" w:hAnsi="宋体" w:hint="eastAsia"/>
          <w:color w:val="B00824"/>
          <w:sz w:val="18"/>
          <w:szCs w:val="18"/>
        </w:rPr>
        <w:t>案件</w:t>
      </w:r>
      <w:r>
        <w:rPr>
          <w:rFonts w:ascii="宋体" w:eastAsia="宋体" w:hAnsi="宋体" w:hint="eastAsia"/>
          <w:sz w:val="18"/>
          <w:szCs w:val="18"/>
        </w:rPr>
        <w:t>（即《法院解释》第四百二十九条第四项、第五项规定）</w:t>
      </w:r>
      <w:r>
        <w:rPr>
          <w:rFonts w:ascii="宋体" w:eastAsia="宋体" w:hAnsi="宋体"/>
          <w:color w:val="B00824"/>
          <w:sz w:val="18"/>
          <w:szCs w:val="18"/>
        </w:rPr>
        <w:t>除外</w:t>
      </w:r>
      <w:r>
        <w:rPr>
          <w:rFonts w:ascii="宋体" w:eastAsia="宋体" w:hAnsi="宋体" w:hint="eastAsia"/>
          <w:sz w:val="18"/>
          <w:szCs w:val="18"/>
        </w:rPr>
        <w:t>。</w:t>
      </w:r>
    </w:p>
    <w:p w14:paraId="6FD918A7" w14:textId="77777777" w:rsidR="00464ADF" w:rsidRDefault="00000000">
      <w:pPr>
        <w:ind w:firstLineChars="200" w:firstLine="360"/>
        <w:rPr>
          <w:rFonts w:ascii="宋体" w:eastAsia="宋体" w:hAnsi="宋体" w:hint="eastAsia"/>
          <w:b/>
          <w:bCs/>
          <w:color w:val="B00824"/>
          <w:sz w:val="18"/>
          <w:szCs w:val="18"/>
        </w:rPr>
      </w:pPr>
      <w:bookmarkStart w:id="61" w:name="_Toc510879146"/>
      <w:r>
        <w:rPr>
          <w:rFonts w:ascii="宋体" w:eastAsia="宋体" w:hAnsi="宋体" w:hint="eastAsia"/>
          <w:sz w:val="18"/>
          <w:szCs w:val="18"/>
        </w:rPr>
        <w:t>3．</w:t>
      </w:r>
      <w:r>
        <w:rPr>
          <w:rFonts w:ascii="宋体" w:eastAsia="宋体" w:hAnsi="宋体" w:hint="eastAsia"/>
          <w:color w:val="B00824"/>
          <w:sz w:val="18"/>
          <w:szCs w:val="18"/>
        </w:rPr>
        <w:t>死刑复核不予核准发回重审的案件，再次进入二审或者复核程序的，不得再发回，除非是发回重审的案件存在重大程序违法。</w:t>
      </w:r>
      <w:r>
        <w:rPr>
          <w:rFonts w:ascii="宋体" w:eastAsia="宋体" w:hAnsi="宋体" w:hint="eastAsia"/>
          <w:b/>
          <w:bCs/>
          <w:color w:val="B00824"/>
          <w:sz w:val="18"/>
          <w:szCs w:val="18"/>
        </w:rPr>
        <w:t>即以事实不清为由，在死刑复核中，发回重审也只能发一次！</w:t>
      </w:r>
    </w:p>
    <w:p w14:paraId="7693BF8B" w14:textId="77777777" w:rsidR="00464ADF" w:rsidRDefault="00000000">
      <w:pPr>
        <w:ind w:firstLineChars="200" w:firstLine="360"/>
        <w:rPr>
          <w:rFonts w:ascii="宋体" w:eastAsia="宋体" w:hAnsi="宋体" w:hint="eastAsia"/>
          <w:color w:val="C00000"/>
          <w:sz w:val="18"/>
          <w:szCs w:val="18"/>
        </w:rPr>
      </w:pPr>
      <w:r>
        <w:rPr>
          <w:rFonts w:ascii="宋体" w:eastAsia="宋体" w:hAnsi="宋体" w:hint="eastAsia"/>
          <w:sz w:val="18"/>
          <w:szCs w:val="18"/>
        </w:rPr>
        <w:t>三、死刑缓期二年执行案件复核后的处理</w:t>
      </w:r>
      <w:bookmarkEnd w:id="61"/>
      <w:r>
        <w:rPr>
          <w:rFonts w:ascii="宋体" w:eastAsia="宋体" w:hAnsi="宋体" w:hint="eastAsia"/>
          <w:sz w:val="18"/>
          <w:szCs w:val="18"/>
        </w:rPr>
        <w:t>——</w:t>
      </w:r>
      <w:r>
        <w:rPr>
          <w:rFonts w:ascii="宋体" w:eastAsia="宋体" w:hAnsi="宋体" w:hint="eastAsia"/>
          <w:color w:val="C00000"/>
          <w:sz w:val="18"/>
          <w:szCs w:val="18"/>
        </w:rPr>
        <w:t>就是二审的处理方式</w:t>
      </w:r>
    </w:p>
    <w:p w14:paraId="1D282186" w14:textId="77777777" w:rsidR="00464ADF" w:rsidRDefault="00000000">
      <w:pPr>
        <w:ind w:firstLineChars="200" w:firstLine="360"/>
        <w:rPr>
          <w:rFonts w:ascii="宋体" w:eastAsia="宋体" w:hAnsi="宋体" w:hint="eastAsia"/>
          <w:color w:val="B00824"/>
          <w:sz w:val="18"/>
          <w:szCs w:val="18"/>
        </w:rPr>
      </w:pPr>
      <w:r>
        <w:rPr>
          <w:rFonts w:ascii="宋体" w:eastAsia="宋体" w:hAnsi="宋体" w:hint="eastAsia"/>
          <w:color w:val="B00824"/>
          <w:sz w:val="18"/>
          <w:szCs w:val="18"/>
        </w:rPr>
        <w:t>复核死刑缓期执行案件，不得加重被告人的刑罚。</w:t>
      </w:r>
    </w:p>
    <w:p w14:paraId="279AC60E" w14:textId="77777777" w:rsidR="00464ADF" w:rsidRDefault="00000000">
      <w:pPr>
        <w:ind w:firstLineChars="200" w:firstLine="360"/>
        <w:rPr>
          <w:rFonts w:ascii="宋体" w:eastAsia="宋体" w:hAnsi="宋体" w:hint="eastAsia"/>
          <w:sz w:val="18"/>
          <w:szCs w:val="18"/>
        </w:rPr>
      </w:pPr>
      <w:r>
        <w:rPr>
          <w:rFonts w:ascii="宋体" w:eastAsia="宋体" w:hAnsi="宋体" w:hint="eastAsia"/>
          <w:color w:val="B00824"/>
          <w:sz w:val="18"/>
          <w:szCs w:val="18"/>
        </w:rPr>
        <w:t>以下表格的差异一定要重点记忆！</w:t>
      </w:r>
    </w:p>
    <w:tbl>
      <w:tblPr>
        <w:tblW w:w="8505" w:type="dxa"/>
        <w:jc w:val="center"/>
        <w:tblBorders>
          <w:top w:val="single" w:sz="8" w:space="0" w:color="B00824"/>
          <w:left w:val="single" w:sz="8" w:space="0" w:color="B00824"/>
          <w:bottom w:val="single" w:sz="8" w:space="0" w:color="B00824"/>
          <w:right w:val="single" w:sz="8" w:space="0" w:color="B00824"/>
          <w:insideH w:val="single" w:sz="8" w:space="0" w:color="B00824"/>
          <w:insideV w:val="single" w:sz="8" w:space="0" w:color="B00824"/>
        </w:tblBorders>
        <w:tblLayout w:type="fixed"/>
        <w:tblLook w:val="04A0" w:firstRow="1" w:lastRow="0" w:firstColumn="1" w:lastColumn="0" w:noHBand="0" w:noVBand="1"/>
      </w:tblPr>
      <w:tblGrid>
        <w:gridCol w:w="3251"/>
        <w:gridCol w:w="1408"/>
        <w:gridCol w:w="1285"/>
        <w:gridCol w:w="2561"/>
      </w:tblGrid>
      <w:tr w:rsidR="00464ADF" w14:paraId="2CAF67CE" w14:textId="77777777">
        <w:trPr>
          <w:jc w:val="center"/>
        </w:trPr>
        <w:tc>
          <w:tcPr>
            <w:tcW w:w="3251" w:type="dxa"/>
            <w:vAlign w:val="center"/>
          </w:tcPr>
          <w:p w14:paraId="77ACDFA6" w14:textId="77777777" w:rsidR="00464ADF" w:rsidRDefault="00000000">
            <w:pPr>
              <w:spacing w:line="200" w:lineRule="exact"/>
              <w:jc w:val="center"/>
              <w:rPr>
                <w:rFonts w:ascii="宋体" w:eastAsia="宋体" w:hAnsi="宋体" w:hint="eastAsia"/>
                <w:bCs/>
                <w:sz w:val="13"/>
                <w:szCs w:val="13"/>
              </w:rPr>
            </w:pPr>
            <w:r>
              <w:rPr>
                <w:rFonts w:ascii="宋体" w:eastAsia="宋体" w:hAnsi="宋体" w:hint="eastAsia"/>
                <w:bCs/>
                <w:sz w:val="13"/>
                <w:szCs w:val="13"/>
              </w:rPr>
              <w:t>情形</w:t>
            </w:r>
          </w:p>
        </w:tc>
        <w:tc>
          <w:tcPr>
            <w:tcW w:w="1408" w:type="dxa"/>
            <w:vAlign w:val="center"/>
          </w:tcPr>
          <w:p w14:paraId="3E0CD7F8" w14:textId="77777777" w:rsidR="00464ADF" w:rsidRDefault="00000000">
            <w:pPr>
              <w:spacing w:line="200" w:lineRule="exact"/>
              <w:jc w:val="center"/>
              <w:rPr>
                <w:rFonts w:ascii="宋体" w:eastAsia="宋体" w:hAnsi="宋体" w:hint="eastAsia"/>
                <w:bCs/>
                <w:sz w:val="13"/>
                <w:szCs w:val="13"/>
              </w:rPr>
            </w:pPr>
            <w:r>
              <w:rPr>
                <w:rFonts w:ascii="宋体" w:eastAsia="宋体" w:hAnsi="宋体" w:hint="eastAsia"/>
                <w:bCs/>
                <w:sz w:val="13"/>
                <w:szCs w:val="13"/>
              </w:rPr>
              <w:t>二审</w:t>
            </w:r>
          </w:p>
        </w:tc>
        <w:tc>
          <w:tcPr>
            <w:tcW w:w="1285" w:type="dxa"/>
            <w:vAlign w:val="center"/>
          </w:tcPr>
          <w:p w14:paraId="0DC617E5" w14:textId="77777777" w:rsidR="00464ADF" w:rsidRDefault="00000000">
            <w:pPr>
              <w:spacing w:line="200" w:lineRule="exact"/>
              <w:jc w:val="center"/>
              <w:rPr>
                <w:rFonts w:ascii="宋体" w:eastAsia="宋体" w:hAnsi="宋体" w:hint="eastAsia"/>
                <w:bCs/>
                <w:sz w:val="13"/>
                <w:szCs w:val="13"/>
              </w:rPr>
            </w:pPr>
            <w:r>
              <w:rPr>
                <w:rFonts w:ascii="宋体" w:eastAsia="宋体" w:hAnsi="宋体" w:hint="eastAsia"/>
                <w:bCs/>
                <w:sz w:val="13"/>
                <w:szCs w:val="13"/>
              </w:rPr>
              <w:t>死缓复核</w:t>
            </w:r>
          </w:p>
        </w:tc>
        <w:tc>
          <w:tcPr>
            <w:tcW w:w="2561" w:type="dxa"/>
            <w:vAlign w:val="center"/>
          </w:tcPr>
          <w:p w14:paraId="038F54A8" w14:textId="77777777" w:rsidR="00464ADF" w:rsidRDefault="00000000">
            <w:pPr>
              <w:spacing w:line="200" w:lineRule="exact"/>
              <w:jc w:val="center"/>
              <w:rPr>
                <w:rFonts w:ascii="宋体" w:eastAsia="宋体" w:hAnsi="宋体" w:hint="eastAsia"/>
                <w:bCs/>
                <w:sz w:val="13"/>
                <w:szCs w:val="13"/>
              </w:rPr>
            </w:pPr>
            <w:r>
              <w:rPr>
                <w:rFonts w:ascii="宋体" w:eastAsia="宋体" w:hAnsi="宋体" w:hint="eastAsia"/>
                <w:bCs/>
                <w:sz w:val="13"/>
                <w:szCs w:val="13"/>
              </w:rPr>
              <w:t>死刑复核</w:t>
            </w:r>
          </w:p>
        </w:tc>
      </w:tr>
      <w:tr w:rsidR="00464ADF" w14:paraId="51DAAF11" w14:textId="77777777">
        <w:trPr>
          <w:trHeight w:val="593"/>
          <w:jc w:val="center"/>
        </w:trPr>
        <w:tc>
          <w:tcPr>
            <w:tcW w:w="3251" w:type="dxa"/>
            <w:vAlign w:val="center"/>
          </w:tcPr>
          <w:p w14:paraId="602E1B35"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认定事实清楚，只是适用法律有错误或量刑不当</w:t>
            </w:r>
          </w:p>
        </w:tc>
        <w:tc>
          <w:tcPr>
            <w:tcW w:w="2693" w:type="dxa"/>
            <w:gridSpan w:val="2"/>
            <w:vAlign w:val="center"/>
          </w:tcPr>
          <w:p w14:paraId="63D6A422"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改判</w:t>
            </w:r>
          </w:p>
        </w:tc>
        <w:tc>
          <w:tcPr>
            <w:tcW w:w="2561" w:type="dxa"/>
            <w:vAlign w:val="center"/>
          </w:tcPr>
          <w:p w14:paraId="3C638B10"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裁定撤销原判，发回重审，必要时可改判</w:t>
            </w:r>
          </w:p>
        </w:tc>
      </w:tr>
      <w:tr w:rsidR="00464ADF" w14:paraId="64502949" w14:textId="77777777">
        <w:trPr>
          <w:jc w:val="center"/>
        </w:trPr>
        <w:tc>
          <w:tcPr>
            <w:tcW w:w="3251" w:type="dxa"/>
            <w:vMerge w:val="restart"/>
            <w:vAlign w:val="center"/>
          </w:tcPr>
          <w:p w14:paraId="4D7AF93D"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事实不清、证据不足及出现新的影响定罪的事实、证据</w:t>
            </w:r>
          </w:p>
        </w:tc>
        <w:tc>
          <w:tcPr>
            <w:tcW w:w="2693" w:type="dxa"/>
            <w:gridSpan w:val="2"/>
            <w:vAlign w:val="center"/>
          </w:tcPr>
          <w:p w14:paraId="01B87FBE"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裁定撤销原判、发回重审</w:t>
            </w:r>
          </w:p>
        </w:tc>
        <w:tc>
          <w:tcPr>
            <w:tcW w:w="2561" w:type="dxa"/>
            <w:vMerge w:val="restart"/>
            <w:vAlign w:val="center"/>
          </w:tcPr>
          <w:p w14:paraId="1E0942B0"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裁定撤销原判，发回重审</w:t>
            </w:r>
          </w:p>
        </w:tc>
      </w:tr>
      <w:tr w:rsidR="00464ADF" w14:paraId="23920BC1" w14:textId="77777777">
        <w:trPr>
          <w:jc w:val="center"/>
        </w:trPr>
        <w:tc>
          <w:tcPr>
            <w:tcW w:w="3251" w:type="dxa"/>
            <w:vMerge/>
            <w:vAlign w:val="center"/>
          </w:tcPr>
          <w:p w14:paraId="724CD412" w14:textId="77777777" w:rsidR="00464ADF" w:rsidRDefault="00464ADF">
            <w:pPr>
              <w:spacing w:line="200" w:lineRule="exact"/>
              <w:rPr>
                <w:rFonts w:ascii="宋体" w:eastAsia="宋体" w:hAnsi="宋体" w:hint="eastAsia"/>
                <w:sz w:val="13"/>
                <w:szCs w:val="13"/>
              </w:rPr>
            </w:pPr>
          </w:p>
        </w:tc>
        <w:tc>
          <w:tcPr>
            <w:tcW w:w="2693" w:type="dxa"/>
            <w:gridSpan w:val="2"/>
            <w:vAlign w:val="center"/>
          </w:tcPr>
          <w:p w14:paraId="0870AEBA"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在查清事实后改判</w:t>
            </w:r>
          </w:p>
        </w:tc>
        <w:tc>
          <w:tcPr>
            <w:tcW w:w="2561" w:type="dxa"/>
            <w:vMerge/>
            <w:vAlign w:val="center"/>
          </w:tcPr>
          <w:p w14:paraId="65EBD688" w14:textId="77777777" w:rsidR="00464ADF" w:rsidRDefault="00464ADF">
            <w:pPr>
              <w:spacing w:line="200" w:lineRule="exact"/>
              <w:rPr>
                <w:rFonts w:ascii="宋体" w:eastAsia="宋体" w:hAnsi="宋体" w:hint="eastAsia"/>
                <w:sz w:val="13"/>
                <w:szCs w:val="13"/>
              </w:rPr>
            </w:pPr>
          </w:p>
        </w:tc>
      </w:tr>
      <w:tr w:rsidR="00464ADF" w14:paraId="244EB3EA" w14:textId="77777777">
        <w:trPr>
          <w:trHeight w:val="352"/>
          <w:jc w:val="center"/>
        </w:trPr>
        <w:tc>
          <w:tcPr>
            <w:tcW w:w="3251" w:type="dxa"/>
            <w:vAlign w:val="center"/>
          </w:tcPr>
          <w:p w14:paraId="34D9B79E"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原审违反法定诉讼程序，可能影响公正审判</w:t>
            </w:r>
          </w:p>
        </w:tc>
        <w:tc>
          <w:tcPr>
            <w:tcW w:w="5254" w:type="dxa"/>
            <w:gridSpan w:val="3"/>
            <w:vAlign w:val="center"/>
          </w:tcPr>
          <w:p w14:paraId="1F65ED56"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裁定撤销原判，发回重审</w:t>
            </w:r>
          </w:p>
        </w:tc>
      </w:tr>
    </w:tbl>
    <w:p w14:paraId="41068638" w14:textId="081BEC43" w:rsidR="00464ADF" w:rsidRDefault="00000000">
      <w:pPr>
        <w:pStyle w:val="1"/>
        <w:tabs>
          <w:tab w:val="left" w:pos="420"/>
        </w:tabs>
        <w:spacing w:before="0" w:after="0" w:line="240" w:lineRule="auto"/>
        <w:jc w:val="center"/>
        <w:rPr>
          <w:rFonts w:ascii="宋体" w:hAnsi="宋体" w:hint="eastAsia"/>
          <w:bCs w:val="0"/>
          <w:sz w:val="18"/>
          <w:szCs w:val="18"/>
        </w:rPr>
      </w:pPr>
      <w:bookmarkStart w:id="62" w:name="_Toc136521797"/>
      <w:bookmarkStart w:id="63" w:name="_Toc9117"/>
      <w:bookmarkStart w:id="64" w:name="_Toc4844152"/>
      <w:r>
        <w:rPr>
          <w:rFonts w:ascii="宋体" w:hAnsi="宋体" w:hint="eastAsia"/>
          <w:bCs w:val="0"/>
          <w:spacing w:val="-6"/>
          <w:sz w:val="18"/>
          <w:szCs w:val="18"/>
        </w:rPr>
        <w:t>考点</w:t>
      </w:r>
      <w:r>
        <w:rPr>
          <w:rFonts w:ascii="宋体" w:hAnsi="宋体"/>
          <w:bCs w:val="0"/>
          <w:spacing w:val="-6"/>
          <w:sz w:val="18"/>
          <w:szCs w:val="18"/>
        </w:rPr>
        <w:t xml:space="preserve">57  </w:t>
      </w:r>
      <w:r>
        <w:rPr>
          <w:rFonts w:ascii="宋体" w:hAnsi="宋体" w:hint="eastAsia"/>
          <w:bCs w:val="0"/>
          <w:spacing w:val="-6"/>
          <w:sz w:val="18"/>
          <w:szCs w:val="18"/>
        </w:rPr>
        <w:t>提起审判监督程序的材料来源</w:t>
      </w:r>
      <w:bookmarkStart w:id="65" w:name="_Toc134713581"/>
      <w:r>
        <w:rPr>
          <w:rFonts w:ascii="宋体" w:hAnsi="宋体" w:hint="eastAsia"/>
          <w:bCs w:val="0"/>
          <w:spacing w:val="-6"/>
          <w:sz w:val="18"/>
          <w:szCs w:val="18"/>
        </w:rPr>
        <w:t>和理由</w:t>
      </w:r>
      <w:bookmarkStart w:id="66" w:name="_Toc510879149"/>
      <w:bookmarkEnd w:id="62"/>
      <w:bookmarkEnd w:id="63"/>
      <w:bookmarkEnd w:id="64"/>
      <w:bookmarkEnd w:id="65"/>
      <w:r w:rsidR="000612DA">
        <w:rPr>
          <w:rFonts w:ascii="宋体" w:hAnsi="宋体" w:cs="宋体" w:hint="eastAsia"/>
          <w:bCs w:val="0"/>
          <w:sz w:val="18"/>
          <w:szCs w:val="18"/>
        </w:rPr>
        <w:t>（</w:t>
      </w:r>
      <w:r w:rsidR="00BB28D2">
        <w:rPr>
          <w:rFonts w:ascii="宋体" w:hAnsi="宋体" w:cs="宋体" w:hint="eastAsia"/>
          <w:bCs w:val="0"/>
          <w:sz w:val="18"/>
          <w:szCs w:val="18"/>
        </w:rPr>
        <w:t>11:51:</w:t>
      </w:r>
      <w:r w:rsidR="000612DA">
        <w:rPr>
          <w:rFonts w:ascii="宋体" w:hAnsi="宋体" w:cs="宋体" w:hint="eastAsia"/>
          <w:bCs w:val="0"/>
          <w:sz w:val="18"/>
          <w:szCs w:val="18"/>
        </w:rPr>
        <w:t>00-</w:t>
      </w:r>
      <w:r w:rsidR="00BB28D2">
        <w:rPr>
          <w:rFonts w:ascii="宋体" w:hAnsi="宋体" w:cs="宋体" w:hint="eastAsia"/>
          <w:bCs w:val="0"/>
          <w:sz w:val="18"/>
          <w:szCs w:val="18"/>
        </w:rPr>
        <w:t>12</w:t>
      </w:r>
      <w:r w:rsidR="000612DA">
        <w:rPr>
          <w:rFonts w:ascii="宋体" w:hAnsi="宋体" w:cs="宋体" w:hint="eastAsia"/>
          <w:bCs w:val="0"/>
          <w:sz w:val="18"/>
          <w:szCs w:val="18"/>
        </w:rPr>
        <w:t>:</w:t>
      </w:r>
      <w:r w:rsidR="00BB28D2">
        <w:rPr>
          <w:rFonts w:ascii="宋体" w:hAnsi="宋体" w:cs="宋体" w:hint="eastAsia"/>
          <w:bCs w:val="0"/>
          <w:sz w:val="18"/>
          <w:szCs w:val="18"/>
        </w:rPr>
        <w:t>00</w:t>
      </w:r>
      <w:r w:rsidR="000612DA">
        <w:rPr>
          <w:rFonts w:ascii="宋体" w:hAnsi="宋体" w:cs="宋体" w:hint="eastAsia"/>
          <w:bCs w:val="0"/>
          <w:sz w:val="18"/>
          <w:szCs w:val="18"/>
        </w:rPr>
        <w:t>:00）</w:t>
      </w:r>
    </w:p>
    <w:p w14:paraId="3257F5A0" w14:textId="77777777" w:rsidR="00464ADF" w:rsidRDefault="00000000">
      <w:pPr>
        <w:pStyle w:val="3"/>
        <w:spacing w:line="240" w:lineRule="auto"/>
        <w:ind w:firstLineChars="200" w:firstLine="360"/>
        <w:rPr>
          <w:rFonts w:eastAsia="宋体" w:hint="eastAsia"/>
          <w:color w:val="auto"/>
          <w:sz w:val="18"/>
          <w:szCs w:val="18"/>
        </w:rPr>
      </w:pPr>
      <w:bookmarkStart w:id="67" w:name="_Toc510879150"/>
      <w:bookmarkEnd w:id="66"/>
      <w:r>
        <w:rPr>
          <w:rFonts w:eastAsia="宋体" w:hint="eastAsia"/>
          <w:color w:val="auto"/>
          <w:sz w:val="18"/>
          <w:szCs w:val="18"/>
        </w:rPr>
        <w:t>一、有权提出申诉的主体和期限</w:t>
      </w:r>
    </w:p>
    <w:p w14:paraId="7376C873" w14:textId="77777777" w:rsidR="00464ADF" w:rsidRDefault="00000000">
      <w:pPr>
        <w:pStyle w:val="3"/>
        <w:spacing w:line="240" w:lineRule="auto"/>
        <w:ind w:firstLineChars="200" w:firstLine="360"/>
        <w:rPr>
          <w:rFonts w:eastAsia="宋体" w:hint="eastAsia"/>
          <w:color w:val="auto"/>
          <w:sz w:val="18"/>
          <w:szCs w:val="18"/>
        </w:rPr>
      </w:pPr>
      <w:r>
        <w:rPr>
          <w:rFonts w:eastAsia="宋体" w:hint="eastAsia"/>
          <w:color w:val="C00000"/>
          <w:sz w:val="18"/>
          <w:szCs w:val="18"/>
        </w:rPr>
        <w:t>当事人及其法定代理人、近亲属、认为生效裁判侵害其合法权益的</w:t>
      </w:r>
      <w:r>
        <w:rPr>
          <w:rFonts w:eastAsia="宋体" w:hint="eastAsia"/>
          <w:color w:val="C00000"/>
          <w:sz w:val="18"/>
          <w:szCs w:val="18"/>
          <w:u w:val="single"/>
        </w:rPr>
        <w:t>案外人</w:t>
      </w:r>
      <w:r>
        <w:rPr>
          <w:rFonts w:eastAsia="宋体" w:hint="eastAsia"/>
          <w:color w:val="auto"/>
          <w:sz w:val="18"/>
          <w:szCs w:val="18"/>
        </w:rPr>
        <w:t>均可提出申诉。申诉</w:t>
      </w:r>
      <w:r>
        <w:rPr>
          <w:rFonts w:eastAsia="宋体" w:hint="eastAsia"/>
          <w:color w:val="C00000"/>
          <w:sz w:val="18"/>
          <w:szCs w:val="18"/>
        </w:rPr>
        <w:t>可委托律师</w:t>
      </w:r>
      <w:r>
        <w:rPr>
          <w:rFonts w:eastAsia="宋体" w:hint="eastAsia"/>
          <w:color w:val="auto"/>
          <w:sz w:val="18"/>
          <w:szCs w:val="18"/>
        </w:rPr>
        <w:t>代为进行。</w:t>
      </w:r>
    </w:p>
    <w:p w14:paraId="2EF4CF00" w14:textId="77777777" w:rsidR="00464ADF" w:rsidRDefault="00000000">
      <w:pPr>
        <w:ind w:firstLine="420"/>
        <w:rPr>
          <w:rFonts w:eastAsia="宋体" w:hint="eastAsia"/>
        </w:rPr>
      </w:pPr>
      <w:r>
        <w:rPr>
          <w:rFonts w:eastAsia="宋体" w:hint="eastAsia"/>
          <w:sz w:val="18"/>
          <w:szCs w:val="18"/>
        </w:rPr>
        <w:t>一般情况下，有权提出申诉的期限为刑罚</w:t>
      </w:r>
      <w:r>
        <w:rPr>
          <w:rFonts w:eastAsia="宋体" w:hint="eastAsia"/>
          <w:color w:val="C00000"/>
          <w:sz w:val="18"/>
          <w:szCs w:val="18"/>
        </w:rPr>
        <w:t>执行完毕后两年内</w:t>
      </w:r>
      <w:r>
        <w:rPr>
          <w:rFonts w:eastAsia="宋体" w:hint="eastAsia"/>
          <w:sz w:val="18"/>
          <w:szCs w:val="18"/>
        </w:rPr>
        <w:t>，</w:t>
      </w:r>
      <w:r>
        <w:rPr>
          <w:rFonts w:eastAsia="宋体" w:hint="eastAsia"/>
          <w:color w:val="C00000"/>
          <w:sz w:val="18"/>
          <w:szCs w:val="18"/>
        </w:rPr>
        <w:t>但以下情形例外：</w:t>
      </w:r>
      <w:r>
        <w:rPr>
          <w:rFonts w:eastAsia="宋体" w:hint="eastAsia"/>
          <w:sz w:val="18"/>
          <w:szCs w:val="18"/>
        </w:rPr>
        <w:t>可能对原审被告人宣告无罪的；原审被告人在刑罚执行完毕两年内提出申诉，人民法院未受理的；属于疑难、复杂、重大案件的。</w:t>
      </w:r>
    </w:p>
    <w:p w14:paraId="00B60A25" w14:textId="77777777" w:rsidR="00464ADF" w:rsidRDefault="00000000">
      <w:pPr>
        <w:pStyle w:val="3"/>
        <w:spacing w:line="240" w:lineRule="auto"/>
        <w:ind w:firstLineChars="200" w:firstLine="361"/>
        <w:rPr>
          <w:rFonts w:eastAsia="宋体" w:hint="eastAsia"/>
          <w:b/>
          <w:bCs/>
          <w:color w:val="C00000"/>
          <w:sz w:val="18"/>
          <w:szCs w:val="18"/>
        </w:rPr>
      </w:pPr>
      <w:r>
        <w:rPr>
          <w:rFonts w:eastAsia="宋体" w:hint="eastAsia"/>
          <w:b/>
          <w:bCs/>
          <w:color w:val="C00000"/>
          <w:sz w:val="18"/>
          <w:szCs w:val="18"/>
        </w:rPr>
        <w:t>二、申诉的受理</w:t>
      </w:r>
      <w:bookmarkEnd w:id="67"/>
    </w:p>
    <w:p w14:paraId="62AFEA6E" w14:textId="77777777" w:rsidR="00464ADF" w:rsidRDefault="00000000">
      <w:pPr>
        <w:pStyle w:val="4"/>
        <w:tabs>
          <w:tab w:val="left" w:pos="420"/>
        </w:tabs>
        <w:spacing w:before="0" w:after="0" w:line="240" w:lineRule="auto"/>
        <w:ind w:firstLineChars="120" w:firstLine="216"/>
        <w:jc w:val="left"/>
        <w:rPr>
          <w:rFonts w:hint="eastAsia"/>
        </w:rPr>
      </w:pPr>
      <w:r>
        <w:rPr>
          <w:rFonts w:ascii="宋体" w:eastAsia="宋体" w:hAnsi="宋体" w:hint="eastAsia"/>
          <w:b w:val="0"/>
          <w:color w:val="000000" w:themeColor="text1"/>
          <w:sz w:val="18"/>
          <w:szCs w:val="18"/>
        </w:rPr>
        <w:t>（一）人民法院对申诉案件的受理</w:t>
      </w:r>
      <w:r>
        <w:rPr>
          <w:rFonts w:ascii="宋体" w:eastAsia="宋体" w:hAnsi="宋体" w:hint="eastAsia"/>
          <w:bCs w:val="0"/>
          <w:color w:val="C00000"/>
          <w:sz w:val="18"/>
          <w:szCs w:val="18"/>
        </w:rPr>
        <w:t>（对此表格要重点掌握）</w:t>
      </w:r>
    </w:p>
    <w:tbl>
      <w:tblPr>
        <w:tblW w:w="8505" w:type="dxa"/>
        <w:jc w:val="center"/>
        <w:tblBorders>
          <w:top w:val="single" w:sz="8" w:space="0" w:color="B00824"/>
          <w:left w:val="single" w:sz="8" w:space="0" w:color="B00824"/>
          <w:bottom w:val="single" w:sz="8" w:space="0" w:color="B00824"/>
          <w:right w:val="single" w:sz="8" w:space="0" w:color="B00824"/>
          <w:insideH w:val="single" w:sz="8" w:space="0" w:color="B00824"/>
          <w:insideV w:val="single" w:sz="8" w:space="0" w:color="B00824"/>
        </w:tblBorders>
        <w:tblLayout w:type="fixed"/>
        <w:tblLook w:val="04A0" w:firstRow="1" w:lastRow="0" w:firstColumn="1" w:lastColumn="0" w:noHBand="0" w:noVBand="1"/>
      </w:tblPr>
      <w:tblGrid>
        <w:gridCol w:w="1833"/>
        <w:gridCol w:w="2552"/>
        <w:gridCol w:w="1278"/>
        <w:gridCol w:w="2842"/>
      </w:tblGrid>
      <w:tr w:rsidR="00464ADF" w14:paraId="516CE2B4" w14:textId="77777777">
        <w:trPr>
          <w:jc w:val="center"/>
        </w:trPr>
        <w:tc>
          <w:tcPr>
            <w:tcW w:w="1833" w:type="dxa"/>
            <w:vAlign w:val="center"/>
          </w:tcPr>
          <w:p w14:paraId="11C1789F" w14:textId="77777777" w:rsidR="00464ADF" w:rsidRDefault="00000000">
            <w:pPr>
              <w:spacing w:line="200" w:lineRule="exact"/>
              <w:jc w:val="center"/>
              <w:rPr>
                <w:rFonts w:ascii="宋体" w:eastAsia="宋体" w:hAnsi="宋体" w:hint="eastAsia"/>
                <w:bCs/>
                <w:sz w:val="13"/>
                <w:szCs w:val="13"/>
              </w:rPr>
            </w:pPr>
            <w:r>
              <w:rPr>
                <w:rFonts w:ascii="宋体" w:eastAsia="宋体" w:hAnsi="宋体" w:hint="eastAsia"/>
                <w:bCs/>
                <w:sz w:val="13"/>
                <w:szCs w:val="13"/>
              </w:rPr>
              <w:t>法院</w:t>
            </w:r>
          </w:p>
        </w:tc>
        <w:tc>
          <w:tcPr>
            <w:tcW w:w="2552" w:type="dxa"/>
            <w:vAlign w:val="center"/>
          </w:tcPr>
          <w:p w14:paraId="463D37F7" w14:textId="77777777" w:rsidR="00464ADF" w:rsidRDefault="00000000">
            <w:pPr>
              <w:spacing w:line="200" w:lineRule="exact"/>
              <w:jc w:val="center"/>
              <w:rPr>
                <w:rFonts w:ascii="宋体" w:eastAsia="宋体" w:hAnsi="宋体" w:hint="eastAsia"/>
                <w:bCs/>
                <w:sz w:val="13"/>
                <w:szCs w:val="13"/>
              </w:rPr>
            </w:pPr>
            <w:r>
              <w:rPr>
                <w:rFonts w:ascii="宋体" w:eastAsia="宋体" w:hAnsi="宋体" w:hint="eastAsia"/>
                <w:bCs/>
                <w:sz w:val="13"/>
                <w:szCs w:val="13"/>
              </w:rPr>
              <w:t>第一条件</w:t>
            </w:r>
          </w:p>
        </w:tc>
        <w:tc>
          <w:tcPr>
            <w:tcW w:w="1278" w:type="dxa"/>
            <w:vAlign w:val="center"/>
          </w:tcPr>
          <w:p w14:paraId="3598CE28" w14:textId="77777777" w:rsidR="00464ADF" w:rsidRDefault="00000000">
            <w:pPr>
              <w:spacing w:line="200" w:lineRule="exact"/>
              <w:jc w:val="center"/>
              <w:rPr>
                <w:rFonts w:ascii="宋体" w:eastAsia="宋体" w:hAnsi="宋体" w:hint="eastAsia"/>
                <w:bCs/>
                <w:sz w:val="13"/>
                <w:szCs w:val="13"/>
              </w:rPr>
            </w:pPr>
            <w:r>
              <w:rPr>
                <w:rFonts w:ascii="宋体" w:eastAsia="宋体" w:hAnsi="宋体" w:hint="eastAsia"/>
                <w:bCs/>
                <w:sz w:val="13"/>
                <w:szCs w:val="13"/>
              </w:rPr>
              <w:t>第二条件</w:t>
            </w:r>
          </w:p>
        </w:tc>
        <w:tc>
          <w:tcPr>
            <w:tcW w:w="2842" w:type="dxa"/>
            <w:vAlign w:val="center"/>
          </w:tcPr>
          <w:p w14:paraId="42299CB0" w14:textId="77777777" w:rsidR="00464ADF" w:rsidRDefault="00000000">
            <w:pPr>
              <w:spacing w:line="200" w:lineRule="exact"/>
              <w:jc w:val="center"/>
              <w:rPr>
                <w:rFonts w:ascii="宋体" w:eastAsia="宋体" w:hAnsi="宋体" w:hint="eastAsia"/>
                <w:bCs/>
                <w:sz w:val="13"/>
                <w:szCs w:val="13"/>
              </w:rPr>
            </w:pPr>
            <w:r>
              <w:rPr>
                <w:rFonts w:ascii="宋体" w:eastAsia="宋体" w:hAnsi="宋体" w:hint="eastAsia"/>
                <w:bCs/>
                <w:sz w:val="13"/>
                <w:szCs w:val="13"/>
              </w:rPr>
              <w:t>处理</w:t>
            </w:r>
          </w:p>
        </w:tc>
      </w:tr>
      <w:tr w:rsidR="00464ADF" w14:paraId="53CC1B12" w14:textId="77777777">
        <w:trPr>
          <w:jc w:val="center"/>
        </w:trPr>
        <w:tc>
          <w:tcPr>
            <w:tcW w:w="1833" w:type="dxa"/>
            <w:vAlign w:val="center"/>
          </w:tcPr>
          <w:p w14:paraId="5941FA44" w14:textId="77777777" w:rsidR="00464ADF" w:rsidRDefault="00000000">
            <w:pPr>
              <w:spacing w:line="200" w:lineRule="exact"/>
              <w:jc w:val="center"/>
              <w:rPr>
                <w:rFonts w:ascii="宋体" w:eastAsia="宋体" w:hAnsi="宋体" w:hint="eastAsia"/>
                <w:sz w:val="13"/>
                <w:szCs w:val="13"/>
              </w:rPr>
            </w:pPr>
            <w:r>
              <w:rPr>
                <w:rFonts w:ascii="宋体" w:eastAsia="宋体" w:hAnsi="宋体" w:hint="eastAsia"/>
                <w:sz w:val="13"/>
                <w:szCs w:val="13"/>
              </w:rPr>
              <w:t>终审法院</w:t>
            </w:r>
          </w:p>
        </w:tc>
        <w:tc>
          <w:tcPr>
            <w:tcW w:w="2552" w:type="dxa"/>
            <w:vAlign w:val="center"/>
          </w:tcPr>
          <w:p w14:paraId="532AEB9A" w14:textId="77777777" w:rsidR="00464ADF" w:rsidRDefault="00464ADF">
            <w:pPr>
              <w:spacing w:line="200" w:lineRule="exact"/>
              <w:rPr>
                <w:rFonts w:ascii="宋体" w:eastAsia="宋体" w:hAnsi="宋体" w:hint="eastAsia"/>
                <w:sz w:val="13"/>
                <w:szCs w:val="13"/>
              </w:rPr>
            </w:pPr>
          </w:p>
        </w:tc>
        <w:tc>
          <w:tcPr>
            <w:tcW w:w="1278" w:type="dxa"/>
            <w:vAlign w:val="center"/>
          </w:tcPr>
          <w:p w14:paraId="309D582D" w14:textId="77777777" w:rsidR="00464ADF" w:rsidRDefault="00464ADF">
            <w:pPr>
              <w:spacing w:line="200" w:lineRule="exact"/>
              <w:rPr>
                <w:rFonts w:ascii="宋体" w:eastAsia="宋体" w:hAnsi="宋体" w:hint="eastAsia"/>
                <w:sz w:val="13"/>
                <w:szCs w:val="13"/>
              </w:rPr>
            </w:pPr>
          </w:p>
        </w:tc>
        <w:tc>
          <w:tcPr>
            <w:tcW w:w="2842" w:type="dxa"/>
            <w:vAlign w:val="center"/>
          </w:tcPr>
          <w:p w14:paraId="1F4C7909"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审查处理</w:t>
            </w:r>
          </w:p>
        </w:tc>
      </w:tr>
      <w:tr w:rsidR="00464ADF" w14:paraId="08582D36" w14:textId="77777777">
        <w:trPr>
          <w:jc w:val="center"/>
        </w:trPr>
        <w:tc>
          <w:tcPr>
            <w:tcW w:w="1833" w:type="dxa"/>
            <w:vAlign w:val="center"/>
          </w:tcPr>
          <w:p w14:paraId="58376258" w14:textId="77777777" w:rsidR="00464ADF" w:rsidRDefault="00000000">
            <w:pPr>
              <w:spacing w:line="200" w:lineRule="exact"/>
              <w:jc w:val="center"/>
              <w:rPr>
                <w:rFonts w:ascii="宋体" w:eastAsia="宋体" w:hAnsi="宋体" w:hint="eastAsia"/>
                <w:sz w:val="13"/>
                <w:szCs w:val="13"/>
              </w:rPr>
            </w:pPr>
            <w:r>
              <w:rPr>
                <w:rFonts w:ascii="宋体" w:eastAsia="宋体" w:hAnsi="宋体" w:hint="eastAsia"/>
                <w:sz w:val="13"/>
                <w:szCs w:val="13"/>
              </w:rPr>
              <w:t>一审法院</w:t>
            </w:r>
          </w:p>
        </w:tc>
        <w:tc>
          <w:tcPr>
            <w:tcW w:w="2552" w:type="dxa"/>
            <w:vAlign w:val="center"/>
          </w:tcPr>
          <w:p w14:paraId="5FC4BDE2"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二审裁定准许撤回上诉</w:t>
            </w:r>
          </w:p>
        </w:tc>
        <w:tc>
          <w:tcPr>
            <w:tcW w:w="1278" w:type="dxa"/>
            <w:vAlign w:val="center"/>
          </w:tcPr>
          <w:p w14:paraId="19B560DE" w14:textId="77777777" w:rsidR="00464ADF" w:rsidRDefault="00464ADF">
            <w:pPr>
              <w:spacing w:line="200" w:lineRule="exact"/>
              <w:rPr>
                <w:rFonts w:ascii="宋体" w:eastAsia="宋体" w:hAnsi="宋体" w:hint="eastAsia"/>
                <w:sz w:val="13"/>
                <w:szCs w:val="13"/>
              </w:rPr>
            </w:pPr>
          </w:p>
        </w:tc>
        <w:tc>
          <w:tcPr>
            <w:tcW w:w="2842" w:type="dxa"/>
            <w:vAlign w:val="center"/>
          </w:tcPr>
          <w:p w14:paraId="5E51EF5A"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可以审查处理</w:t>
            </w:r>
          </w:p>
        </w:tc>
      </w:tr>
      <w:tr w:rsidR="00464ADF" w14:paraId="352BD341" w14:textId="77777777">
        <w:trPr>
          <w:jc w:val="center"/>
        </w:trPr>
        <w:tc>
          <w:tcPr>
            <w:tcW w:w="1833" w:type="dxa"/>
            <w:vMerge w:val="restart"/>
            <w:vAlign w:val="center"/>
          </w:tcPr>
          <w:p w14:paraId="39CB181B" w14:textId="77777777" w:rsidR="00464ADF" w:rsidRDefault="00000000">
            <w:pPr>
              <w:spacing w:line="200" w:lineRule="exact"/>
              <w:jc w:val="center"/>
              <w:rPr>
                <w:rFonts w:ascii="宋体" w:eastAsia="宋体" w:hAnsi="宋体" w:hint="eastAsia"/>
                <w:sz w:val="13"/>
                <w:szCs w:val="13"/>
              </w:rPr>
            </w:pPr>
            <w:r>
              <w:rPr>
                <w:rFonts w:ascii="宋体" w:eastAsia="宋体" w:hAnsi="宋体" w:hint="eastAsia"/>
                <w:sz w:val="13"/>
                <w:szCs w:val="13"/>
              </w:rPr>
              <w:t>（终审法院的）上一级法院</w:t>
            </w:r>
          </w:p>
        </w:tc>
        <w:tc>
          <w:tcPr>
            <w:tcW w:w="2552" w:type="dxa"/>
            <w:vMerge w:val="restart"/>
            <w:vAlign w:val="center"/>
          </w:tcPr>
          <w:p w14:paraId="3F689315"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未经终审法院审查处理</w:t>
            </w:r>
          </w:p>
        </w:tc>
        <w:tc>
          <w:tcPr>
            <w:tcW w:w="1278" w:type="dxa"/>
            <w:vMerge w:val="restart"/>
            <w:vAlign w:val="center"/>
          </w:tcPr>
          <w:p w14:paraId="29DF6D37"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一般情况下</w:t>
            </w:r>
          </w:p>
        </w:tc>
        <w:tc>
          <w:tcPr>
            <w:tcW w:w="2842" w:type="dxa"/>
            <w:vAlign w:val="center"/>
          </w:tcPr>
          <w:p w14:paraId="7B6D8F9F"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告知申诉人向终审法院申诉</w:t>
            </w:r>
          </w:p>
        </w:tc>
      </w:tr>
      <w:tr w:rsidR="00464ADF" w14:paraId="7493137A" w14:textId="77777777">
        <w:trPr>
          <w:jc w:val="center"/>
        </w:trPr>
        <w:tc>
          <w:tcPr>
            <w:tcW w:w="1833" w:type="dxa"/>
            <w:vMerge/>
            <w:vAlign w:val="center"/>
          </w:tcPr>
          <w:p w14:paraId="6D542E44" w14:textId="77777777" w:rsidR="00464ADF" w:rsidRDefault="00464ADF">
            <w:pPr>
              <w:spacing w:line="200" w:lineRule="exact"/>
              <w:jc w:val="center"/>
              <w:rPr>
                <w:rFonts w:ascii="宋体" w:eastAsia="宋体" w:hAnsi="宋体" w:hint="eastAsia"/>
                <w:sz w:val="13"/>
                <w:szCs w:val="13"/>
              </w:rPr>
            </w:pPr>
          </w:p>
        </w:tc>
        <w:tc>
          <w:tcPr>
            <w:tcW w:w="2552" w:type="dxa"/>
            <w:vMerge/>
            <w:vAlign w:val="center"/>
          </w:tcPr>
          <w:p w14:paraId="517FD5BF" w14:textId="77777777" w:rsidR="00464ADF" w:rsidRDefault="00464ADF">
            <w:pPr>
              <w:spacing w:line="200" w:lineRule="exact"/>
              <w:rPr>
                <w:rFonts w:ascii="宋体" w:eastAsia="宋体" w:hAnsi="宋体" w:hint="eastAsia"/>
                <w:sz w:val="13"/>
                <w:szCs w:val="13"/>
              </w:rPr>
            </w:pPr>
          </w:p>
        </w:tc>
        <w:tc>
          <w:tcPr>
            <w:tcW w:w="1278" w:type="dxa"/>
            <w:vMerge/>
            <w:vAlign w:val="center"/>
          </w:tcPr>
          <w:p w14:paraId="3037E1B8" w14:textId="77777777" w:rsidR="00464ADF" w:rsidRDefault="00464ADF">
            <w:pPr>
              <w:spacing w:line="200" w:lineRule="exact"/>
              <w:rPr>
                <w:rFonts w:ascii="宋体" w:eastAsia="宋体" w:hAnsi="宋体" w:hint="eastAsia"/>
                <w:sz w:val="13"/>
                <w:szCs w:val="13"/>
              </w:rPr>
            </w:pPr>
          </w:p>
        </w:tc>
        <w:tc>
          <w:tcPr>
            <w:tcW w:w="2842" w:type="dxa"/>
            <w:vAlign w:val="center"/>
          </w:tcPr>
          <w:p w14:paraId="6ADB27CF"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直接交终审法院审查处理</w:t>
            </w:r>
          </w:p>
        </w:tc>
      </w:tr>
      <w:tr w:rsidR="00464ADF" w14:paraId="4DE9AE0C" w14:textId="77777777">
        <w:trPr>
          <w:jc w:val="center"/>
        </w:trPr>
        <w:tc>
          <w:tcPr>
            <w:tcW w:w="1833" w:type="dxa"/>
            <w:vMerge/>
            <w:vAlign w:val="center"/>
          </w:tcPr>
          <w:p w14:paraId="495F2316" w14:textId="77777777" w:rsidR="00464ADF" w:rsidRDefault="00464ADF">
            <w:pPr>
              <w:spacing w:line="200" w:lineRule="exact"/>
              <w:jc w:val="center"/>
              <w:rPr>
                <w:rFonts w:ascii="宋体" w:eastAsia="宋体" w:hAnsi="宋体" w:hint="eastAsia"/>
                <w:sz w:val="13"/>
                <w:szCs w:val="13"/>
              </w:rPr>
            </w:pPr>
          </w:p>
        </w:tc>
        <w:tc>
          <w:tcPr>
            <w:tcW w:w="2552" w:type="dxa"/>
            <w:vMerge/>
            <w:vAlign w:val="center"/>
          </w:tcPr>
          <w:p w14:paraId="61D1CEE5" w14:textId="77777777" w:rsidR="00464ADF" w:rsidRDefault="00464ADF">
            <w:pPr>
              <w:spacing w:line="200" w:lineRule="exact"/>
              <w:rPr>
                <w:rFonts w:ascii="宋体" w:eastAsia="宋体" w:hAnsi="宋体" w:hint="eastAsia"/>
                <w:sz w:val="13"/>
                <w:szCs w:val="13"/>
              </w:rPr>
            </w:pPr>
          </w:p>
        </w:tc>
        <w:tc>
          <w:tcPr>
            <w:tcW w:w="1278" w:type="dxa"/>
            <w:vAlign w:val="center"/>
          </w:tcPr>
          <w:p w14:paraId="48FB011B"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案件疑难复杂重大</w:t>
            </w:r>
          </w:p>
        </w:tc>
        <w:tc>
          <w:tcPr>
            <w:tcW w:w="2842" w:type="dxa"/>
            <w:vAlign w:val="center"/>
          </w:tcPr>
          <w:p w14:paraId="60664172"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可以直接审查处理</w:t>
            </w:r>
          </w:p>
        </w:tc>
      </w:tr>
      <w:tr w:rsidR="00464ADF" w14:paraId="62E867FC" w14:textId="77777777">
        <w:trPr>
          <w:jc w:val="center"/>
        </w:trPr>
        <w:tc>
          <w:tcPr>
            <w:tcW w:w="1833" w:type="dxa"/>
            <w:vAlign w:val="center"/>
          </w:tcPr>
          <w:p w14:paraId="18C6D0F6" w14:textId="77777777" w:rsidR="00464ADF" w:rsidRDefault="00000000">
            <w:pPr>
              <w:spacing w:line="200" w:lineRule="exact"/>
              <w:jc w:val="center"/>
              <w:rPr>
                <w:rFonts w:ascii="宋体" w:eastAsia="宋体" w:hAnsi="宋体" w:hint="eastAsia"/>
                <w:sz w:val="13"/>
                <w:szCs w:val="13"/>
              </w:rPr>
            </w:pPr>
            <w:r>
              <w:rPr>
                <w:rFonts w:ascii="宋体" w:eastAsia="宋体" w:hAnsi="宋体" w:hint="eastAsia"/>
                <w:sz w:val="13"/>
                <w:szCs w:val="13"/>
              </w:rPr>
              <w:t>（再）上级法院</w:t>
            </w:r>
          </w:p>
        </w:tc>
        <w:tc>
          <w:tcPr>
            <w:tcW w:w="2552" w:type="dxa"/>
            <w:vAlign w:val="center"/>
          </w:tcPr>
          <w:p w14:paraId="1E4B359A"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未经终审法院及其上一级法院审查处理</w:t>
            </w:r>
          </w:p>
        </w:tc>
        <w:tc>
          <w:tcPr>
            <w:tcW w:w="1278" w:type="dxa"/>
            <w:vAlign w:val="center"/>
          </w:tcPr>
          <w:p w14:paraId="46540C51" w14:textId="77777777" w:rsidR="00464ADF" w:rsidRDefault="00464ADF">
            <w:pPr>
              <w:spacing w:line="200" w:lineRule="exact"/>
              <w:rPr>
                <w:rFonts w:ascii="宋体" w:eastAsia="宋体" w:hAnsi="宋体" w:hint="eastAsia"/>
                <w:sz w:val="13"/>
                <w:szCs w:val="13"/>
              </w:rPr>
            </w:pPr>
          </w:p>
        </w:tc>
        <w:tc>
          <w:tcPr>
            <w:tcW w:w="2842" w:type="dxa"/>
            <w:vAlign w:val="center"/>
          </w:tcPr>
          <w:p w14:paraId="2169622F"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应当告知申诉人向下级人民法院提出</w:t>
            </w:r>
          </w:p>
        </w:tc>
      </w:tr>
      <w:tr w:rsidR="00464ADF" w14:paraId="4E9D5244" w14:textId="77777777">
        <w:trPr>
          <w:jc w:val="center"/>
        </w:trPr>
        <w:tc>
          <w:tcPr>
            <w:tcW w:w="1833" w:type="dxa"/>
            <w:vMerge w:val="restart"/>
            <w:vAlign w:val="center"/>
          </w:tcPr>
          <w:p w14:paraId="08EA1042" w14:textId="77777777" w:rsidR="00464ADF" w:rsidRDefault="00000000">
            <w:pPr>
              <w:spacing w:line="200" w:lineRule="exact"/>
              <w:jc w:val="center"/>
              <w:rPr>
                <w:rFonts w:ascii="宋体" w:eastAsia="宋体" w:hAnsi="宋体" w:hint="eastAsia"/>
                <w:sz w:val="13"/>
                <w:szCs w:val="13"/>
              </w:rPr>
            </w:pPr>
            <w:r>
              <w:rPr>
                <w:rFonts w:ascii="宋体" w:eastAsia="宋体" w:hAnsi="宋体" w:hint="eastAsia"/>
                <w:sz w:val="13"/>
                <w:szCs w:val="13"/>
              </w:rPr>
              <w:t>死刑案件的原核准法院</w:t>
            </w:r>
          </w:p>
        </w:tc>
        <w:tc>
          <w:tcPr>
            <w:tcW w:w="2552" w:type="dxa"/>
            <w:vMerge w:val="restart"/>
            <w:vAlign w:val="center"/>
          </w:tcPr>
          <w:p w14:paraId="167E620F" w14:textId="77777777" w:rsidR="00464ADF" w:rsidRDefault="00464ADF">
            <w:pPr>
              <w:spacing w:line="200" w:lineRule="exact"/>
              <w:rPr>
                <w:rFonts w:ascii="宋体" w:eastAsia="宋体" w:hAnsi="宋体" w:hint="eastAsia"/>
                <w:sz w:val="13"/>
                <w:szCs w:val="13"/>
              </w:rPr>
            </w:pPr>
          </w:p>
        </w:tc>
        <w:tc>
          <w:tcPr>
            <w:tcW w:w="1278" w:type="dxa"/>
            <w:vMerge w:val="restart"/>
            <w:vAlign w:val="center"/>
          </w:tcPr>
          <w:p w14:paraId="0984A821" w14:textId="77777777" w:rsidR="00464ADF" w:rsidRDefault="00464ADF">
            <w:pPr>
              <w:spacing w:line="200" w:lineRule="exact"/>
              <w:rPr>
                <w:rFonts w:ascii="宋体" w:eastAsia="宋体" w:hAnsi="宋体" w:hint="eastAsia"/>
                <w:sz w:val="13"/>
                <w:szCs w:val="13"/>
              </w:rPr>
            </w:pPr>
          </w:p>
        </w:tc>
        <w:tc>
          <w:tcPr>
            <w:tcW w:w="2842" w:type="dxa"/>
            <w:vAlign w:val="center"/>
          </w:tcPr>
          <w:p w14:paraId="4132A2D3"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可以直接审查处理</w:t>
            </w:r>
          </w:p>
        </w:tc>
      </w:tr>
      <w:tr w:rsidR="00464ADF" w14:paraId="6409F2CD" w14:textId="77777777">
        <w:trPr>
          <w:jc w:val="center"/>
        </w:trPr>
        <w:tc>
          <w:tcPr>
            <w:tcW w:w="1833" w:type="dxa"/>
            <w:vMerge/>
            <w:vAlign w:val="center"/>
          </w:tcPr>
          <w:p w14:paraId="0469DDD6" w14:textId="77777777" w:rsidR="00464ADF" w:rsidRDefault="00464ADF">
            <w:pPr>
              <w:spacing w:line="200" w:lineRule="exact"/>
              <w:rPr>
                <w:rFonts w:ascii="宋体" w:eastAsia="宋体" w:hAnsi="宋体" w:hint="eastAsia"/>
                <w:sz w:val="13"/>
                <w:szCs w:val="13"/>
              </w:rPr>
            </w:pPr>
          </w:p>
        </w:tc>
        <w:tc>
          <w:tcPr>
            <w:tcW w:w="2552" w:type="dxa"/>
            <w:vMerge/>
            <w:vAlign w:val="center"/>
          </w:tcPr>
          <w:p w14:paraId="6C701A21" w14:textId="77777777" w:rsidR="00464ADF" w:rsidRDefault="00464ADF">
            <w:pPr>
              <w:spacing w:line="200" w:lineRule="exact"/>
              <w:rPr>
                <w:rFonts w:ascii="宋体" w:eastAsia="宋体" w:hAnsi="宋体" w:hint="eastAsia"/>
                <w:sz w:val="13"/>
                <w:szCs w:val="13"/>
              </w:rPr>
            </w:pPr>
          </w:p>
        </w:tc>
        <w:tc>
          <w:tcPr>
            <w:tcW w:w="1278" w:type="dxa"/>
            <w:vMerge/>
            <w:vAlign w:val="center"/>
          </w:tcPr>
          <w:p w14:paraId="23A75774" w14:textId="77777777" w:rsidR="00464ADF" w:rsidRDefault="00464ADF">
            <w:pPr>
              <w:spacing w:line="200" w:lineRule="exact"/>
              <w:rPr>
                <w:rFonts w:ascii="宋体" w:eastAsia="宋体" w:hAnsi="宋体" w:hint="eastAsia"/>
                <w:sz w:val="13"/>
                <w:szCs w:val="13"/>
              </w:rPr>
            </w:pPr>
          </w:p>
        </w:tc>
        <w:tc>
          <w:tcPr>
            <w:tcW w:w="2842" w:type="dxa"/>
            <w:vAlign w:val="center"/>
          </w:tcPr>
          <w:p w14:paraId="65D2D388" w14:textId="77777777" w:rsidR="00464ADF" w:rsidRDefault="00000000">
            <w:pPr>
              <w:spacing w:line="200" w:lineRule="exact"/>
              <w:rPr>
                <w:rFonts w:ascii="宋体" w:eastAsia="宋体" w:hAnsi="宋体" w:hint="eastAsia"/>
                <w:sz w:val="13"/>
                <w:szCs w:val="13"/>
              </w:rPr>
            </w:pPr>
            <w:r>
              <w:rPr>
                <w:rFonts w:ascii="宋体" w:eastAsia="宋体" w:hAnsi="宋体" w:hint="eastAsia"/>
                <w:sz w:val="13"/>
                <w:szCs w:val="13"/>
              </w:rPr>
              <w:t>也可交原审人民法院审查，但需层报原核准法院处理</w:t>
            </w:r>
          </w:p>
        </w:tc>
      </w:tr>
    </w:tbl>
    <w:p w14:paraId="6CB49FFA" w14:textId="77777777" w:rsidR="00464ADF" w:rsidRDefault="00000000">
      <w:pPr>
        <w:pStyle w:val="3"/>
        <w:spacing w:line="240" w:lineRule="auto"/>
        <w:ind w:firstLineChars="200" w:firstLine="361"/>
        <w:rPr>
          <w:rFonts w:eastAsia="宋体" w:hint="eastAsia"/>
          <w:sz w:val="18"/>
          <w:szCs w:val="18"/>
        </w:rPr>
      </w:pPr>
      <w:bookmarkStart w:id="68" w:name="_Toc510879151"/>
      <w:r>
        <w:rPr>
          <w:rFonts w:eastAsia="宋体" w:hint="eastAsia"/>
          <w:b/>
          <w:bCs/>
          <w:color w:val="C00000"/>
          <w:sz w:val="18"/>
          <w:szCs w:val="18"/>
        </w:rPr>
        <w:lastRenderedPageBreak/>
        <w:t>新增“指令异地审查申诉”制度：</w:t>
      </w:r>
      <w:r>
        <w:rPr>
          <w:rFonts w:eastAsia="宋体" w:hint="eastAsia"/>
          <w:sz w:val="18"/>
          <w:szCs w:val="18"/>
        </w:rPr>
        <w:t>最高人民法院或者上级人民法院可以指定终审人民法院以外的人民法院对申诉进行审查。</w:t>
      </w:r>
      <w:r>
        <w:rPr>
          <w:rFonts w:eastAsia="宋体" w:hint="eastAsia"/>
          <w:color w:val="C00000"/>
          <w:sz w:val="18"/>
          <w:szCs w:val="18"/>
        </w:rPr>
        <w:t>被指定的人民法院审查后，应当制作审查报告，提出处理意见，</w:t>
      </w:r>
      <w:r>
        <w:rPr>
          <w:rFonts w:eastAsia="宋体" w:hint="eastAsia"/>
          <w:b/>
          <w:bCs/>
          <w:color w:val="C00000"/>
          <w:sz w:val="18"/>
          <w:szCs w:val="18"/>
        </w:rPr>
        <w:t>层报</w:t>
      </w:r>
      <w:r>
        <w:rPr>
          <w:rFonts w:eastAsia="宋体" w:hint="eastAsia"/>
          <w:color w:val="C00000"/>
          <w:sz w:val="18"/>
          <w:szCs w:val="18"/>
        </w:rPr>
        <w:t>最高人民法院或者上级人民法院审查处理</w:t>
      </w:r>
      <w:r>
        <w:rPr>
          <w:rFonts w:eastAsia="宋体" w:hint="eastAsia"/>
          <w:sz w:val="18"/>
          <w:szCs w:val="18"/>
        </w:rPr>
        <w:t>。</w:t>
      </w:r>
    </w:p>
    <w:p w14:paraId="686A1D2C" w14:textId="77777777" w:rsidR="00464ADF" w:rsidRDefault="00000000">
      <w:pPr>
        <w:ind w:firstLine="420"/>
        <w:rPr>
          <w:rFonts w:eastAsia="宋体" w:hint="eastAsia"/>
        </w:rPr>
      </w:pPr>
      <w:r>
        <w:rPr>
          <w:rFonts w:eastAsia="宋体" w:hint="eastAsia"/>
          <w:sz w:val="18"/>
          <w:szCs w:val="18"/>
        </w:rPr>
        <w:t>（二）人民检察院对申诉案件的受理</w:t>
      </w:r>
    </w:p>
    <w:p w14:paraId="49EE1BCB" w14:textId="77777777" w:rsidR="00464ADF" w:rsidRDefault="00000000">
      <w:pPr>
        <w:pStyle w:val="3"/>
        <w:spacing w:line="240" w:lineRule="auto"/>
        <w:ind w:firstLineChars="200" w:firstLine="360"/>
        <w:rPr>
          <w:rFonts w:eastAsia="宋体" w:hint="eastAsia"/>
          <w:sz w:val="18"/>
          <w:szCs w:val="18"/>
        </w:rPr>
      </w:pPr>
      <w:r>
        <w:rPr>
          <w:rFonts w:eastAsia="宋体" w:hint="eastAsia"/>
          <w:sz w:val="18"/>
          <w:szCs w:val="18"/>
        </w:rPr>
        <w:t>三、申诉</w:t>
      </w:r>
      <w:bookmarkEnd w:id="68"/>
      <w:r>
        <w:rPr>
          <w:rFonts w:eastAsia="宋体" w:hint="eastAsia"/>
          <w:sz w:val="18"/>
          <w:szCs w:val="18"/>
        </w:rPr>
        <w:t>中的新证据——掌握《法院解释》第458条新证据的范围即可。</w:t>
      </w:r>
      <w:bookmarkStart w:id="69" w:name="_Toc510879152"/>
    </w:p>
    <w:p w14:paraId="4EAD096C" w14:textId="77777777" w:rsidR="00464ADF" w:rsidRDefault="00000000">
      <w:pPr>
        <w:pStyle w:val="3"/>
        <w:spacing w:line="240" w:lineRule="auto"/>
        <w:ind w:firstLineChars="200" w:firstLine="360"/>
        <w:rPr>
          <w:rFonts w:eastAsia="宋体" w:hint="eastAsia"/>
          <w:b/>
          <w:sz w:val="18"/>
          <w:szCs w:val="18"/>
        </w:rPr>
      </w:pPr>
      <w:r>
        <w:rPr>
          <w:rFonts w:eastAsia="宋体" w:hint="eastAsia"/>
          <w:sz w:val="18"/>
          <w:szCs w:val="18"/>
        </w:rPr>
        <w:t>四、对再次申诉的处理</w:t>
      </w:r>
      <w:bookmarkEnd w:id="69"/>
    </w:p>
    <w:p w14:paraId="5F4F436F" w14:textId="77777777" w:rsidR="00464ADF" w:rsidRDefault="00000000">
      <w:pPr>
        <w:pStyle w:val="4"/>
        <w:tabs>
          <w:tab w:val="left" w:pos="420"/>
        </w:tabs>
        <w:spacing w:before="0" w:after="0" w:line="240" w:lineRule="auto"/>
        <w:jc w:val="left"/>
        <w:rPr>
          <w:rFonts w:ascii="宋体" w:eastAsia="宋体" w:hAnsi="宋体" w:hint="eastAsia"/>
          <w:color w:val="C00000"/>
          <w:sz w:val="18"/>
          <w:szCs w:val="18"/>
        </w:rPr>
      </w:pPr>
      <w:r>
        <w:rPr>
          <w:rFonts w:ascii="宋体" w:eastAsia="宋体" w:hAnsi="宋体" w:hint="eastAsia"/>
          <w:b w:val="0"/>
          <w:bCs w:val="0"/>
          <w:sz w:val="18"/>
          <w:szCs w:val="18"/>
        </w:rPr>
        <w:tab/>
        <w:t>对人民法院驳回申诉的裁定不服而再次申诉：</w:t>
      </w:r>
      <w:r>
        <w:rPr>
          <w:rFonts w:ascii="宋体" w:eastAsia="宋体" w:hAnsi="宋体" w:hint="eastAsia"/>
          <w:color w:val="C00000"/>
          <w:sz w:val="18"/>
          <w:szCs w:val="18"/>
        </w:rPr>
        <w:t>被驳回申诉后向上一级法院申诉的应当受理，申诉</w:t>
      </w:r>
      <w:r>
        <w:rPr>
          <w:rFonts w:ascii="宋体" w:eastAsia="宋体" w:hAnsi="宋体" w:hint="eastAsia"/>
          <w:b w:val="0"/>
          <w:bCs w:val="0"/>
          <w:color w:val="C00000"/>
          <w:sz w:val="18"/>
          <w:szCs w:val="18"/>
        </w:rPr>
        <w:t>符合重新审判的条件</w:t>
      </w:r>
      <w:r>
        <w:rPr>
          <w:rFonts w:ascii="宋体" w:eastAsia="宋体" w:hAnsi="宋体" w:hint="eastAsia"/>
          <w:color w:val="C00000"/>
          <w:sz w:val="18"/>
          <w:szCs w:val="18"/>
        </w:rPr>
        <w:t>决定重新审判；申诉不符合重新审判的条件，说服申诉人撤回申诉，申诉人坚持，驳回申诉、通知不予重新审判。</w:t>
      </w:r>
      <w:r>
        <w:rPr>
          <w:rFonts w:ascii="宋体" w:eastAsia="宋体" w:hAnsi="宋体" w:hint="eastAsia"/>
          <w:color w:val="0070C0"/>
          <w:sz w:val="18"/>
          <w:szCs w:val="18"/>
        </w:rPr>
        <w:t>（两次）</w:t>
      </w:r>
    </w:p>
    <w:p w14:paraId="7EDAD2EF" w14:textId="77777777" w:rsidR="00464ADF" w:rsidRDefault="00000000">
      <w:pPr>
        <w:ind w:firstLine="420"/>
        <w:rPr>
          <w:rFonts w:ascii="宋体" w:eastAsia="宋体" w:hAnsi="宋体" w:cstheme="majorBidi" w:hint="eastAsia"/>
          <w:sz w:val="18"/>
          <w:szCs w:val="18"/>
        </w:rPr>
      </w:pPr>
      <w:r>
        <w:rPr>
          <w:rFonts w:ascii="宋体" w:eastAsia="宋体" w:hAnsi="宋体" w:cstheme="majorBidi" w:hint="eastAsia"/>
          <w:sz w:val="18"/>
          <w:szCs w:val="18"/>
        </w:rPr>
        <w:t>对人民检察院不予抗诉的决定不服而再次申诉：当事人及其法定代理人、近亲属对人民法院已经发生法律效力的判决、裁定提出申诉，经人民检察院复查决定不予抗诉后继续提出申诉的，</w:t>
      </w:r>
      <w:r>
        <w:rPr>
          <w:rFonts w:ascii="宋体" w:eastAsia="宋体" w:hAnsi="宋体" w:cstheme="majorBidi" w:hint="eastAsia"/>
          <w:color w:val="C00000"/>
          <w:sz w:val="18"/>
          <w:szCs w:val="18"/>
        </w:rPr>
        <w:t>上一级人民检察院应当受理</w:t>
      </w:r>
      <w:r>
        <w:rPr>
          <w:rFonts w:ascii="宋体" w:eastAsia="宋体" w:hAnsi="宋体" w:cstheme="majorBidi" w:hint="eastAsia"/>
          <w:sz w:val="18"/>
          <w:szCs w:val="18"/>
        </w:rPr>
        <w:t>。</w:t>
      </w:r>
    </w:p>
    <w:p w14:paraId="2BDB2452" w14:textId="77777777" w:rsidR="00464ADF" w:rsidRDefault="00000000">
      <w:pPr>
        <w:ind w:firstLine="420"/>
        <w:rPr>
          <w:rFonts w:ascii="宋体" w:eastAsia="宋体" w:hAnsi="宋体" w:cstheme="majorBidi" w:hint="eastAsia"/>
          <w:sz w:val="18"/>
          <w:szCs w:val="18"/>
        </w:rPr>
      </w:pPr>
      <w:r>
        <w:rPr>
          <w:rFonts w:ascii="宋体" w:eastAsia="宋体" w:hAnsi="宋体" w:cstheme="majorBidi" w:hint="eastAsia"/>
          <w:sz w:val="18"/>
          <w:szCs w:val="18"/>
        </w:rPr>
        <w:t>人民法院对经审监程序维持原判或经两级法院复查均驳回而再次申诉的处理：经终审法院的上一级法院依审监程序审理后维持原判，经两级法院依审监程序复查均驳回，提出新的事实和理由，</w:t>
      </w:r>
      <w:r>
        <w:rPr>
          <w:rFonts w:ascii="宋体" w:eastAsia="宋体" w:hAnsi="宋体" w:cstheme="majorBidi" w:hint="eastAsia"/>
          <w:color w:val="C00000"/>
          <w:sz w:val="18"/>
          <w:szCs w:val="18"/>
        </w:rPr>
        <w:t>且符合重新审判的条件的</w:t>
      </w:r>
      <w:r>
        <w:rPr>
          <w:rFonts w:ascii="宋体" w:eastAsia="宋体" w:hAnsi="宋体" w:cstheme="majorBidi" w:hint="eastAsia"/>
          <w:sz w:val="18"/>
          <w:szCs w:val="18"/>
        </w:rPr>
        <w:t>，予以受理。</w:t>
      </w:r>
      <w:r>
        <w:rPr>
          <w:rFonts w:ascii="宋体" w:eastAsia="宋体" w:hAnsi="宋体" w:cstheme="majorBidi" w:hint="eastAsia"/>
          <w:b/>
          <w:bCs/>
          <w:color w:val="0070C0"/>
          <w:sz w:val="18"/>
          <w:szCs w:val="18"/>
        </w:rPr>
        <w:t>（例外情况）</w:t>
      </w:r>
    </w:p>
    <w:p w14:paraId="110D1D42" w14:textId="77777777" w:rsidR="00464ADF" w:rsidRDefault="00000000">
      <w:pPr>
        <w:pStyle w:val="3"/>
        <w:spacing w:line="240" w:lineRule="auto"/>
        <w:ind w:firstLineChars="200" w:firstLine="360"/>
        <w:rPr>
          <w:rFonts w:eastAsia="宋体" w:hint="eastAsia"/>
          <w:b/>
          <w:sz w:val="18"/>
          <w:szCs w:val="18"/>
        </w:rPr>
      </w:pPr>
      <w:bookmarkStart w:id="70" w:name="_Toc510879153"/>
      <w:r>
        <w:rPr>
          <w:rFonts w:eastAsia="宋体" w:hint="eastAsia"/>
          <w:sz w:val="18"/>
          <w:szCs w:val="18"/>
        </w:rPr>
        <w:t>四、申诉的效力</w:t>
      </w:r>
      <w:bookmarkEnd w:id="70"/>
      <w:r>
        <w:rPr>
          <w:rFonts w:eastAsia="宋体" w:hint="eastAsia"/>
          <w:sz w:val="18"/>
          <w:szCs w:val="18"/>
        </w:rPr>
        <w:t>：</w:t>
      </w:r>
      <w:r>
        <w:rPr>
          <w:rFonts w:eastAsia="宋体"/>
          <w:color w:val="C00000"/>
          <w:kern w:val="0"/>
          <w:sz w:val="18"/>
          <w:szCs w:val="18"/>
        </w:rPr>
        <w:t>申诉不停止判决、裁定的执行</w:t>
      </w:r>
      <w:r>
        <w:rPr>
          <w:rFonts w:eastAsia="宋体"/>
          <w:kern w:val="0"/>
          <w:sz w:val="18"/>
          <w:szCs w:val="18"/>
        </w:rPr>
        <w:t>。</w:t>
      </w:r>
    </w:p>
    <w:p w14:paraId="3F281AAF" w14:textId="43CDA881" w:rsidR="00464ADF" w:rsidRDefault="00000000">
      <w:pPr>
        <w:pStyle w:val="1"/>
        <w:tabs>
          <w:tab w:val="left" w:pos="420"/>
        </w:tabs>
        <w:spacing w:before="0" w:after="0" w:line="240" w:lineRule="auto"/>
        <w:jc w:val="center"/>
        <w:rPr>
          <w:rFonts w:ascii="宋体" w:hAnsi="宋体" w:cs="宋体" w:hint="eastAsia"/>
          <w:bCs w:val="0"/>
          <w:sz w:val="18"/>
          <w:szCs w:val="18"/>
        </w:rPr>
      </w:pPr>
      <w:bookmarkStart w:id="71" w:name="_Toc4844153"/>
      <w:bookmarkStart w:id="72" w:name="_Toc510879155"/>
      <w:bookmarkStart w:id="73" w:name="_Toc136521798"/>
      <w:bookmarkStart w:id="74" w:name="_Toc13406"/>
      <w:r>
        <w:rPr>
          <w:rFonts w:ascii="宋体" w:hAnsi="宋体" w:hint="eastAsia"/>
          <w:bCs w:val="0"/>
          <w:sz w:val="18"/>
          <w:szCs w:val="18"/>
        </w:rPr>
        <w:t>考点</w:t>
      </w:r>
      <w:r>
        <w:rPr>
          <w:rFonts w:ascii="宋体" w:hAnsi="宋体"/>
          <w:bCs w:val="0"/>
          <w:sz w:val="18"/>
          <w:szCs w:val="18"/>
        </w:rPr>
        <w:t>58</w:t>
      </w:r>
      <w:r>
        <w:rPr>
          <w:rFonts w:ascii="宋体" w:hAnsi="宋体" w:hint="eastAsia"/>
          <w:bCs w:val="0"/>
          <w:sz w:val="18"/>
          <w:szCs w:val="18"/>
        </w:rPr>
        <w:t xml:space="preserve">  提起审判监督程序的主体和方式</w:t>
      </w:r>
      <w:bookmarkEnd w:id="71"/>
      <w:bookmarkEnd w:id="72"/>
      <w:bookmarkEnd w:id="73"/>
      <w:bookmarkEnd w:id="74"/>
      <w:r w:rsidR="000612DA">
        <w:rPr>
          <w:rFonts w:ascii="宋体" w:hAnsi="宋体" w:cs="宋体" w:hint="eastAsia"/>
          <w:bCs w:val="0"/>
          <w:sz w:val="18"/>
          <w:szCs w:val="18"/>
        </w:rPr>
        <w:t>（</w:t>
      </w:r>
      <w:r w:rsidR="00BB28D2">
        <w:rPr>
          <w:rFonts w:ascii="宋体" w:hAnsi="宋体" w:cs="宋体" w:hint="eastAsia"/>
          <w:bCs w:val="0"/>
          <w:sz w:val="18"/>
          <w:szCs w:val="18"/>
        </w:rPr>
        <w:t>12:00</w:t>
      </w:r>
      <w:r w:rsidR="000612DA">
        <w:rPr>
          <w:rFonts w:ascii="宋体" w:hAnsi="宋体" w:cs="宋体" w:hint="eastAsia"/>
          <w:bCs w:val="0"/>
          <w:sz w:val="18"/>
          <w:szCs w:val="18"/>
        </w:rPr>
        <w:t>:00-</w:t>
      </w:r>
      <w:r w:rsidR="00BB28D2">
        <w:rPr>
          <w:rFonts w:ascii="宋体" w:hAnsi="宋体" w:cs="宋体" w:hint="eastAsia"/>
          <w:bCs w:val="0"/>
          <w:sz w:val="18"/>
          <w:szCs w:val="18"/>
        </w:rPr>
        <w:t>12</w:t>
      </w:r>
      <w:r w:rsidR="000612DA">
        <w:rPr>
          <w:rFonts w:ascii="宋体" w:hAnsi="宋体" w:cs="宋体" w:hint="eastAsia"/>
          <w:bCs w:val="0"/>
          <w:sz w:val="18"/>
          <w:szCs w:val="18"/>
        </w:rPr>
        <w:t>:</w:t>
      </w:r>
      <w:r w:rsidR="009A3AE9">
        <w:rPr>
          <w:rFonts w:ascii="宋体" w:hAnsi="宋体" w:cs="宋体" w:hint="eastAsia"/>
          <w:bCs w:val="0"/>
          <w:sz w:val="18"/>
          <w:szCs w:val="18"/>
        </w:rPr>
        <w:t>06</w:t>
      </w:r>
      <w:r w:rsidR="000612DA">
        <w:rPr>
          <w:rFonts w:ascii="宋体" w:hAnsi="宋体" w:cs="宋体" w:hint="eastAsia"/>
          <w:bCs w:val="0"/>
          <w:sz w:val="18"/>
          <w:szCs w:val="18"/>
        </w:rPr>
        <w:t>:00）</w:t>
      </w:r>
    </w:p>
    <w:p w14:paraId="00947DC6" w14:textId="77777777" w:rsidR="00464ADF" w:rsidRDefault="00000000">
      <w:pPr>
        <w:ind w:firstLineChars="200" w:firstLine="361"/>
        <w:rPr>
          <w:rFonts w:ascii="宋体" w:eastAsia="宋体" w:hAnsi="宋体" w:hint="eastAsia"/>
          <w:b/>
          <w:bCs/>
          <w:color w:val="C00000"/>
          <w:sz w:val="18"/>
          <w:szCs w:val="20"/>
          <w:highlight w:val="yellow"/>
        </w:rPr>
      </w:pPr>
      <w:r>
        <w:rPr>
          <w:rFonts w:ascii="宋体" w:eastAsia="宋体" w:hAnsi="宋体" w:hint="eastAsia"/>
          <w:b/>
          <w:bCs/>
          <w:color w:val="C00000"/>
          <w:sz w:val="18"/>
          <w:szCs w:val="20"/>
          <w:highlight w:val="yellow"/>
        </w:rPr>
        <w:t>注意：只要看到题目考察审监程序，第一步判断生效裁判到底是哪个法院通过何种程序作出的。审监程序不是独立的程序，破题的关键是判断到底让它回到一审，还是回到二审的程序进行审理。</w:t>
      </w:r>
    </w:p>
    <w:p w14:paraId="5BA9D25F" w14:textId="77777777" w:rsidR="00464ADF" w:rsidRDefault="00000000">
      <w:pPr>
        <w:pStyle w:val="3"/>
        <w:spacing w:line="240" w:lineRule="auto"/>
        <w:ind w:firstLineChars="200" w:firstLine="360"/>
        <w:rPr>
          <w:rFonts w:eastAsia="宋体" w:hint="eastAsia"/>
          <w:sz w:val="18"/>
          <w:szCs w:val="18"/>
        </w:rPr>
      </w:pPr>
      <w:bookmarkStart w:id="75" w:name="_Toc510879156"/>
      <w:r>
        <w:rPr>
          <w:rFonts w:eastAsia="宋体" w:hint="eastAsia"/>
          <w:sz w:val="18"/>
          <w:szCs w:val="18"/>
        </w:rPr>
        <w:t>一、提起审判监督程序的主体和方式</w:t>
      </w:r>
      <w:bookmarkEnd w:id="75"/>
    </w:p>
    <w:p w14:paraId="1CF85E42" w14:textId="77777777" w:rsidR="00464ADF" w:rsidRDefault="00000000">
      <w:pPr>
        <w:ind w:firstLine="420"/>
        <w:rPr>
          <w:rFonts w:ascii="宋体" w:eastAsia="宋体" w:hAnsi="宋体" w:hint="eastAsia"/>
          <w:color w:val="C00000"/>
          <w:sz w:val="18"/>
          <w:szCs w:val="18"/>
        </w:rPr>
      </w:pPr>
      <w:r>
        <w:rPr>
          <w:rFonts w:ascii="宋体" w:eastAsia="宋体" w:hAnsi="宋体" w:hint="eastAsia"/>
          <w:color w:val="C00000"/>
          <w:sz w:val="18"/>
          <w:szCs w:val="18"/>
        </w:rPr>
        <w:t>（1）</w:t>
      </w:r>
      <w:r>
        <w:rPr>
          <w:rFonts w:ascii="宋体" w:eastAsia="宋体" w:hAnsi="宋体" w:hint="eastAsia"/>
          <w:color w:val="C00000"/>
          <w:sz w:val="18"/>
          <w:szCs w:val="18"/>
          <w:u w:val="single"/>
        </w:rPr>
        <w:t>各级法院院长</w:t>
      </w:r>
      <w:r>
        <w:rPr>
          <w:rFonts w:ascii="宋体" w:eastAsia="宋体" w:hAnsi="宋体" w:hint="eastAsia"/>
          <w:color w:val="C00000"/>
          <w:sz w:val="18"/>
          <w:szCs w:val="18"/>
        </w:rPr>
        <w:t>经提交审委会讨论决定</w:t>
      </w:r>
      <w:r>
        <w:rPr>
          <w:rFonts w:ascii="宋体" w:eastAsia="宋体" w:hAnsi="宋体" w:hint="eastAsia"/>
          <w:color w:val="C00000"/>
          <w:sz w:val="18"/>
          <w:szCs w:val="18"/>
          <w:u w:val="single"/>
        </w:rPr>
        <w:t>本院生效裁判</w:t>
      </w:r>
      <w:r>
        <w:rPr>
          <w:rFonts w:ascii="宋体" w:eastAsia="宋体" w:hAnsi="宋体" w:hint="eastAsia"/>
          <w:color w:val="C00000"/>
          <w:sz w:val="18"/>
          <w:szCs w:val="18"/>
        </w:rPr>
        <w:t>的再审。（2）最高人民法院对各级法院生效裁判、上级人民法院对</w:t>
      </w:r>
      <w:r>
        <w:rPr>
          <w:rFonts w:ascii="宋体" w:eastAsia="宋体" w:hAnsi="宋体"/>
          <w:color w:val="C00000"/>
          <w:sz w:val="18"/>
          <w:szCs w:val="18"/>
        </w:rPr>
        <w:t>下级法院生效裁判</w:t>
      </w:r>
      <w:r>
        <w:rPr>
          <w:rFonts w:ascii="宋体" w:eastAsia="宋体" w:hAnsi="宋体" w:hint="eastAsia"/>
          <w:color w:val="C00000"/>
          <w:sz w:val="18"/>
          <w:szCs w:val="18"/>
        </w:rPr>
        <w:t>可以</w:t>
      </w:r>
      <w:r>
        <w:rPr>
          <w:rFonts w:ascii="宋体" w:eastAsia="宋体" w:hAnsi="宋体" w:hint="eastAsia"/>
          <w:color w:val="C00000"/>
          <w:sz w:val="18"/>
          <w:szCs w:val="18"/>
          <w:u w:val="single"/>
        </w:rPr>
        <w:t>指令再审或决定提审</w:t>
      </w:r>
      <w:r>
        <w:rPr>
          <w:rFonts w:ascii="宋体" w:eastAsia="宋体" w:hAnsi="宋体" w:hint="eastAsia"/>
          <w:color w:val="C00000"/>
          <w:sz w:val="18"/>
          <w:szCs w:val="18"/>
        </w:rPr>
        <w:t>。（3）最高人民检察院对各级法院生效裁判、上级人民检察院对下级法院生效裁判可以提出抗诉</w:t>
      </w:r>
    </w:p>
    <w:p w14:paraId="7F44BD73" w14:textId="77777777" w:rsidR="00464ADF" w:rsidRDefault="00000000">
      <w:pPr>
        <w:pStyle w:val="3"/>
        <w:spacing w:line="240" w:lineRule="auto"/>
        <w:ind w:firstLineChars="200" w:firstLine="360"/>
        <w:rPr>
          <w:rFonts w:eastAsia="宋体" w:hint="eastAsia"/>
          <w:b/>
          <w:sz w:val="18"/>
          <w:szCs w:val="18"/>
        </w:rPr>
      </w:pPr>
      <w:r>
        <w:rPr>
          <w:rFonts w:eastAsia="宋体" w:hint="eastAsia"/>
          <w:sz w:val="18"/>
          <w:szCs w:val="18"/>
        </w:rPr>
        <w:t>二、</w:t>
      </w:r>
      <w:r>
        <w:rPr>
          <w:rFonts w:eastAsia="宋体" w:hint="eastAsia"/>
          <w:bCs/>
          <w:sz w:val="18"/>
          <w:szCs w:val="18"/>
        </w:rPr>
        <w:t>抗诉引起的再审</w:t>
      </w:r>
    </w:p>
    <w:p w14:paraId="0B24DCD1" w14:textId="77777777" w:rsidR="00464ADF" w:rsidRDefault="00000000">
      <w:pPr>
        <w:ind w:firstLineChars="200" w:firstLine="360"/>
        <w:rPr>
          <w:rFonts w:ascii="宋体" w:eastAsia="宋体" w:hAnsi="宋体" w:hint="eastAsia"/>
          <w:color w:val="C00000"/>
          <w:sz w:val="18"/>
          <w:szCs w:val="18"/>
        </w:rPr>
      </w:pPr>
      <w:r>
        <w:rPr>
          <w:rFonts w:ascii="宋体" w:eastAsia="宋体" w:hAnsi="宋体"/>
          <w:sz w:val="18"/>
          <w:szCs w:val="18"/>
        </w:rPr>
        <w:t>对人民检察院依照审判监督程序提出抗诉的案件，</w:t>
      </w:r>
      <w:r>
        <w:rPr>
          <w:rFonts w:ascii="宋体" w:eastAsia="宋体" w:hAnsi="宋体"/>
          <w:color w:val="C00000"/>
          <w:sz w:val="18"/>
          <w:szCs w:val="18"/>
        </w:rPr>
        <w:t>接受抗诉的人民法院应当组成合议庭审理。</w:t>
      </w:r>
      <w:r>
        <w:rPr>
          <w:rFonts w:ascii="宋体" w:eastAsia="宋体" w:hAnsi="宋体" w:hint="eastAsia"/>
          <w:color w:val="C00000"/>
          <w:sz w:val="18"/>
          <w:szCs w:val="18"/>
        </w:rPr>
        <w:t>（相当于提审）</w:t>
      </w:r>
      <w:r>
        <w:rPr>
          <w:rFonts w:ascii="宋体" w:eastAsia="宋体" w:hAnsi="宋体"/>
          <w:sz w:val="18"/>
          <w:szCs w:val="18"/>
        </w:rPr>
        <w:t>对原判事实不清、证据不足，包括有新的证据证明原判可能有错误，需要指令下级人民法院再审的，应当在立案之日起一个月内作出决定，并将</w:t>
      </w:r>
      <w:r>
        <w:rPr>
          <w:rFonts w:ascii="宋体" w:eastAsia="宋体" w:hAnsi="宋体"/>
          <w:color w:val="C00000"/>
          <w:sz w:val="18"/>
          <w:szCs w:val="18"/>
        </w:rPr>
        <w:t>指令再审决定书送达抗诉的人民检察院。</w:t>
      </w:r>
    </w:p>
    <w:p w14:paraId="2037F11B"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三、法院决定再审</w:t>
      </w:r>
    </w:p>
    <w:p w14:paraId="1D294E9C" w14:textId="77777777" w:rsidR="00464ADF" w:rsidRDefault="00000000">
      <w:pPr>
        <w:ind w:leftChars="200" w:left="420"/>
        <w:rPr>
          <w:rFonts w:ascii="宋体" w:eastAsia="宋体" w:hAnsi="宋体" w:hint="eastAsia"/>
          <w:sz w:val="18"/>
          <w:szCs w:val="18"/>
        </w:rPr>
      </w:pPr>
      <w:r>
        <w:rPr>
          <w:rFonts w:ascii="宋体" w:eastAsia="宋体" w:hAnsi="宋体" w:hint="eastAsia"/>
          <w:sz w:val="18"/>
          <w:szCs w:val="18"/>
        </w:rPr>
        <w:t>（一）决定提审</w:t>
      </w: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2229"/>
        <w:gridCol w:w="1052"/>
        <w:gridCol w:w="884"/>
        <w:gridCol w:w="2669"/>
      </w:tblGrid>
      <w:tr w:rsidR="00464ADF" w14:paraId="4847102A" w14:textId="77777777">
        <w:trPr>
          <w:trHeight w:val="320"/>
          <w:jc w:val="center"/>
        </w:trPr>
        <w:tc>
          <w:tcPr>
            <w:tcW w:w="1523" w:type="dxa"/>
            <w:tcBorders>
              <w:top w:val="single" w:sz="8" w:space="0" w:color="FF0000"/>
              <w:left w:val="single" w:sz="8" w:space="0" w:color="FF0000"/>
              <w:bottom w:val="single" w:sz="8" w:space="0" w:color="FF0000"/>
              <w:right w:val="single" w:sz="8" w:space="0" w:color="FF0000"/>
            </w:tcBorders>
            <w:vAlign w:val="center"/>
          </w:tcPr>
          <w:p w14:paraId="54B97A2E" w14:textId="77777777" w:rsidR="00464ADF" w:rsidRPr="00E6207A" w:rsidRDefault="00000000" w:rsidP="00467AE9">
            <w:pPr>
              <w:spacing w:beforeLines="10" w:before="31" w:afterLines="20" w:after="62" w:line="200" w:lineRule="exact"/>
              <w:jc w:val="center"/>
              <w:rPr>
                <w:rFonts w:ascii="宋体" w:eastAsia="宋体" w:hAnsi="宋体" w:hint="eastAsia"/>
                <w:bCs/>
                <w:sz w:val="13"/>
                <w:szCs w:val="13"/>
              </w:rPr>
            </w:pPr>
            <w:r w:rsidRPr="00E6207A">
              <w:rPr>
                <w:rFonts w:ascii="宋体" w:eastAsia="宋体" w:hAnsi="宋体" w:hint="eastAsia"/>
                <w:bCs/>
                <w:sz w:val="13"/>
                <w:szCs w:val="13"/>
              </w:rPr>
              <w:t>再审理由</w:t>
            </w:r>
          </w:p>
        </w:tc>
        <w:tc>
          <w:tcPr>
            <w:tcW w:w="2229" w:type="dxa"/>
            <w:tcBorders>
              <w:top w:val="single" w:sz="8" w:space="0" w:color="FF0000"/>
              <w:left w:val="single" w:sz="8" w:space="0" w:color="FF0000"/>
              <w:bottom w:val="single" w:sz="8" w:space="0" w:color="FF0000"/>
              <w:right w:val="single" w:sz="8" w:space="0" w:color="FF0000"/>
            </w:tcBorders>
            <w:vAlign w:val="center"/>
          </w:tcPr>
          <w:p w14:paraId="6A9129CC" w14:textId="77777777" w:rsidR="00464ADF" w:rsidRPr="00E6207A" w:rsidRDefault="00000000" w:rsidP="00467AE9">
            <w:pPr>
              <w:spacing w:beforeLines="10" w:before="31" w:afterLines="20" w:after="62" w:line="200" w:lineRule="exact"/>
              <w:jc w:val="center"/>
              <w:rPr>
                <w:rFonts w:ascii="宋体" w:eastAsia="宋体" w:hAnsi="宋体" w:hint="eastAsia"/>
                <w:bCs/>
                <w:sz w:val="13"/>
                <w:szCs w:val="13"/>
              </w:rPr>
            </w:pPr>
            <w:r w:rsidRPr="00E6207A">
              <w:rPr>
                <w:rFonts w:ascii="宋体" w:eastAsia="宋体" w:hAnsi="宋体" w:hint="eastAsia"/>
                <w:bCs/>
                <w:sz w:val="13"/>
                <w:szCs w:val="13"/>
              </w:rPr>
              <w:t>具体情形</w:t>
            </w:r>
          </w:p>
        </w:tc>
        <w:tc>
          <w:tcPr>
            <w:tcW w:w="1052" w:type="dxa"/>
            <w:tcBorders>
              <w:top w:val="single" w:sz="8" w:space="0" w:color="FF0000"/>
              <w:left w:val="single" w:sz="8" w:space="0" w:color="FF0000"/>
              <w:bottom w:val="single" w:sz="8" w:space="0" w:color="FF0000"/>
              <w:right w:val="single" w:sz="8" w:space="0" w:color="FF0000"/>
            </w:tcBorders>
            <w:vAlign w:val="center"/>
          </w:tcPr>
          <w:p w14:paraId="5DFD774F" w14:textId="77777777" w:rsidR="00464ADF" w:rsidRPr="00E6207A" w:rsidRDefault="00000000" w:rsidP="00467AE9">
            <w:pPr>
              <w:spacing w:beforeLines="10" w:before="31" w:afterLines="20" w:after="62" w:line="200" w:lineRule="exact"/>
              <w:jc w:val="center"/>
              <w:rPr>
                <w:rFonts w:ascii="宋体" w:eastAsia="宋体" w:hAnsi="宋体" w:hint="eastAsia"/>
                <w:bCs/>
                <w:sz w:val="13"/>
                <w:szCs w:val="13"/>
              </w:rPr>
            </w:pPr>
            <w:r w:rsidRPr="00E6207A">
              <w:rPr>
                <w:rFonts w:ascii="宋体" w:eastAsia="宋体" w:hAnsi="宋体" w:hint="eastAsia"/>
                <w:bCs/>
                <w:sz w:val="13"/>
                <w:szCs w:val="13"/>
              </w:rPr>
              <w:t>方式</w:t>
            </w:r>
          </w:p>
        </w:tc>
        <w:tc>
          <w:tcPr>
            <w:tcW w:w="884" w:type="dxa"/>
            <w:tcBorders>
              <w:top w:val="single" w:sz="8" w:space="0" w:color="FF0000"/>
              <w:left w:val="single" w:sz="8" w:space="0" w:color="FF0000"/>
              <w:bottom w:val="single" w:sz="8" w:space="0" w:color="FF0000"/>
              <w:right w:val="single" w:sz="8" w:space="0" w:color="FF0000"/>
            </w:tcBorders>
            <w:vAlign w:val="center"/>
          </w:tcPr>
          <w:p w14:paraId="5FD709BC" w14:textId="77777777" w:rsidR="00464ADF" w:rsidRPr="00E6207A" w:rsidRDefault="00000000" w:rsidP="00467AE9">
            <w:pPr>
              <w:spacing w:beforeLines="10" w:before="31" w:afterLines="20" w:after="62" w:line="200" w:lineRule="exact"/>
              <w:jc w:val="center"/>
              <w:rPr>
                <w:rFonts w:ascii="宋体" w:eastAsia="宋体" w:hAnsi="宋体" w:hint="eastAsia"/>
                <w:bCs/>
                <w:sz w:val="13"/>
                <w:szCs w:val="13"/>
              </w:rPr>
            </w:pPr>
            <w:r w:rsidRPr="00E6207A">
              <w:rPr>
                <w:rFonts w:ascii="宋体" w:eastAsia="宋体" w:hAnsi="宋体" w:hint="eastAsia"/>
                <w:bCs/>
                <w:sz w:val="13"/>
                <w:szCs w:val="13"/>
              </w:rPr>
              <w:t>条件</w:t>
            </w:r>
          </w:p>
        </w:tc>
        <w:tc>
          <w:tcPr>
            <w:tcW w:w="2669" w:type="dxa"/>
            <w:tcBorders>
              <w:top w:val="single" w:sz="8" w:space="0" w:color="FF0000"/>
              <w:left w:val="single" w:sz="8" w:space="0" w:color="FF0000"/>
              <w:bottom w:val="single" w:sz="8" w:space="0" w:color="FF0000"/>
              <w:right w:val="single" w:sz="8" w:space="0" w:color="FF0000"/>
            </w:tcBorders>
            <w:vAlign w:val="center"/>
          </w:tcPr>
          <w:p w14:paraId="579D4AAF" w14:textId="77777777" w:rsidR="00464ADF" w:rsidRPr="00E6207A" w:rsidRDefault="00000000" w:rsidP="00467AE9">
            <w:pPr>
              <w:spacing w:beforeLines="10" w:before="31" w:afterLines="20" w:after="62" w:line="200" w:lineRule="exact"/>
              <w:jc w:val="center"/>
              <w:rPr>
                <w:rFonts w:ascii="宋体" w:eastAsia="宋体" w:hAnsi="宋体" w:hint="eastAsia"/>
                <w:bCs/>
                <w:sz w:val="13"/>
                <w:szCs w:val="13"/>
              </w:rPr>
            </w:pPr>
            <w:r w:rsidRPr="00E6207A">
              <w:rPr>
                <w:rFonts w:ascii="宋体" w:eastAsia="宋体" w:hAnsi="宋体" w:hint="eastAsia"/>
                <w:bCs/>
                <w:sz w:val="13"/>
                <w:szCs w:val="13"/>
              </w:rPr>
              <w:t>指定再审的法院</w:t>
            </w:r>
          </w:p>
        </w:tc>
      </w:tr>
      <w:tr w:rsidR="00464ADF" w14:paraId="6C6F80A0" w14:textId="77777777">
        <w:trPr>
          <w:trHeight w:val="320"/>
          <w:jc w:val="center"/>
        </w:trPr>
        <w:tc>
          <w:tcPr>
            <w:tcW w:w="1523" w:type="dxa"/>
            <w:vMerge w:val="restart"/>
            <w:tcBorders>
              <w:top w:val="single" w:sz="8" w:space="0" w:color="FF0000"/>
              <w:left w:val="single" w:sz="8" w:space="0" w:color="FF0000"/>
              <w:bottom w:val="single" w:sz="8" w:space="0" w:color="FF0000"/>
              <w:right w:val="single" w:sz="8" w:space="0" w:color="FF0000"/>
            </w:tcBorders>
            <w:vAlign w:val="center"/>
          </w:tcPr>
          <w:p w14:paraId="6943E702"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事实不清、证据不足</w:t>
            </w:r>
          </w:p>
        </w:tc>
        <w:tc>
          <w:tcPr>
            <w:tcW w:w="2229" w:type="dxa"/>
            <w:vMerge w:val="restart"/>
            <w:tcBorders>
              <w:top w:val="single" w:sz="8" w:space="0" w:color="FF0000"/>
              <w:left w:val="single" w:sz="8" w:space="0" w:color="FF0000"/>
              <w:bottom w:val="single" w:sz="8" w:space="0" w:color="FF0000"/>
              <w:right w:val="single" w:sz="8" w:space="0" w:color="FF0000"/>
            </w:tcBorders>
            <w:vAlign w:val="center"/>
          </w:tcPr>
          <w:p w14:paraId="6D022A11"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一般</w:t>
            </w:r>
          </w:p>
        </w:tc>
        <w:tc>
          <w:tcPr>
            <w:tcW w:w="1052" w:type="dxa"/>
            <w:vMerge w:val="restart"/>
            <w:tcBorders>
              <w:top w:val="single" w:sz="8" w:space="0" w:color="FF0000"/>
              <w:left w:val="single" w:sz="8" w:space="0" w:color="FF0000"/>
              <w:bottom w:val="single" w:sz="8" w:space="0" w:color="FF0000"/>
              <w:right w:val="single" w:sz="8" w:space="0" w:color="FF0000"/>
            </w:tcBorders>
            <w:vAlign w:val="center"/>
          </w:tcPr>
          <w:p w14:paraId="0714AF10"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指令再审</w:t>
            </w:r>
          </w:p>
        </w:tc>
        <w:tc>
          <w:tcPr>
            <w:tcW w:w="884" w:type="dxa"/>
            <w:tcBorders>
              <w:top w:val="single" w:sz="8" w:space="0" w:color="FF0000"/>
              <w:left w:val="single" w:sz="8" w:space="0" w:color="FF0000"/>
              <w:bottom w:val="single" w:sz="8" w:space="0" w:color="FF0000"/>
              <w:right w:val="single" w:sz="8" w:space="0" w:color="FF0000"/>
            </w:tcBorders>
            <w:vAlign w:val="center"/>
          </w:tcPr>
          <w:p w14:paraId="3F8CA70B"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一般</w:t>
            </w:r>
          </w:p>
        </w:tc>
        <w:tc>
          <w:tcPr>
            <w:tcW w:w="2669" w:type="dxa"/>
            <w:tcBorders>
              <w:top w:val="single" w:sz="8" w:space="0" w:color="FF0000"/>
              <w:left w:val="single" w:sz="8" w:space="0" w:color="FF0000"/>
              <w:bottom w:val="single" w:sz="8" w:space="0" w:color="FF0000"/>
              <w:right w:val="single" w:sz="8" w:space="0" w:color="FF0000"/>
            </w:tcBorders>
            <w:vAlign w:val="center"/>
          </w:tcPr>
          <w:p w14:paraId="11F12D9C"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原审法院以外的下级法院</w:t>
            </w:r>
          </w:p>
        </w:tc>
      </w:tr>
      <w:tr w:rsidR="00464ADF" w14:paraId="567667DA" w14:textId="77777777">
        <w:trPr>
          <w:trHeight w:val="320"/>
          <w:jc w:val="center"/>
        </w:trPr>
        <w:tc>
          <w:tcPr>
            <w:tcW w:w="1523" w:type="dxa"/>
            <w:vMerge/>
            <w:tcBorders>
              <w:top w:val="single" w:sz="8" w:space="0" w:color="FF0000"/>
              <w:left w:val="single" w:sz="8" w:space="0" w:color="FF0000"/>
              <w:bottom w:val="single" w:sz="8" w:space="0" w:color="FF0000"/>
              <w:right w:val="single" w:sz="8" w:space="0" w:color="FF0000"/>
            </w:tcBorders>
            <w:vAlign w:val="center"/>
          </w:tcPr>
          <w:p w14:paraId="0CA67ADB" w14:textId="77777777" w:rsidR="00464ADF" w:rsidRPr="00E6207A" w:rsidRDefault="00464ADF" w:rsidP="00467AE9">
            <w:pPr>
              <w:spacing w:beforeLines="10" w:before="31" w:afterLines="20" w:after="62" w:line="200" w:lineRule="exact"/>
              <w:rPr>
                <w:rFonts w:ascii="宋体" w:eastAsia="宋体" w:hAnsi="宋体" w:hint="eastAsia"/>
                <w:sz w:val="13"/>
                <w:szCs w:val="13"/>
              </w:rPr>
            </w:pPr>
          </w:p>
        </w:tc>
        <w:tc>
          <w:tcPr>
            <w:tcW w:w="2229" w:type="dxa"/>
            <w:vMerge/>
            <w:tcBorders>
              <w:top w:val="single" w:sz="8" w:space="0" w:color="FF0000"/>
              <w:left w:val="single" w:sz="8" w:space="0" w:color="FF0000"/>
              <w:bottom w:val="single" w:sz="8" w:space="0" w:color="FF0000"/>
              <w:right w:val="single" w:sz="8" w:space="0" w:color="FF0000"/>
            </w:tcBorders>
            <w:vAlign w:val="center"/>
          </w:tcPr>
          <w:p w14:paraId="69C3D96E" w14:textId="77777777" w:rsidR="00464ADF" w:rsidRPr="00E6207A" w:rsidRDefault="00464ADF" w:rsidP="00467AE9">
            <w:pPr>
              <w:spacing w:beforeLines="10" w:before="31" w:afterLines="20" w:after="62" w:line="200" w:lineRule="exact"/>
              <w:rPr>
                <w:rFonts w:ascii="宋体" w:eastAsia="宋体" w:hAnsi="宋体" w:hint="eastAsia"/>
                <w:sz w:val="13"/>
                <w:szCs w:val="13"/>
              </w:rPr>
            </w:pPr>
          </w:p>
        </w:tc>
        <w:tc>
          <w:tcPr>
            <w:tcW w:w="1052" w:type="dxa"/>
            <w:vMerge/>
            <w:tcBorders>
              <w:top w:val="single" w:sz="8" w:space="0" w:color="FF0000"/>
              <w:left w:val="single" w:sz="8" w:space="0" w:color="FF0000"/>
              <w:bottom w:val="single" w:sz="8" w:space="0" w:color="FF0000"/>
              <w:right w:val="single" w:sz="8" w:space="0" w:color="FF0000"/>
            </w:tcBorders>
            <w:vAlign w:val="center"/>
          </w:tcPr>
          <w:p w14:paraId="197941CE" w14:textId="77777777" w:rsidR="00464ADF" w:rsidRPr="00E6207A" w:rsidRDefault="00464ADF" w:rsidP="00467AE9">
            <w:pPr>
              <w:spacing w:beforeLines="10" w:before="31" w:afterLines="20" w:after="62" w:line="200" w:lineRule="exact"/>
              <w:rPr>
                <w:rFonts w:ascii="宋体" w:eastAsia="宋体" w:hAnsi="宋体" w:hint="eastAsia"/>
                <w:sz w:val="13"/>
                <w:szCs w:val="13"/>
              </w:rPr>
            </w:pPr>
          </w:p>
        </w:tc>
        <w:tc>
          <w:tcPr>
            <w:tcW w:w="884" w:type="dxa"/>
            <w:tcBorders>
              <w:top w:val="single" w:sz="8" w:space="0" w:color="FF0000"/>
              <w:left w:val="single" w:sz="8" w:space="0" w:color="FF0000"/>
              <w:bottom w:val="single" w:sz="8" w:space="0" w:color="FF0000"/>
              <w:right w:val="single" w:sz="8" w:space="0" w:color="FF0000"/>
            </w:tcBorders>
            <w:vAlign w:val="center"/>
          </w:tcPr>
          <w:p w14:paraId="5BDE4471"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更适宜</w:t>
            </w:r>
          </w:p>
        </w:tc>
        <w:tc>
          <w:tcPr>
            <w:tcW w:w="2669" w:type="dxa"/>
            <w:tcBorders>
              <w:top w:val="single" w:sz="8" w:space="0" w:color="FF0000"/>
              <w:left w:val="single" w:sz="8" w:space="0" w:color="FF0000"/>
              <w:bottom w:val="single" w:sz="8" w:space="0" w:color="FF0000"/>
              <w:right w:val="single" w:sz="8" w:space="0" w:color="FF0000"/>
            </w:tcBorders>
            <w:vAlign w:val="center"/>
          </w:tcPr>
          <w:p w14:paraId="78F47D43"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原审法院</w:t>
            </w:r>
          </w:p>
        </w:tc>
      </w:tr>
      <w:tr w:rsidR="00464ADF" w14:paraId="17AEA2D2" w14:textId="77777777">
        <w:trPr>
          <w:trHeight w:val="320"/>
          <w:jc w:val="center"/>
        </w:trPr>
        <w:tc>
          <w:tcPr>
            <w:tcW w:w="1523" w:type="dxa"/>
            <w:vMerge/>
            <w:tcBorders>
              <w:top w:val="single" w:sz="8" w:space="0" w:color="FF0000"/>
              <w:left w:val="single" w:sz="8" w:space="0" w:color="FF0000"/>
              <w:bottom w:val="single" w:sz="8" w:space="0" w:color="FF0000"/>
              <w:right w:val="single" w:sz="8" w:space="0" w:color="FF0000"/>
            </w:tcBorders>
            <w:vAlign w:val="center"/>
          </w:tcPr>
          <w:p w14:paraId="177B016C" w14:textId="77777777" w:rsidR="00464ADF" w:rsidRPr="00E6207A" w:rsidRDefault="00464ADF" w:rsidP="00467AE9">
            <w:pPr>
              <w:spacing w:beforeLines="10" w:before="31" w:afterLines="20" w:after="62" w:line="200" w:lineRule="exact"/>
              <w:rPr>
                <w:rFonts w:ascii="宋体" w:eastAsia="宋体" w:hAnsi="宋体" w:hint="eastAsia"/>
                <w:sz w:val="13"/>
                <w:szCs w:val="13"/>
              </w:rPr>
            </w:pPr>
          </w:p>
        </w:tc>
        <w:tc>
          <w:tcPr>
            <w:tcW w:w="2229" w:type="dxa"/>
            <w:tcBorders>
              <w:top w:val="single" w:sz="8" w:space="0" w:color="FF0000"/>
              <w:left w:val="single" w:sz="8" w:space="0" w:color="FF0000"/>
              <w:bottom w:val="single" w:sz="8" w:space="0" w:color="FF0000"/>
              <w:right w:val="single" w:sz="8" w:space="0" w:color="FF0000"/>
            </w:tcBorders>
            <w:vAlign w:val="center"/>
          </w:tcPr>
          <w:p w14:paraId="64F23CF0"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案件疑难、复杂、重大</w:t>
            </w:r>
          </w:p>
        </w:tc>
        <w:tc>
          <w:tcPr>
            <w:tcW w:w="4605" w:type="dxa"/>
            <w:gridSpan w:val="3"/>
            <w:vMerge w:val="restart"/>
            <w:tcBorders>
              <w:top w:val="single" w:sz="8" w:space="0" w:color="FF0000"/>
              <w:left w:val="single" w:sz="8" w:space="0" w:color="FF0000"/>
              <w:bottom w:val="single" w:sz="8" w:space="0" w:color="FF0000"/>
              <w:right w:val="single" w:sz="8" w:space="0" w:color="FF0000"/>
            </w:tcBorders>
            <w:vAlign w:val="center"/>
          </w:tcPr>
          <w:p w14:paraId="3C189F93"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决定提审</w:t>
            </w:r>
          </w:p>
        </w:tc>
      </w:tr>
      <w:tr w:rsidR="00464ADF" w14:paraId="32CD5B61" w14:textId="77777777">
        <w:trPr>
          <w:trHeight w:val="320"/>
          <w:jc w:val="center"/>
        </w:trPr>
        <w:tc>
          <w:tcPr>
            <w:tcW w:w="1523" w:type="dxa"/>
            <w:vMerge/>
            <w:tcBorders>
              <w:top w:val="single" w:sz="8" w:space="0" w:color="FF0000"/>
              <w:left w:val="single" w:sz="8" w:space="0" w:color="FF0000"/>
              <w:bottom w:val="single" w:sz="8" w:space="0" w:color="FF0000"/>
              <w:right w:val="single" w:sz="8" w:space="0" w:color="FF0000"/>
            </w:tcBorders>
            <w:vAlign w:val="center"/>
          </w:tcPr>
          <w:p w14:paraId="21A912A8" w14:textId="77777777" w:rsidR="00464ADF" w:rsidRPr="00E6207A" w:rsidRDefault="00464ADF" w:rsidP="00467AE9">
            <w:pPr>
              <w:spacing w:beforeLines="10" w:before="31" w:afterLines="20" w:after="62" w:line="200" w:lineRule="exact"/>
              <w:rPr>
                <w:rFonts w:ascii="宋体" w:eastAsia="宋体" w:hAnsi="宋体" w:hint="eastAsia"/>
                <w:sz w:val="13"/>
                <w:szCs w:val="13"/>
              </w:rPr>
            </w:pPr>
          </w:p>
        </w:tc>
        <w:tc>
          <w:tcPr>
            <w:tcW w:w="2229" w:type="dxa"/>
            <w:tcBorders>
              <w:top w:val="single" w:sz="8" w:space="0" w:color="FF0000"/>
              <w:left w:val="single" w:sz="8" w:space="0" w:color="FF0000"/>
              <w:bottom w:val="single" w:sz="8" w:space="0" w:color="FF0000"/>
              <w:right w:val="single" w:sz="8" w:space="0" w:color="FF0000"/>
            </w:tcBorders>
            <w:vAlign w:val="center"/>
          </w:tcPr>
          <w:p w14:paraId="6E3D6BA1"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不宜由原审法院审理</w:t>
            </w:r>
          </w:p>
        </w:tc>
        <w:tc>
          <w:tcPr>
            <w:tcW w:w="4605" w:type="dxa"/>
            <w:gridSpan w:val="3"/>
            <w:vMerge/>
            <w:tcBorders>
              <w:top w:val="single" w:sz="8" w:space="0" w:color="FF0000"/>
              <w:left w:val="single" w:sz="8" w:space="0" w:color="FF0000"/>
              <w:bottom w:val="single" w:sz="8" w:space="0" w:color="FF0000"/>
              <w:right w:val="single" w:sz="8" w:space="0" w:color="FF0000"/>
            </w:tcBorders>
            <w:vAlign w:val="center"/>
          </w:tcPr>
          <w:p w14:paraId="4556ECF5" w14:textId="77777777" w:rsidR="00464ADF" w:rsidRDefault="00464ADF" w:rsidP="00467AE9">
            <w:pPr>
              <w:spacing w:beforeLines="10" w:before="31" w:afterLines="20" w:after="62" w:line="200" w:lineRule="exact"/>
              <w:rPr>
                <w:rFonts w:ascii="汉仪书宋一简" w:eastAsia="汉仪书宋一简" w:hint="eastAsia"/>
                <w:sz w:val="15"/>
                <w:szCs w:val="15"/>
              </w:rPr>
            </w:pPr>
          </w:p>
        </w:tc>
      </w:tr>
      <w:tr w:rsidR="00464ADF" w14:paraId="00BE28A2" w14:textId="77777777">
        <w:trPr>
          <w:trHeight w:val="347"/>
          <w:jc w:val="center"/>
        </w:trPr>
        <w:tc>
          <w:tcPr>
            <w:tcW w:w="1523" w:type="dxa"/>
            <w:tcBorders>
              <w:top w:val="single" w:sz="8" w:space="0" w:color="FF0000"/>
              <w:left w:val="single" w:sz="8" w:space="0" w:color="FF0000"/>
              <w:bottom w:val="single" w:sz="8" w:space="0" w:color="FF0000"/>
              <w:right w:val="single" w:sz="8" w:space="0" w:color="FF0000"/>
            </w:tcBorders>
            <w:vAlign w:val="center"/>
          </w:tcPr>
          <w:p w14:paraId="0B37730E"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适用法律错误</w:t>
            </w:r>
          </w:p>
        </w:tc>
        <w:tc>
          <w:tcPr>
            <w:tcW w:w="2229" w:type="dxa"/>
            <w:tcBorders>
              <w:top w:val="single" w:sz="8" w:space="0" w:color="FF0000"/>
              <w:left w:val="single" w:sz="8" w:space="0" w:color="FF0000"/>
              <w:bottom w:val="single" w:sz="8" w:space="0" w:color="FF0000"/>
              <w:right w:val="single" w:sz="8" w:space="0" w:color="FF0000"/>
            </w:tcBorders>
            <w:vAlign w:val="center"/>
          </w:tcPr>
          <w:p w14:paraId="69459941" w14:textId="77777777" w:rsidR="00464ADF" w:rsidRPr="00E6207A" w:rsidRDefault="00464ADF" w:rsidP="00467AE9">
            <w:pPr>
              <w:spacing w:beforeLines="10" w:before="31" w:afterLines="20" w:after="62" w:line="200" w:lineRule="exact"/>
              <w:rPr>
                <w:rFonts w:ascii="宋体" w:eastAsia="宋体" w:hAnsi="宋体" w:hint="eastAsia"/>
                <w:sz w:val="13"/>
                <w:szCs w:val="13"/>
              </w:rPr>
            </w:pPr>
          </w:p>
        </w:tc>
        <w:tc>
          <w:tcPr>
            <w:tcW w:w="4605" w:type="dxa"/>
            <w:gridSpan w:val="3"/>
            <w:vMerge/>
            <w:tcBorders>
              <w:top w:val="single" w:sz="8" w:space="0" w:color="FF0000"/>
              <w:left w:val="single" w:sz="8" w:space="0" w:color="FF0000"/>
              <w:bottom w:val="single" w:sz="8" w:space="0" w:color="FF0000"/>
              <w:right w:val="single" w:sz="8" w:space="0" w:color="FF0000"/>
            </w:tcBorders>
            <w:vAlign w:val="center"/>
          </w:tcPr>
          <w:p w14:paraId="2E154328" w14:textId="77777777" w:rsidR="00464ADF" w:rsidRDefault="00464ADF" w:rsidP="00467AE9">
            <w:pPr>
              <w:spacing w:beforeLines="10" w:before="31" w:afterLines="20" w:after="62" w:line="200" w:lineRule="exact"/>
              <w:rPr>
                <w:rFonts w:ascii="汉仪书宋一简" w:eastAsia="汉仪书宋一简" w:hint="eastAsia"/>
                <w:sz w:val="15"/>
                <w:szCs w:val="15"/>
              </w:rPr>
            </w:pPr>
          </w:p>
        </w:tc>
      </w:tr>
    </w:tbl>
    <w:p w14:paraId="1A296CD3" w14:textId="77777777" w:rsidR="00464ADF" w:rsidRDefault="00000000">
      <w:pPr>
        <w:ind w:leftChars="200" w:left="420"/>
        <w:rPr>
          <w:rFonts w:ascii="宋体" w:eastAsia="宋体" w:hAnsi="宋体" w:hint="eastAsia"/>
          <w:sz w:val="18"/>
          <w:szCs w:val="18"/>
        </w:rPr>
      </w:pPr>
      <w:r>
        <w:rPr>
          <w:rFonts w:ascii="宋体" w:eastAsia="宋体" w:hAnsi="宋体" w:hint="eastAsia"/>
          <w:sz w:val="18"/>
          <w:szCs w:val="18"/>
        </w:rPr>
        <w:t>（二）指令再审</w:t>
      </w:r>
    </w:p>
    <w:p w14:paraId="4240A74E" w14:textId="77777777" w:rsidR="00464ADF" w:rsidRDefault="00000000">
      <w:pPr>
        <w:ind w:firstLine="420"/>
        <w:rPr>
          <w:rFonts w:ascii="宋体" w:eastAsia="宋体" w:hAnsi="宋体" w:hint="eastAsia"/>
          <w:sz w:val="18"/>
          <w:szCs w:val="18"/>
        </w:rPr>
      </w:pPr>
      <w:r>
        <w:rPr>
          <w:rFonts w:ascii="宋体" w:eastAsia="宋体" w:hAnsi="宋体"/>
          <w:sz w:val="18"/>
          <w:szCs w:val="18"/>
        </w:rPr>
        <w:t>上级人民法院指令下级人民法院再审的，</w:t>
      </w:r>
      <w:r>
        <w:rPr>
          <w:rFonts w:ascii="宋体" w:eastAsia="宋体" w:hAnsi="宋体"/>
          <w:color w:val="C00000"/>
          <w:sz w:val="18"/>
          <w:szCs w:val="18"/>
        </w:rPr>
        <w:t>一般应当指令原审人民法院以外的下级人民法院审理；由原审人民法院审理更有利于查明案件事实、纠正裁判错误的，可以指令原审人民法院审理</w:t>
      </w:r>
      <w:r>
        <w:rPr>
          <w:rFonts w:ascii="宋体" w:eastAsia="宋体" w:hAnsi="宋体"/>
          <w:sz w:val="18"/>
          <w:szCs w:val="18"/>
        </w:rPr>
        <w:t>。</w:t>
      </w:r>
    </w:p>
    <w:p w14:paraId="455F39B5" w14:textId="77777777" w:rsidR="00464ADF" w:rsidRDefault="00000000">
      <w:pPr>
        <w:ind w:firstLine="420"/>
        <w:rPr>
          <w:rFonts w:ascii="宋体" w:eastAsia="宋体" w:hAnsi="宋体" w:hint="eastAsia"/>
          <w:sz w:val="18"/>
          <w:szCs w:val="18"/>
        </w:rPr>
      </w:pPr>
      <w:r>
        <w:rPr>
          <w:rFonts w:ascii="宋体" w:eastAsia="宋体" w:hAnsi="宋体"/>
          <w:sz w:val="18"/>
          <w:szCs w:val="18"/>
        </w:rPr>
        <w:t>对于指令再审的案件，如果</w:t>
      </w:r>
      <w:r>
        <w:rPr>
          <w:rFonts w:ascii="宋体" w:eastAsia="宋体" w:hAnsi="宋体"/>
          <w:color w:val="C00000"/>
          <w:sz w:val="18"/>
          <w:szCs w:val="18"/>
        </w:rPr>
        <w:t>原来是第一审案件</w:t>
      </w:r>
      <w:r>
        <w:rPr>
          <w:rFonts w:ascii="宋体" w:eastAsia="宋体" w:hAnsi="宋体"/>
          <w:sz w:val="18"/>
          <w:szCs w:val="18"/>
        </w:rPr>
        <w:t>，接受抗诉的人民法院应当</w:t>
      </w:r>
      <w:r>
        <w:rPr>
          <w:rFonts w:ascii="宋体" w:eastAsia="宋体" w:hAnsi="宋体"/>
          <w:color w:val="C00000"/>
          <w:sz w:val="18"/>
          <w:szCs w:val="18"/>
        </w:rPr>
        <w:t>指令第一审人民法院依照第一审程序进行审判</w:t>
      </w:r>
      <w:r>
        <w:rPr>
          <w:rFonts w:ascii="宋体" w:eastAsia="宋体" w:hAnsi="宋体"/>
          <w:sz w:val="18"/>
          <w:szCs w:val="18"/>
        </w:rPr>
        <w:t>，所作的判决、裁定，可以上诉、抗诉；如果</w:t>
      </w:r>
      <w:r>
        <w:rPr>
          <w:rFonts w:ascii="宋体" w:eastAsia="宋体" w:hAnsi="宋体"/>
          <w:color w:val="C00000"/>
          <w:sz w:val="18"/>
          <w:szCs w:val="18"/>
        </w:rPr>
        <w:t>原来是第二审案件</w:t>
      </w:r>
      <w:r>
        <w:rPr>
          <w:rFonts w:ascii="宋体" w:eastAsia="宋体" w:hAnsi="宋体"/>
          <w:sz w:val="18"/>
          <w:szCs w:val="18"/>
        </w:rPr>
        <w:t>，接受抗诉的人民法院应当</w:t>
      </w:r>
      <w:r>
        <w:rPr>
          <w:rFonts w:ascii="宋体" w:eastAsia="宋体" w:hAnsi="宋体"/>
          <w:color w:val="C00000"/>
          <w:sz w:val="18"/>
          <w:szCs w:val="18"/>
        </w:rPr>
        <w:t>指令第二审人民法院依照第二审程序进行审判</w:t>
      </w:r>
      <w:r>
        <w:rPr>
          <w:rFonts w:ascii="宋体" w:eastAsia="宋体" w:hAnsi="宋体"/>
          <w:sz w:val="18"/>
          <w:szCs w:val="18"/>
        </w:rPr>
        <w:t>，所作的判决、裁定，是终审的判决、裁定。</w:t>
      </w:r>
    </w:p>
    <w:p w14:paraId="7135B928" w14:textId="2A538651" w:rsidR="00464ADF" w:rsidRDefault="00000000">
      <w:pPr>
        <w:pStyle w:val="1"/>
        <w:tabs>
          <w:tab w:val="left" w:pos="420"/>
        </w:tabs>
        <w:spacing w:before="0" w:after="0" w:line="240" w:lineRule="auto"/>
        <w:jc w:val="center"/>
        <w:rPr>
          <w:rFonts w:ascii="宋体" w:hAnsi="宋体" w:hint="eastAsia"/>
          <w:bCs w:val="0"/>
          <w:sz w:val="18"/>
          <w:szCs w:val="18"/>
        </w:rPr>
      </w:pPr>
      <w:bookmarkStart w:id="76" w:name="_Toc510879160"/>
      <w:bookmarkStart w:id="77" w:name="_Toc136521799"/>
      <w:bookmarkStart w:id="78" w:name="_Toc20993"/>
      <w:bookmarkStart w:id="79" w:name="_Toc4844154"/>
      <w:r>
        <w:rPr>
          <w:rFonts w:ascii="宋体" w:hAnsi="宋体" w:hint="eastAsia"/>
          <w:bCs w:val="0"/>
          <w:sz w:val="18"/>
          <w:szCs w:val="18"/>
        </w:rPr>
        <w:t>考点</w:t>
      </w:r>
      <w:r>
        <w:rPr>
          <w:rFonts w:ascii="宋体" w:hAnsi="宋体"/>
          <w:bCs w:val="0"/>
          <w:sz w:val="18"/>
          <w:szCs w:val="18"/>
        </w:rPr>
        <w:t>59</w:t>
      </w:r>
      <w:r>
        <w:rPr>
          <w:rFonts w:ascii="宋体" w:hAnsi="宋体" w:hint="eastAsia"/>
          <w:bCs w:val="0"/>
          <w:sz w:val="18"/>
          <w:szCs w:val="18"/>
        </w:rPr>
        <w:t xml:space="preserve">  重新审判的程序和审判后的处理</w:t>
      </w:r>
      <w:bookmarkEnd w:id="76"/>
      <w:bookmarkEnd w:id="77"/>
      <w:bookmarkEnd w:id="78"/>
      <w:bookmarkEnd w:id="79"/>
      <w:r w:rsidR="000612DA">
        <w:rPr>
          <w:rFonts w:ascii="宋体" w:hAnsi="宋体" w:cs="宋体" w:hint="eastAsia"/>
          <w:bCs w:val="0"/>
          <w:sz w:val="18"/>
          <w:szCs w:val="18"/>
        </w:rPr>
        <w:t>（</w:t>
      </w:r>
      <w:r w:rsidR="009A3AE9">
        <w:rPr>
          <w:rFonts w:ascii="宋体" w:hAnsi="宋体" w:cs="宋体" w:hint="eastAsia"/>
          <w:bCs w:val="0"/>
          <w:sz w:val="18"/>
          <w:szCs w:val="18"/>
        </w:rPr>
        <w:t>12</w:t>
      </w:r>
      <w:r w:rsidR="000612DA">
        <w:rPr>
          <w:rFonts w:ascii="宋体" w:hAnsi="宋体" w:cs="宋体" w:hint="eastAsia"/>
          <w:bCs w:val="0"/>
          <w:sz w:val="18"/>
          <w:szCs w:val="18"/>
        </w:rPr>
        <w:t>:</w:t>
      </w:r>
      <w:r w:rsidR="009A3AE9">
        <w:rPr>
          <w:rFonts w:ascii="宋体" w:hAnsi="宋体" w:cs="宋体" w:hint="eastAsia"/>
          <w:bCs w:val="0"/>
          <w:sz w:val="18"/>
          <w:szCs w:val="18"/>
        </w:rPr>
        <w:t>06</w:t>
      </w:r>
      <w:r w:rsidR="000612DA">
        <w:rPr>
          <w:rFonts w:ascii="宋体" w:hAnsi="宋体" w:cs="宋体" w:hint="eastAsia"/>
          <w:bCs w:val="0"/>
          <w:sz w:val="18"/>
          <w:szCs w:val="18"/>
        </w:rPr>
        <w:t>:00-</w:t>
      </w:r>
      <w:r w:rsidR="009A3AE9">
        <w:rPr>
          <w:rFonts w:ascii="宋体" w:hAnsi="宋体" w:cs="宋体" w:hint="eastAsia"/>
          <w:bCs w:val="0"/>
          <w:sz w:val="18"/>
          <w:szCs w:val="18"/>
        </w:rPr>
        <w:t>12</w:t>
      </w:r>
      <w:r w:rsidR="000612DA">
        <w:rPr>
          <w:rFonts w:ascii="宋体" w:hAnsi="宋体" w:cs="宋体" w:hint="eastAsia"/>
          <w:bCs w:val="0"/>
          <w:sz w:val="18"/>
          <w:szCs w:val="18"/>
        </w:rPr>
        <w:t>:</w:t>
      </w:r>
      <w:r w:rsidR="009A3AE9">
        <w:rPr>
          <w:rFonts w:ascii="宋体" w:hAnsi="宋体" w:cs="宋体" w:hint="eastAsia"/>
          <w:bCs w:val="0"/>
          <w:sz w:val="18"/>
          <w:szCs w:val="18"/>
        </w:rPr>
        <w:t>08</w:t>
      </w:r>
      <w:r w:rsidR="000612DA">
        <w:rPr>
          <w:rFonts w:ascii="宋体" w:hAnsi="宋体" w:cs="宋体" w:hint="eastAsia"/>
          <w:bCs w:val="0"/>
          <w:sz w:val="18"/>
          <w:szCs w:val="18"/>
        </w:rPr>
        <w:t>:00）</w:t>
      </w:r>
    </w:p>
    <w:p w14:paraId="350D1CA8" w14:textId="77777777" w:rsidR="00464ADF" w:rsidRDefault="00000000">
      <w:pPr>
        <w:ind w:firstLineChars="200" w:firstLine="360"/>
        <w:rPr>
          <w:rFonts w:ascii="宋体" w:eastAsia="宋体" w:hAnsi="宋体" w:hint="eastAsia"/>
          <w:sz w:val="18"/>
          <w:szCs w:val="18"/>
        </w:rPr>
      </w:pPr>
      <w:bookmarkStart w:id="80" w:name="_Toc510879162"/>
      <w:r>
        <w:rPr>
          <w:rFonts w:ascii="宋体" w:eastAsia="宋体" w:hAnsi="宋体" w:hint="eastAsia"/>
          <w:sz w:val="18"/>
          <w:szCs w:val="18"/>
        </w:rPr>
        <w:t>一、对决定依照审判监督程序重新审判的案件，人民法院</w:t>
      </w:r>
      <w:r>
        <w:rPr>
          <w:rFonts w:ascii="宋体" w:eastAsia="宋体" w:hAnsi="宋体" w:hint="eastAsia"/>
          <w:color w:val="C00000"/>
          <w:sz w:val="18"/>
          <w:szCs w:val="18"/>
        </w:rPr>
        <w:t>应当制作</w:t>
      </w:r>
      <w:r>
        <w:rPr>
          <w:rFonts w:ascii="宋体" w:eastAsia="宋体" w:hAnsi="宋体" w:hint="eastAsia"/>
          <w:sz w:val="18"/>
          <w:szCs w:val="18"/>
        </w:rPr>
        <w:t>再审决定书</w:t>
      </w:r>
    </w:p>
    <w:p w14:paraId="53112CE0"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二、中止执行与强制措施</w:t>
      </w:r>
      <w:bookmarkEnd w:id="80"/>
    </w:p>
    <w:p w14:paraId="54F37107" w14:textId="77777777" w:rsidR="00464ADF" w:rsidRDefault="00000000">
      <w:pPr>
        <w:ind w:firstLineChars="200" w:firstLine="361"/>
        <w:rPr>
          <w:rFonts w:ascii="宋体" w:eastAsia="宋体" w:hAnsi="宋体" w:hint="eastAsia"/>
          <w:b/>
          <w:bCs/>
          <w:color w:val="B00824"/>
          <w:sz w:val="18"/>
          <w:szCs w:val="18"/>
        </w:rPr>
      </w:pPr>
      <w:r>
        <w:rPr>
          <w:rFonts w:ascii="宋体" w:eastAsia="宋体" w:hAnsi="宋体" w:hint="eastAsia"/>
          <w:b/>
          <w:bCs/>
          <w:color w:val="B00824"/>
          <w:sz w:val="18"/>
          <w:szCs w:val="18"/>
        </w:rPr>
        <w:lastRenderedPageBreak/>
        <w:t>再审期间不停止原判决、裁定的执行。</w:t>
      </w:r>
    </w:p>
    <w:p w14:paraId="1A4409B7" w14:textId="77777777" w:rsidR="00464ADF" w:rsidRDefault="00000000">
      <w:pPr>
        <w:ind w:firstLineChars="200" w:firstLine="361"/>
        <w:rPr>
          <w:rFonts w:ascii="宋体" w:eastAsia="宋体" w:hAnsi="宋体" w:hint="eastAsia"/>
          <w:b/>
          <w:bCs/>
          <w:color w:val="B00824"/>
          <w:sz w:val="18"/>
          <w:szCs w:val="18"/>
        </w:rPr>
      </w:pPr>
      <w:r>
        <w:rPr>
          <w:rFonts w:ascii="宋体" w:eastAsia="宋体" w:hAnsi="宋体" w:hint="eastAsia"/>
          <w:b/>
          <w:bCs/>
          <w:color w:val="B00824"/>
          <w:sz w:val="18"/>
          <w:szCs w:val="18"/>
        </w:rPr>
        <w:t>可以决定中止执行的情形：（1）被告人可能经再审改判无罪；（2）被告人可能经再审减轻原判刑罚而致刑期届满。</w:t>
      </w:r>
    </w:p>
    <w:p w14:paraId="3F3561BC" w14:textId="77777777" w:rsidR="00464ADF" w:rsidRDefault="00000000">
      <w:pPr>
        <w:ind w:firstLineChars="200" w:firstLine="361"/>
        <w:rPr>
          <w:rFonts w:ascii="宋体" w:eastAsia="宋体" w:hAnsi="宋体" w:hint="eastAsia"/>
          <w:b/>
          <w:bCs/>
          <w:color w:val="B00824"/>
          <w:sz w:val="18"/>
          <w:szCs w:val="18"/>
        </w:rPr>
      </w:pPr>
      <w:r>
        <w:rPr>
          <w:rFonts w:ascii="宋体" w:eastAsia="宋体" w:hAnsi="宋体" w:hint="eastAsia"/>
          <w:b/>
          <w:bCs/>
          <w:color w:val="B00824"/>
          <w:sz w:val="18"/>
          <w:szCs w:val="18"/>
        </w:rPr>
        <w:t>必要时，可以对被告人采取取保候审、监视居住措施。</w:t>
      </w:r>
    </w:p>
    <w:p w14:paraId="7DF3423C" w14:textId="77777777" w:rsidR="00464ADF" w:rsidRDefault="00000000">
      <w:pPr>
        <w:ind w:firstLineChars="200" w:firstLine="361"/>
        <w:rPr>
          <w:rFonts w:ascii="宋体" w:eastAsia="宋体" w:hAnsi="宋体" w:hint="eastAsia"/>
          <w:color w:val="B00824"/>
          <w:sz w:val="18"/>
          <w:szCs w:val="18"/>
        </w:rPr>
      </w:pPr>
      <w:r>
        <w:rPr>
          <w:rFonts w:ascii="宋体" w:eastAsia="宋体" w:hAnsi="宋体"/>
          <w:b/>
          <w:bCs/>
          <w:color w:val="B00824"/>
          <w:sz w:val="18"/>
          <w:szCs w:val="18"/>
        </w:rPr>
        <w:t>人民法院决定再审</w:t>
      </w:r>
      <w:r>
        <w:rPr>
          <w:rFonts w:ascii="宋体" w:eastAsia="宋体" w:hAnsi="宋体"/>
          <w:color w:val="B00824"/>
          <w:sz w:val="18"/>
          <w:szCs w:val="18"/>
        </w:rPr>
        <w:t>的案件，需要对被告人采取强制措施的，</w:t>
      </w:r>
      <w:r>
        <w:rPr>
          <w:rFonts w:ascii="宋体" w:eastAsia="宋体" w:hAnsi="宋体"/>
          <w:b/>
          <w:bCs/>
          <w:color w:val="B00824"/>
          <w:sz w:val="18"/>
          <w:szCs w:val="18"/>
        </w:rPr>
        <w:t>由人民法院依法决定</w:t>
      </w:r>
      <w:r>
        <w:rPr>
          <w:rFonts w:ascii="宋体" w:eastAsia="宋体" w:hAnsi="宋体" w:hint="eastAsia"/>
          <w:color w:val="B00824"/>
          <w:sz w:val="18"/>
          <w:szCs w:val="18"/>
        </w:rPr>
        <w:t>；</w:t>
      </w:r>
      <w:r>
        <w:rPr>
          <w:rFonts w:ascii="宋体" w:eastAsia="宋体" w:hAnsi="宋体"/>
          <w:color w:val="B00824"/>
          <w:sz w:val="18"/>
          <w:szCs w:val="18"/>
        </w:rPr>
        <w:t>人民检察院提出抗诉的再审案件，需要对被告人采取强制措施的，由人民检察院依法决定。</w:t>
      </w:r>
      <w:r>
        <w:rPr>
          <w:rFonts w:ascii="宋体" w:eastAsia="宋体" w:hAnsi="宋体" w:hint="eastAsia"/>
          <w:color w:val="B00824"/>
          <w:sz w:val="18"/>
          <w:szCs w:val="18"/>
        </w:rPr>
        <w:t>（谁发动谁决定）</w:t>
      </w:r>
    </w:p>
    <w:p w14:paraId="7840E8EF" w14:textId="77777777" w:rsidR="00464ADF" w:rsidRDefault="00000000">
      <w:pPr>
        <w:pStyle w:val="3"/>
        <w:spacing w:line="240" w:lineRule="auto"/>
        <w:ind w:firstLineChars="200" w:firstLine="360"/>
        <w:rPr>
          <w:rFonts w:eastAsia="宋体" w:hint="eastAsia"/>
          <w:b/>
          <w:sz w:val="18"/>
          <w:szCs w:val="18"/>
        </w:rPr>
      </w:pPr>
      <w:bookmarkStart w:id="81" w:name="_Toc510879163"/>
      <w:r>
        <w:rPr>
          <w:rFonts w:eastAsia="宋体" w:hint="eastAsia"/>
          <w:sz w:val="18"/>
          <w:szCs w:val="18"/>
        </w:rPr>
        <w:t>三、审理程序</w:t>
      </w:r>
      <w:bookmarkEnd w:id="81"/>
    </w:p>
    <w:p w14:paraId="6D3523D0" w14:textId="77777777" w:rsidR="00464ADF" w:rsidRDefault="00000000">
      <w:pPr>
        <w:pStyle w:val="4"/>
        <w:tabs>
          <w:tab w:val="left" w:pos="420"/>
        </w:tabs>
        <w:spacing w:before="0" w:after="0" w:line="240" w:lineRule="auto"/>
        <w:ind w:firstLineChars="200" w:firstLine="360"/>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（一）适用程序</w:t>
      </w:r>
    </w:p>
    <w:p w14:paraId="2AABE0AB" w14:textId="77777777" w:rsidR="00464ADF" w:rsidRDefault="00000000">
      <w:pPr>
        <w:ind w:firstLineChars="200" w:firstLine="361"/>
        <w:rPr>
          <w:rFonts w:ascii="宋体" w:eastAsia="宋体" w:hAnsi="宋体" w:hint="eastAsia"/>
          <w:color w:val="B00824"/>
          <w:sz w:val="18"/>
          <w:szCs w:val="18"/>
        </w:rPr>
      </w:pPr>
      <w:r>
        <w:rPr>
          <w:rFonts w:ascii="宋体" w:eastAsia="宋体" w:hAnsi="宋体"/>
          <w:b/>
          <w:bCs/>
          <w:color w:val="C00000"/>
          <w:sz w:val="18"/>
          <w:szCs w:val="18"/>
        </w:rPr>
        <w:t>如果原来是第一审案件，</w:t>
      </w:r>
      <w:r>
        <w:rPr>
          <w:rFonts w:ascii="宋体" w:eastAsia="宋体" w:hAnsi="宋体"/>
          <w:color w:val="B00824"/>
          <w:sz w:val="18"/>
          <w:szCs w:val="18"/>
        </w:rPr>
        <w:t>应当依照第一审程序进行审判，所作的判决、裁定，可以上诉、抗诉</w:t>
      </w:r>
      <w:r>
        <w:rPr>
          <w:rFonts w:ascii="宋体" w:eastAsia="宋体" w:hAnsi="宋体" w:hint="eastAsia"/>
          <w:color w:val="B00824"/>
          <w:sz w:val="18"/>
          <w:szCs w:val="18"/>
        </w:rPr>
        <w:t>；</w:t>
      </w:r>
      <w:r>
        <w:rPr>
          <w:rFonts w:ascii="宋体" w:eastAsia="宋体" w:hAnsi="宋体"/>
          <w:b/>
          <w:bCs/>
          <w:color w:val="B00824"/>
          <w:sz w:val="18"/>
          <w:szCs w:val="18"/>
        </w:rPr>
        <w:t>如果原来是第二审案件，</w:t>
      </w:r>
      <w:r>
        <w:rPr>
          <w:rFonts w:ascii="宋体" w:eastAsia="宋体" w:hAnsi="宋体"/>
          <w:color w:val="B00824"/>
          <w:sz w:val="18"/>
          <w:szCs w:val="18"/>
        </w:rPr>
        <w:t>或者是上级人民法院提审的案件，应当依照第二审程序进行审判，所作的判决、裁定，是终审的判决、裁定。</w:t>
      </w:r>
    </w:p>
    <w:p w14:paraId="1ED6CE93" w14:textId="77777777" w:rsidR="00464ADF" w:rsidRDefault="00000000">
      <w:pPr>
        <w:pStyle w:val="4"/>
        <w:tabs>
          <w:tab w:val="left" w:pos="420"/>
        </w:tabs>
        <w:spacing w:before="0" w:after="0" w:line="240" w:lineRule="auto"/>
        <w:ind w:firstLineChars="200" w:firstLine="360"/>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（二）审理方式：</w:t>
      </w:r>
      <w:r>
        <w:rPr>
          <w:rFonts w:ascii="宋体" w:eastAsia="宋体" w:hAnsi="宋体" w:hint="eastAsia"/>
          <w:b w:val="0"/>
          <w:bCs w:val="0"/>
          <w:sz w:val="18"/>
          <w:szCs w:val="18"/>
        </w:rPr>
        <w:t>1．开庭审理：原则上开庭审理。2．不开庭审理：</w:t>
      </w:r>
      <w:r>
        <w:rPr>
          <w:rFonts w:ascii="宋体" w:eastAsia="宋体" w:hAnsi="宋体"/>
          <w:b w:val="0"/>
          <w:bCs w:val="0"/>
          <w:color w:val="B00824"/>
          <w:sz w:val="18"/>
          <w:szCs w:val="18"/>
        </w:rPr>
        <w:t>对原审被告人、原审自诉人已经死亡或者丧失行为能力的再审案件，可以不开庭审理</w:t>
      </w:r>
      <w:r>
        <w:rPr>
          <w:rFonts w:ascii="宋体" w:eastAsia="宋体" w:hAnsi="宋体" w:hint="eastAsia"/>
          <w:b w:val="0"/>
          <w:bCs w:val="0"/>
          <w:color w:val="B00824"/>
          <w:sz w:val="18"/>
          <w:szCs w:val="18"/>
        </w:rPr>
        <w:t>。</w:t>
      </w:r>
    </w:p>
    <w:p w14:paraId="31BF97B3" w14:textId="77777777" w:rsidR="00464ADF" w:rsidRDefault="00000000">
      <w:pPr>
        <w:pStyle w:val="4"/>
        <w:tabs>
          <w:tab w:val="left" w:pos="420"/>
        </w:tabs>
        <w:spacing w:before="0" w:after="0" w:line="240" w:lineRule="auto"/>
        <w:ind w:firstLineChars="200" w:firstLine="360"/>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（三）参加人员</w:t>
      </w:r>
    </w:p>
    <w:p w14:paraId="1E2B6DA5" w14:textId="77777777" w:rsidR="00464ADF" w:rsidRDefault="00000000">
      <w:pPr>
        <w:pStyle w:val="4"/>
        <w:tabs>
          <w:tab w:val="left" w:pos="420"/>
        </w:tabs>
        <w:spacing w:before="0" w:after="0" w:line="240" w:lineRule="auto"/>
        <w:ind w:firstLineChars="200" w:firstLine="360"/>
        <w:jc w:val="left"/>
        <w:rPr>
          <w:rFonts w:ascii="宋体" w:eastAsia="宋体" w:hAnsi="宋体" w:hint="eastAsia"/>
          <w:b w:val="0"/>
          <w:color w:val="C00000"/>
          <w:sz w:val="18"/>
          <w:szCs w:val="18"/>
        </w:rPr>
      </w:pPr>
      <w:r>
        <w:rPr>
          <w:rFonts w:ascii="宋体" w:eastAsia="宋体" w:hAnsi="宋体" w:hint="eastAsia"/>
          <w:b w:val="0"/>
          <w:color w:val="C00000"/>
          <w:sz w:val="18"/>
          <w:szCs w:val="18"/>
        </w:rPr>
        <w:t>由原审人民法院审理的，应当另行组成合议庭进行。开庭审理的，同级人民检察院应当派员出席法庭。开庭审理的，再审决定书或者抗诉书只针对部分原审被告人，其他同案原审被告人不出庭不影响审理的，可以不出庭参加诉讼。</w:t>
      </w:r>
    </w:p>
    <w:p w14:paraId="031A0E97" w14:textId="77777777" w:rsidR="00464ADF" w:rsidRDefault="00000000">
      <w:pPr>
        <w:pStyle w:val="4"/>
        <w:tabs>
          <w:tab w:val="left" w:pos="420"/>
        </w:tabs>
        <w:spacing w:before="0" w:after="0" w:line="240" w:lineRule="auto"/>
        <w:ind w:firstLineChars="200" w:firstLine="360"/>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（四）审理范围：对依照审判监督程序重新审判的案件，</w:t>
      </w:r>
      <w:r>
        <w:rPr>
          <w:rFonts w:ascii="宋体" w:eastAsia="宋体" w:hAnsi="宋体" w:hint="eastAsia"/>
          <w:b w:val="0"/>
          <w:color w:val="C00000"/>
          <w:sz w:val="18"/>
          <w:szCs w:val="18"/>
        </w:rPr>
        <w:t>人民法院在依照第一审程序进行审判的过程中，发现原审被告人还有其他犯罪的，一般应当并案审理，但分案审理更为适宜的，可以分案审理</w:t>
      </w:r>
      <w:r>
        <w:rPr>
          <w:rFonts w:ascii="宋体" w:eastAsia="宋体" w:hAnsi="宋体" w:hint="eastAsia"/>
          <w:b w:val="0"/>
          <w:color w:val="000000" w:themeColor="text1"/>
          <w:sz w:val="18"/>
          <w:szCs w:val="18"/>
        </w:rPr>
        <w:t>。</w:t>
      </w:r>
    </w:p>
    <w:p w14:paraId="19AE5A73" w14:textId="77777777" w:rsidR="00464ADF" w:rsidRDefault="00000000">
      <w:pPr>
        <w:pStyle w:val="4"/>
        <w:tabs>
          <w:tab w:val="left" w:pos="420"/>
        </w:tabs>
        <w:spacing w:before="0" w:after="0" w:line="240" w:lineRule="auto"/>
        <w:ind w:firstLineChars="200" w:firstLine="360"/>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（五）撤诉和按撤诉处理</w:t>
      </w:r>
    </w:p>
    <w:p w14:paraId="50D0ABF8" w14:textId="77777777" w:rsidR="00464ADF" w:rsidRDefault="00000000">
      <w:pPr>
        <w:ind w:firstLineChars="200" w:firstLine="348"/>
        <w:rPr>
          <w:rFonts w:ascii="宋体" w:eastAsia="宋体" w:hAnsi="宋体" w:hint="eastAsia"/>
          <w:color w:val="C00000"/>
          <w:spacing w:val="-3"/>
          <w:sz w:val="18"/>
          <w:szCs w:val="18"/>
        </w:rPr>
      </w:pPr>
      <w:r>
        <w:rPr>
          <w:rFonts w:ascii="宋体" w:eastAsia="宋体" w:hAnsi="宋体" w:hint="eastAsia"/>
          <w:spacing w:val="-3"/>
          <w:sz w:val="18"/>
          <w:szCs w:val="18"/>
        </w:rPr>
        <w:t>人民法院审理人民检察院抗诉的再审案件，</w:t>
      </w:r>
      <w:r>
        <w:rPr>
          <w:rFonts w:ascii="宋体" w:eastAsia="宋体" w:hAnsi="宋体" w:hint="eastAsia"/>
          <w:color w:val="C00000"/>
          <w:spacing w:val="-3"/>
          <w:sz w:val="18"/>
          <w:szCs w:val="18"/>
        </w:rPr>
        <w:t>人民检察院在开庭审理前撤回抗诉的，应当裁定准许；人民检察院接到出庭通知后不派员出庭，且未说明原因的，可以裁定按撤回抗诉处理，并通知诉讼参与人。</w:t>
      </w:r>
    </w:p>
    <w:p w14:paraId="706230CB" w14:textId="77777777" w:rsidR="00464ADF" w:rsidRDefault="00000000">
      <w:pPr>
        <w:ind w:firstLineChars="200" w:firstLine="349"/>
        <w:rPr>
          <w:rFonts w:ascii="宋体" w:eastAsia="宋体" w:hAnsi="宋体" w:hint="eastAsia"/>
          <w:spacing w:val="-3"/>
          <w:sz w:val="18"/>
          <w:szCs w:val="18"/>
        </w:rPr>
      </w:pPr>
      <w:r>
        <w:rPr>
          <w:rFonts w:ascii="宋体" w:eastAsia="宋体" w:hAnsi="宋体"/>
          <w:b/>
          <w:bCs/>
          <w:color w:val="C00000"/>
          <w:spacing w:val="-3"/>
          <w:sz w:val="18"/>
          <w:szCs w:val="18"/>
        </w:rPr>
        <w:t>人民法院审理申诉人申诉的再审案件</w:t>
      </w:r>
      <w:r>
        <w:rPr>
          <w:rFonts w:ascii="宋体" w:eastAsia="宋体" w:hAnsi="宋体"/>
          <w:spacing w:val="-3"/>
          <w:sz w:val="18"/>
          <w:szCs w:val="18"/>
        </w:rPr>
        <w:t>，申诉人</w:t>
      </w:r>
      <w:r>
        <w:rPr>
          <w:rFonts w:ascii="宋体" w:eastAsia="宋体" w:hAnsi="宋体"/>
          <w:color w:val="B00824"/>
          <w:spacing w:val="-3"/>
          <w:sz w:val="18"/>
          <w:szCs w:val="18"/>
        </w:rPr>
        <w:t>在再审期间</w:t>
      </w:r>
      <w:r>
        <w:rPr>
          <w:rFonts w:ascii="宋体" w:eastAsia="宋体" w:hAnsi="宋体"/>
          <w:spacing w:val="-3"/>
          <w:sz w:val="18"/>
          <w:szCs w:val="18"/>
        </w:rPr>
        <w:t>撤回申诉的，</w:t>
      </w:r>
      <w:r>
        <w:rPr>
          <w:rFonts w:ascii="宋体" w:eastAsia="宋体" w:hAnsi="宋体" w:hint="eastAsia"/>
          <w:b/>
          <w:bCs/>
          <w:color w:val="B00824"/>
          <w:spacing w:val="-3"/>
          <w:sz w:val="18"/>
          <w:szCs w:val="18"/>
        </w:rPr>
        <w:t>可以</w:t>
      </w:r>
      <w:r>
        <w:rPr>
          <w:rFonts w:ascii="宋体" w:eastAsia="宋体" w:hAnsi="宋体"/>
          <w:b/>
          <w:bCs/>
          <w:color w:val="B00824"/>
          <w:spacing w:val="-3"/>
          <w:sz w:val="18"/>
          <w:szCs w:val="18"/>
        </w:rPr>
        <w:t>裁定准许</w:t>
      </w:r>
      <w:r>
        <w:rPr>
          <w:rFonts w:ascii="宋体" w:eastAsia="宋体" w:hAnsi="宋体"/>
          <w:color w:val="B00824"/>
          <w:spacing w:val="-3"/>
          <w:sz w:val="18"/>
          <w:szCs w:val="18"/>
        </w:rPr>
        <w:t>；</w:t>
      </w:r>
      <w:r>
        <w:rPr>
          <w:rFonts w:ascii="宋体" w:eastAsia="宋体" w:hAnsi="宋体" w:hint="eastAsia"/>
          <w:b/>
          <w:bCs/>
          <w:color w:val="B00824"/>
          <w:spacing w:val="-3"/>
          <w:sz w:val="18"/>
          <w:szCs w:val="18"/>
        </w:rPr>
        <w:t>但认为原判确有错误的，应当不予准许</w:t>
      </w:r>
      <w:r>
        <w:rPr>
          <w:rFonts w:ascii="宋体" w:eastAsia="宋体" w:hAnsi="宋体" w:hint="eastAsia"/>
          <w:color w:val="B00824"/>
          <w:spacing w:val="-3"/>
          <w:sz w:val="18"/>
          <w:szCs w:val="18"/>
        </w:rPr>
        <w:t>，继续按照再审案件审理</w:t>
      </w:r>
      <w:r>
        <w:rPr>
          <w:rFonts w:ascii="宋体" w:eastAsia="宋体" w:hAnsi="宋体" w:hint="eastAsia"/>
          <w:spacing w:val="-3"/>
          <w:sz w:val="18"/>
          <w:szCs w:val="18"/>
        </w:rPr>
        <w:t>。</w:t>
      </w:r>
      <w:r>
        <w:rPr>
          <w:rFonts w:ascii="宋体" w:eastAsia="宋体" w:hAnsi="宋体"/>
          <w:spacing w:val="-3"/>
          <w:sz w:val="18"/>
          <w:szCs w:val="18"/>
        </w:rPr>
        <w:t>申诉人经依法通知无正当理由拒不到庭，或者未经法庭许可中途退庭的，应当裁定按撤回申诉处理，但</w:t>
      </w:r>
      <w:r>
        <w:rPr>
          <w:rFonts w:ascii="宋体" w:eastAsia="宋体" w:hAnsi="宋体"/>
          <w:b/>
          <w:bCs/>
          <w:color w:val="B00824"/>
          <w:spacing w:val="-3"/>
          <w:sz w:val="18"/>
          <w:szCs w:val="18"/>
        </w:rPr>
        <w:t>申诉人不是原审当事人的除外</w:t>
      </w:r>
      <w:r>
        <w:rPr>
          <w:rFonts w:ascii="宋体" w:eastAsia="宋体" w:hAnsi="宋体"/>
          <w:spacing w:val="-3"/>
          <w:sz w:val="18"/>
          <w:szCs w:val="18"/>
        </w:rPr>
        <w:t>。</w:t>
      </w:r>
    </w:p>
    <w:p w14:paraId="01F6C493" w14:textId="77777777" w:rsidR="00464ADF" w:rsidRDefault="00000000">
      <w:pPr>
        <w:pStyle w:val="3"/>
        <w:spacing w:line="240" w:lineRule="auto"/>
        <w:ind w:firstLineChars="200" w:firstLine="360"/>
        <w:rPr>
          <w:rFonts w:eastAsia="宋体" w:hint="eastAsia"/>
          <w:b/>
          <w:sz w:val="18"/>
          <w:szCs w:val="18"/>
        </w:rPr>
      </w:pPr>
      <w:bookmarkStart w:id="82" w:name="_Toc510879164"/>
      <w:r>
        <w:rPr>
          <w:rFonts w:eastAsia="宋体" w:hint="eastAsia"/>
          <w:sz w:val="18"/>
          <w:szCs w:val="18"/>
        </w:rPr>
        <w:t>四、重新审判后的处理</w:t>
      </w:r>
      <w:bookmarkEnd w:id="82"/>
      <w:r>
        <w:rPr>
          <w:rFonts w:eastAsia="宋体" w:hint="eastAsia"/>
          <w:sz w:val="18"/>
          <w:szCs w:val="18"/>
        </w:rPr>
        <w:t>：</w:t>
      </w:r>
      <w:r>
        <w:rPr>
          <w:rFonts w:eastAsia="宋体"/>
          <w:color w:val="B00824"/>
          <w:sz w:val="18"/>
          <w:szCs w:val="18"/>
        </w:rPr>
        <w:t>除人民检察院抗诉的以外，</w:t>
      </w:r>
      <w:r>
        <w:rPr>
          <w:rFonts w:eastAsia="宋体"/>
          <w:b/>
          <w:bCs/>
          <w:color w:val="B00824"/>
          <w:sz w:val="18"/>
          <w:szCs w:val="18"/>
        </w:rPr>
        <w:t>再审一般不得加重</w:t>
      </w:r>
      <w:r>
        <w:rPr>
          <w:rFonts w:eastAsia="宋体"/>
          <w:color w:val="B00824"/>
          <w:sz w:val="18"/>
          <w:szCs w:val="18"/>
        </w:rPr>
        <w:t>原审被告人的刑罚。</w:t>
      </w:r>
      <w:r>
        <w:rPr>
          <w:rFonts w:eastAsia="宋体"/>
          <w:b/>
          <w:bCs/>
          <w:color w:val="B00824"/>
          <w:sz w:val="18"/>
          <w:szCs w:val="18"/>
        </w:rPr>
        <w:t>再审决定书或者抗诉书只针对部分原审被告人的</w:t>
      </w:r>
      <w:r>
        <w:rPr>
          <w:rFonts w:eastAsia="宋体"/>
          <w:color w:val="B00824"/>
          <w:sz w:val="18"/>
          <w:szCs w:val="18"/>
        </w:rPr>
        <w:t>，不得加重其他同案原审被告人的刑罚。</w:t>
      </w:r>
    </w:p>
    <w:p w14:paraId="72DFF35F" w14:textId="30CD1456" w:rsidR="00464ADF" w:rsidRDefault="00000000">
      <w:pPr>
        <w:pStyle w:val="1"/>
        <w:tabs>
          <w:tab w:val="left" w:pos="420"/>
        </w:tabs>
        <w:spacing w:before="0" w:after="0" w:line="240" w:lineRule="auto"/>
        <w:jc w:val="center"/>
        <w:rPr>
          <w:rFonts w:ascii="宋体" w:hAnsi="宋体" w:hint="eastAsia"/>
          <w:bCs w:val="0"/>
          <w:sz w:val="18"/>
          <w:szCs w:val="18"/>
        </w:rPr>
      </w:pPr>
      <w:bookmarkStart w:id="83" w:name="_Toc31958"/>
      <w:bookmarkStart w:id="84" w:name="_Toc136521800"/>
      <w:r>
        <w:rPr>
          <w:rFonts w:ascii="宋体" w:hAnsi="宋体" w:hint="eastAsia"/>
          <w:bCs w:val="0"/>
          <w:sz w:val="18"/>
          <w:szCs w:val="18"/>
        </w:rPr>
        <w:t>考点6</w:t>
      </w:r>
      <w:r>
        <w:rPr>
          <w:rFonts w:ascii="宋体" w:hAnsi="宋体"/>
          <w:bCs w:val="0"/>
          <w:sz w:val="18"/>
          <w:szCs w:val="18"/>
        </w:rPr>
        <w:t xml:space="preserve">0  </w:t>
      </w:r>
      <w:r>
        <w:rPr>
          <w:rFonts w:ascii="宋体" w:hAnsi="宋体" w:hint="eastAsia"/>
          <w:bCs w:val="0"/>
          <w:sz w:val="18"/>
          <w:szCs w:val="18"/>
        </w:rPr>
        <w:t>在法定刑以下判处刑罚的核准</w:t>
      </w:r>
      <w:bookmarkEnd w:id="83"/>
      <w:bookmarkEnd w:id="84"/>
      <w:r w:rsidR="000612DA">
        <w:rPr>
          <w:rFonts w:ascii="宋体" w:hAnsi="宋体" w:cs="宋体" w:hint="eastAsia"/>
          <w:bCs w:val="0"/>
          <w:sz w:val="18"/>
          <w:szCs w:val="18"/>
        </w:rPr>
        <w:t>（</w:t>
      </w:r>
      <w:r w:rsidR="009A3AE9">
        <w:rPr>
          <w:rFonts w:ascii="宋体" w:hAnsi="宋体" w:cs="宋体" w:hint="eastAsia"/>
          <w:bCs w:val="0"/>
          <w:sz w:val="18"/>
          <w:szCs w:val="18"/>
        </w:rPr>
        <w:t>12</w:t>
      </w:r>
      <w:r w:rsidR="000612DA">
        <w:rPr>
          <w:rFonts w:ascii="宋体" w:hAnsi="宋体" w:cs="宋体" w:hint="eastAsia"/>
          <w:bCs w:val="0"/>
          <w:sz w:val="18"/>
          <w:szCs w:val="18"/>
        </w:rPr>
        <w:t>:08:00-</w:t>
      </w:r>
      <w:r w:rsidR="009A3AE9">
        <w:rPr>
          <w:rFonts w:ascii="宋体" w:hAnsi="宋体" w:cs="宋体" w:hint="eastAsia"/>
          <w:bCs w:val="0"/>
          <w:sz w:val="18"/>
          <w:szCs w:val="18"/>
        </w:rPr>
        <w:t>12</w:t>
      </w:r>
      <w:r w:rsidR="000612DA">
        <w:rPr>
          <w:rFonts w:ascii="宋体" w:hAnsi="宋体" w:cs="宋体" w:hint="eastAsia"/>
          <w:bCs w:val="0"/>
          <w:sz w:val="18"/>
          <w:szCs w:val="18"/>
        </w:rPr>
        <w:t>:1</w:t>
      </w:r>
      <w:r w:rsidR="009A3AE9">
        <w:rPr>
          <w:rFonts w:ascii="宋体" w:hAnsi="宋体" w:cs="宋体" w:hint="eastAsia"/>
          <w:bCs w:val="0"/>
          <w:sz w:val="18"/>
          <w:szCs w:val="18"/>
        </w:rPr>
        <w:t>2</w:t>
      </w:r>
      <w:r w:rsidR="000612DA">
        <w:rPr>
          <w:rFonts w:ascii="宋体" w:hAnsi="宋体" w:cs="宋体" w:hint="eastAsia"/>
          <w:bCs w:val="0"/>
          <w:sz w:val="18"/>
          <w:szCs w:val="18"/>
        </w:rPr>
        <w:t>:00）</w:t>
      </w:r>
    </w:p>
    <w:p w14:paraId="148877A8" w14:textId="77777777" w:rsidR="00464ADF" w:rsidRDefault="00000000">
      <w:pPr>
        <w:pStyle w:val="3"/>
        <w:spacing w:line="240" w:lineRule="auto"/>
        <w:ind w:firstLineChars="200" w:firstLine="360"/>
        <w:rPr>
          <w:rFonts w:eastAsia="宋体" w:hint="eastAsia"/>
          <w:b/>
          <w:sz w:val="18"/>
          <w:szCs w:val="18"/>
        </w:rPr>
      </w:pPr>
      <w:r>
        <w:rPr>
          <w:rFonts w:eastAsia="宋体" w:hint="eastAsia"/>
          <w:sz w:val="18"/>
          <w:szCs w:val="18"/>
        </w:rPr>
        <w:t>一、复核程序</w:t>
      </w:r>
    </w:p>
    <w:p w14:paraId="5263210D" w14:textId="77777777" w:rsidR="00464ADF" w:rsidRDefault="00000000">
      <w:pPr>
        <w:ind w:firstLineChars="200" w:firstLine="361"/>
        <w:rPr>
          <w:rFonts w:ascii="宋体" w:eastAsia="宋体" w:hAnsi="宋体" w:hint="eastAsia"/>
          <w:sz w:val="18"/>
          <w:szCs w:val="18"/>
        </w:rPr>
      </w:pPr>
      <w:r>
        <w:rPr>
          <w:rFonts w:ascii="宋体" w:eastAsia="宋体" w:hAnsi="宋体" w:hint="eastAsia"/>
          <w:b/>
          <w:bCs/>
          <w:color w:val="C00000"/>
          <w:sz w:val="18"/>
          <w:szCs w:val="18"/>
        </w:rPr>
        <w:t>报请最高人民法院核准</w:t>
      </w:r>
      <w:r>
        <w:rPr>
          <w:rFonts w:ascii="宋体" w:eastAsia="宋体" w:hAnsi="宋体" w:hint="eastAsia"/>
          <w:sz w:val="18"/>
          <w:szCs w:val="18"/>
        </w:rPr>
        <w:t>在法定刑以下判处刑罚的案件，应当按照下列情形分别处理：（一）被告人未上诉、人民检察院未抗诉的，在上诉、抗诉期满后三日内报请上一级人民法院复核。</w:t>
      </w:r>
      <w:r>
        <w:rPr>
          <w:rFonts w:ascii="宋体" w:eastAsia="宋体" w:hAnsi="宋体" w:hint="eastAsia"/>
          <w:color w:val="B00824"/>
          <w:sz w:val="18"/>
          <w:szCs w:val="18"/>
        </w:rPr>
        <w:t>上一级人民法院同意原判的，应当</w:t>
      </w:r>
      <w:r>
        <w:rPr>
          <w:rFonts w:ascii="宋体" w:eastAsia="宋体" w:hAnsi="宋体" w:hint="eastAsia"/>
          <w:b/>
          <w:bCs/>
          <w:color w:val="B00824"/>
          <w:sz w:val="18"/>
          <w:szCs w:val="18"/>
        </w:rPr>
        <w:t>书面层报</w:t>
      </w:r>
      <w:r>
        <w:rPr>
          <w:rFonts w:ascii="宋体" w:eastAsia="宋体" w:hAnsi="宋体" w:hint="eastAsia"/>
          <w:color w:val="B00824"/>
          <w:sz w:val="18"/>
          <w:szCs w:val="18"/>
        </w:rPr>
        <w:t>最高人民法院核准；不同意的，应当裁定发回重新审判或者按照第二审程序提审</w:t>
      </w:r>
      <w:r>
        <w:rPr>
          <w:rFonts w:ascii="宋体" w:eastAsia="宋体" w:hAnsi="宋体" w:hint="eastAsia"/>
          <w:sz w:val="18"/>
          <w:szCs w:val="18"/>
        </w:rPr>
        <w:t>。（二）被告人上诉或者人民检察院抗诉的，第二审维持原判，或者改判后仍在法定刑以下判处刑罚的，应当依照前项规定层报最高人民法院核准。</w:t>
      </w:r>
    </w:p>
    <w:p w14:paraId="3FF7D254" w14:textId="77777777" w:rsidR="00464ADF" w:rsidRDefault="00000000">
      <w:pPr>
        <w:pStyle w:val="3"/>
        <w:spacing w:line="240" w:lineRule="auto"/>
        <w:ind w:firstLineChars="200" w:firstLine="360"/>
        <w:rPr>
          <w:rFonts w:eastAsia="宋体" w:hint="eastAsia"/>
          <w:b/>
          <w:sz w:val="18"/>
          <w:szCs w:val="18"/>
        </w:rPr>
      </w:pPr>
      <w:r>
        <w:rPr>
          <w:rFonts w:eastAsia="宋体" w:hint="eastAsia"/>
          <w:sz w:val="18"/>
          <w:szCs w:val="18"/>
        </w:rPr>
        <w:t>二、发回重审的处理</w:t>
      </w:r>
    </w:p>
    <w:p w14:paraId="214CBBDB"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发回</w:t>
      </w:r>
      <w:r>
        <w:rPr>
          <w:rFonts w:ascii="宋体" w:eastAsia="宋体" w:hAnsi="宋体" w:hint="eastAsia"/>
          <w:color w:val="B00824"/>
          <w:sz w:val="18"/>
          <w:szCs w:val="18"/>
        </w:rPr>
        <w:t>第二审</w:t>
      </w:r>
      <w:r>
        <w:rPr>
          <w:rFonts w:ascii="宋体" w:eastAsia="宋体" w:hAnsi="宋体" w:hint="eastAsia"/>
          <w:sz w:val="18"/>
          <w:szCs w:val="18"/>
        </w:rPr>
        <w:t>人民法院重新审判的案件，第二审人民法院可以直接改判；</w:t>
      </w:r>
      <w:r>
        <w:rPr>
          <w:rFonts w:ascii="宋体" w:eastAsia="宋体" w:hAnsi="宋体" w:hint="eastAsia"/>
          <w:color w:val="B00824"/>
          <w:sz w:val="18"/>
          <w:szCs w:val="18"/>
        </w:rPr>
        <w:t>必须通过开庭查清事实、核实证据或者纠正原审程序违法的，应当开庭审理。</w:t>
      </w:r>
      <w:r>
        <w:rPr>
          <w:rFonts w:ascii="宋体" w:eastAsia="宋体" w:hAnsi="宋体" w:hint="eastAsia"/>
          <w:sz w:val="18"/>
          <w:szCs w:val="18"/>
        </w:rPr>
        <w:t>——如果是发回一审则必须开庭。</w:t>
      </w:r>
    </w:p>
    <w:p w14:paraId="17CF8426" w14:textId="05E4435F" w:rsidR="00464ADF" w:rsidRDefault="00000000">
      <w:pPr>
        <w:pStyle w:val="1"/>
        <w:tabs>
          <w:tab w:val="left" w:pos="420"/>
        </w:tabs>
        <w:spacing w:before="0" w:after="0" w:line="240" w:lineRule="auto"/>
        <w:jc w:val="center"/>
        <w:rPr>
          <w:rFonts w:ascii="宋体" w:hAnsi="宋体" w:hint="eastAsia"/>
          <w:bCs w:val="0"/>
          <w:sz w:val="18"/>
          <w:szCs w:val="18"/>
        </w:rPr>
      </w:pPr>
      <w:bookmarkStart w:id="85" w:name="_Toc18551"/>
      <w:bookmarkStart w:id="86" w:name="_Toc4844156"/>
      <w:bookmarkStart w:id="87" w:name="_Toc136521801"/>
      <w:r>
        <w:rPr>
          <w:rFonts w:ascii="宋体" w:hAnsi="宋体" w:hint="eastAsia"/>
          <w:bCs w:val="0"/>
          <w:sz w:val="18"/>
          <w:szCs w:val="18"/>
        </w:rPr>
        <w:t>考点6</w:t>
      </w:r>
      <w:r>
        <w:rPr>
          <w:rFonts w:ascii="宋体" w:hAnsi="宋体"/>
          <w:bCs w:val="0"/>
          <w:sz w:val="18"/>
          <w:szCs w:val="18"/>
        </w:rPr>
        <w:t>1</w:t>
      </w:r>
      <w:r>
        <w:rPr>
          <w:rFonts w:ascii="宋体" w:hAnsi="宋体" w:hint="eastAsia"/>
          <w:bCs w:val="0"/>
          <w:sz w:val="18"/>
          <w:szCs w:val="18"/>
        </w:rPr>
        <w:t xml:space="preserve">  各种判决、裁定的执行</w:t>
      </w:r>
      <w:bookmarkEnd w:id="85"/>
      <w:bookmarkEnd w:id="86"/>
      <w:bookmarkEnd w:id="87"/>
      <w:r w:rsidR="000612DA">
        <w:rPr>
          <w:rFonts w:ascii="宋体" w:hAnsi="宋体" w:cs="宋体" w:hint="eastAsia"/>
          <w:bCs w:val="0"/>
          <w:sz w:val="18"/>
          <w:szCs w:val="18"/>
        </w:rPr>
        <w:t>（</w:t>
      </w:r>
      <w:r w:rsidR="009A3AE9">
        <w:rPr>
          <w:rFonts w:ascii="宋体" w:hAnsi="宋体" w:cs="宋体" w:hint="eastAsia"/>
          <w:bCs w:val="0"/>
          <w:sz w:val="18"/>
          <w:szCs w:val="18"/>
        </w:rPr>
        <w:t>12</w:t>
      </w:r>
      <w:r w:rsidR="000612DA">
        <w:rPr>
          <w:rFonts w:ascii="宋体" w:hAnsi="宋体" w:cs="宋体" w:hint="eastAsia"/>
          <w:bCs w:val="0"/>
          <w:sz w:val="18"/>
          <w:szCs w:val="18"/>
        </w:rPr>
        <w:t>:</w:t>
      </w:r>
      <w:r w:rsidR="009A3AE9">
        <w:rPr>
          <w:rFonts w:ascii="宋体" w:hAnsi="宋体" w:cs="宋体" w:hint="eastAsia"/>
          <w:bCs w:val="0"/>
          <w:sz w:val="18"/>
          <w:szCs w:val="18"/>
        </w:rPr>
        <w:t>12</w:t>
      </w:r>
      <w:r w:rsidR="000612DA">
        <w:rPr>
          <w:rFonts w:ascii="宋体" w:hAnsi="宋体" w:cs="宋体" w:hint="eastAsia"/>
          <w:bCs w:val="0"/>
          <w:sz w:val="18"/>
          <w:szCs w:val="18"/>
        </w:rPr>
        <w:t>:00-</w:t>
      </w:r>
      <w:r w:rsidR="007F1471">
        <w:rPr>
          <w:rFonts w:ascii="宋体" w:hAnsi="宋体" w:cs="宋体" w:hint="eastAsia"/>
          <w:bCs w:val="0"/>
          <w:sz w:val="18"/>
          <w:szCs w:val="18"/>
        </w:rPr>
        <w:t>12</w:t>
      </w:r>
      <w:r w:rsidR="000612DA">
        <w:rPr>
          <w:rFonts w:ascii="宋体" w:hAnsi="宋体" w:cs="宋体" w:hint="eastAsia"/>
          <w:bCs w:val="0"/>
          <w:sz w:val="18"/>
          <w:szCs w:val="18"/>
        </w:rPr>
        <w:t>:1</w:t>
      </w:r>
      <w:r w:rsidR="007F1471">
        <w:rPr>
          <w:rFonts w:ascii="宋体" w:hAnsi="宋体" w:cs="宋体" w:hint="eastAsia"/>
          <w:bCs w:val="0"/>
          <w:sz w:val="18"/>
          <w:szCs w:val="18"/>
        </w:rPr>
        <w:t>9</w:t>
      </w:r>
      <w:r w:rsidR="000612DA">
        <w:rPr>
          <w:rFonts w:ascii="宋体" w:hAnsi="宋体" w:cs="宋体" w:hint="eastAsia"/>
          <w:bCs w:val="0"/>
          <w:sz w:val="18"/>
          <w:szCs w:val="18"/>
        </w:rPr>
        <w:t>:00）</w:t>
      </w:r>
    </w:p>
    <w:p w14:paraId="0F0D5324" w14:textId="77777777" w:rsidR="00464ADF" w:rsidRDefault="00000000">
      <w:pPr>
        <w:pStyle w:val="3"/>
        <w:spacing w:line="240" w:lineRule="auto"/>
        <w:ind w:firstLineChars="200" w:firstLine="360"/>
        <w:rPr>
          <w:rFonts w:eastAsia="宋体" w:hint="eastAsia"/>
          <w:sz w:val="18"/>
          <w:szCs w:val="18"/>
        </w:rPr>
      </w:pPr>
      <w:r>
        <w:rPr>
          <w:rFonts w:eastAsia="宋体" w:hint="eastAsia"/>
          <w:sz w:val="18"/>
          <w:szCs w:val="18"/>
        </w:rPr>
        <w:t xml:space="preserve">一、执行的机关  </w:t>
      </w:r>
      <w:r>
        <w:rPr>
          <w:rFonts w:eastAsia="宋体" w:hint="eastAsia"/>
          <w:color w:val="C00000"/>
          <w:sz w:val="18"/>
          <w:szCs w:val="18"/>
        </w:rPr>
        <w:t xml:space="preserve"> 社区矫正机构：管制、缓刑、假释、暂予监外执行</w:t>
      </w:r>
    </w:p>
    <w:p w14:paraId="0D3B3B70" w14:textId="77777777" w:rsidR="00464ADF" w:rsidRDefault="00000000">
      <w:pPr>
        <w:pStyle w:val="3"/>
        <w:spacing w:line="240" w:lineRule="auto"/>
        <w:ind w:firstLineChars="200" w:firstLine="360"/>
        <w:rPr>
          <w:rFonts w:eastAsia="宋体" w:hint="eastAsia"/>
          <w:color w:val="B00824"/>
          <w:sz w:val="18"/>
          <w:szCs w:val="18"/>
        </w:rPr>
      </w:pPr>
      <w:r>
        <w:rPr>
          <w:rFonts w:eastAsia="宋体" w:hint="eastAsia"/>
          <w:sz w:val="18"/>
          <w:szCs w:val="18"/>
        </w:rPr>
        <w:t>二、死刑的执行：最高院院长签发的</w:t>
      </w:r>
      <w:r>
        <w:rPr>
          <w:rFonts w:eastAsia="宋体" w:hint="eastAsia"/>
          <w:color w:val="B00824"/>
          <w:sz w:val="18"/>
          <w:szCs w:val="18"/>
        </w:rPr>
        <w:t>死刑执行令。</w:t>
      </w:r>
    </w:p>
    <w:p w14:paraId="3463E35F" w14:textId="77777777" w:rsidR="00464ADF" w:rsidRDefault="00000000">
      <w:pPr>
        <w:ind w:firstLine="420"/>
        <w:rPr>
          <w:rFonts w:eastAsia="宋体" w:hint="eastAsia"/>
          <w:color w:val="B00824"/>
          <w:sz w:val="18"/>
          <w:szCs w:val="18"/>
        </w:rPr>
      </w:pPr>
      <w:r>
        <w:rPr>
          <w:rFonts w:eastAsia="宋体" w:hint="eastAsia"/>
          <w:sz w:val="18"/>
          <w:szCs w:val="18"/>
        </w:rPr>
        <w:t>执行的法院：</w:t>
      </w:r>
      <w:r>
        <w:rPr>
          <w:rFonts w:eastAsia="宋体" w:hint="eastAsia"/>
          <w:color w:val="B00824"/>
          <w:sz w:val="18"/>
          <w:szCs w:val="18"/>
        </w:rPr>
        <w:t>第一审（原审）法院</w:t>
      </w:r>
      <w:r>
        <w:rPr>
          <w:rFonts w:eastAsia="宋体" w:hint="eastAsia"/>
          <w:sz w:val="18"/>
          <w:szCs w:val="18"/>
        </w:rPr>
        <w:t>在接到死刑执行令后应当</w:t>
      </w:r>
      <w:r>
        <w:rPr>
          <w:rFonts w:eastAsia="宋体" w:hint="eastAsia"/>
          <w:color w:val="B00824"/>
          <w:sz w:val="18"/>
          <w:szCs w:val="18"/>
        </w:rPr>
        <w:t>在</w:t>
      </w:r>
      <w:r>
        <w:rPr>
          <w:rFonts w:eastAsia="宋体" w:hint="eastAsia"/>
          <w:color w:val="B00824"/>
          <w:sz w:val="18"/>
          <w:szCs w:val="18"/>
        </w:rPr>
        <w:t>7</w:t>
      </w:r>
      <w:r>
        <w:rPr>
          <w:rFonts w:eastAsia="宋体" w:hint="eastAsia"/>
          <w:color w:val="B00824"/>
          <w:sz w:val="18"/>
          <w:szCs w:val="18"/>
        </w:rPr>
        <w:t>日内执行完毕。</w:t>
      </w:r>
      <w:r>
        <w:rPr>
          <w:rFonts w:eastAsia="宋体" w:hint="eastAsia"/>
          <w:sz w:val="18"/>
          <w:szCs w:val="18"/>
        </w:rPr>
        <w:t>死缓期间故意犯罪被执行死刑的，</w:t>
      </w:r>
      <w:r>
        <w:rPr>
          <w:rFonts w:eastAsia="宋体" w:hint="eastAsia"/>
          <w:color w:val="B00824"/>
          <w:sz w:val="18"/>
          <w:szCs w:val="18"/>
          <w:u w:val="single"/>
        </w:rPr>
        <w:t>由罪犯服刑地中院执行</w:t>
      </w:r>
      <w:r>
        <w:rPr>
          <w:rFonts w:eastAsia="宋体" w:hint="eastAsia"/>
          <w:color w:val="B00824"/>
          <w:sz w:val="18"/>
          <w:szCs w:val="18"/>
        </w:rPr>
        <w:t>。</w:t>
      </w:r>
    </w:p>
    <w:p w14:paraId="77168960" w14:textId="77777777" w:rsidR="00464ADF" w:rsidRDefault="00000000">
      <w:pPr>
        <w:rPr>
          <w:rFonts w:eastAsia="宋体" w:hint="eastAsia"/>
          <w:color w:val="B00824"/>
          <w:sz w:val="18"/>
          <w:szCs w:val="18"/>
        </w:rPr>
      </w:pPr>
      <w:r>
        <w:rPr>
          <w:rFonts w:eastAsia="宋体" w:hint="eastAsia"/>
          <w:color w:val="B00824"/>
          <w:sz w:val="18"/>
          <w:szCs w:val="18"/>
        </w:rPr>
        <w:tab/>
      </w:r>
      <w:r>
        <w:rPr>
          <w:rFonts w:eastAsia="宋体" w:hint="eastAsia"/>
          <w:sz w:val="18"/>
          <w:szCs w:val="18"/>
        </w:rPr>
        <w:t>执行前的会见：第一审法院在执行死刑前，</w:t>
      </w:r>
      <w:r>
        <w:rPr>
          <w:rFonts w:eastAsia="宋体" w:hint="eastAsia"/>
          <w:color w:val="B00824"/>
          <w:sz w:val="18"/>
          <w:szCs w:val="18"/>
        </w:rPr>
        <w:t>应当告知罪犯有权会见其近亲属。</w:t>
      </w:r>
      <w:r>
        <w:rPr>
          <w:rFonts w:eastAsia="宋体" w:hint="eastAsia"/>
          <w:sz w:val="18"/>
          <w:szCs w:val="18"/>
        </w:rPr>
        <w:t>罪犯申请会见并提供具体联系方式的，人民法院</w:t>
      </w:r>
      <w:r>
        <w:rPr>
          <w:rFonts w:eastAsia="宋体" w:hint="eastAsia"/>
          <w:color w:val="B00824"/>
          <w:sz w:val="18"/>
          <w:szCs w:val="18"/>
        </w:rPr>
        <w:t>应当</w:t>
      </w:r>
      <w:r>
        <w:rPr>
          <w:rFonts w:eastAsia="宋体" w:hint="eastAsia"/>
          <w:sz w:val="18"/>
          <w:szCs w:val="18"/>
        </w:rPr>
        <w:t>通知其近亲属。</w:t>
      </w:r>
    </w:p>
    <w:p w14:paraId="36A12E39" w14:textId="77777777" w:rsidR="00464ADF" w:rsidRDefault="00000000">
      <w:pPr>
        <w:rPr>
          <w:rFonts w:eastAsia="宋体" w:hint="eastAsia"/>
          <w:color w:val="B00824"/>
          <w:sz w:val="18"/>
          <w:szCs w:val="18"/>
        </w:rPr>
      </w:pPr>
      <w:r>
        <w:rPr>
          <w:rFonts w:eastAsia="宋体" w:hint="eastAsia"/>
          <w:color w:val="B00824"/>
          <w:sz w:val="18"/>
          <w:szCs w:val="18"/>
        </w:rPr>
        <w:lastRenderedPageBreak/>
        <w:tab/>
      </w:r>
      <w:r>
        <w:rPr>
          <w:rFonts w:eastAsia="宋体" w:hint="eastAsia"/>
          <w:color w:val="B00824"/>
          <w:sz w:val="18"/>
          <w:szCs w:val="18"/>
          <w:u w:val="single"/>
        </w:rPr>
        <w:t>死缓期间犯罪：</w:t>
      </w:r>
      <w:r>
        <w:rPr>
          <w:rFonts w:eastAsia="宋体" w:hint="eastAsia"/>
          <w:color w:val="B00824"/>
          <w:sz w:val="18"/>
          <w:szCs w:val="18"/>
        </w:rPr>
        <w:t>在死刑缓期执行期间犯罪的，应当由</w:t>
      </w:r>
      <w:r>
        <w:rPr>
          <w:rFonts w:eastAsia="宋体" w:hint="eastAsia"/>
          <w:b/>
          <w:bCs/>
          <w:color w:val="B00824"/>
          <w:sz w:val="18"/>
          <w:szCs w:val="18"/>
        </w:rPr>
        <w:t>罪犯服刑地</w:t>
      </w:r>
      <w:r>
        <w:rPr>
          <w:rFonts w:eastAsia="宋体" w:hint="eastAsia"/>
          <w:color w:val="B00824"/>
          <w:sz w:val="18"/>
          <w:szCs w:val="18"/>
        </w:rPr>
        <w:t>的中级人民法院依法审判（即便死缓罪犯故意犯罪的，即使系脱逃后实施犯罪并在犯罪地被抓获的也不由犯罪地法院管辖）</w:t>
      </w:r>
      <w:r>
        <w:rPr>
          <w:rFonts w:eastAsia="宋体" w:hint="eastAsia"/>
          <w:sz w:val="18"/>
          <w:szCs w:val="18"/>
        </w:rPr>
        <w:t>，所作的判决可以上诉、抗诉。认定故意犯罪，情节恶劣，</w:t>
      </w:r>
      <w:r>
        <w:rPr>
          <w:rFonts w:eastAsia="宋体" w:hint="eastAsia"/>
          <w:color w:val="B00824"/>
          <w:sz w:val="18"/>
          <w:szCs w:val="18"/>
        </w:rPr>
        <w:t>应当执行死刑的，在判决、裁定发生法律效力后，</w:t>
      </w:r>
      <w:r>
        <w:rPr>
          <w:rFonts w:eastAsia="宋体" w:hint="eastAsia"/>
          <w:b/>
          <w:bCs/>
          <w:color w:val="B00824"/>
          <w:sz w:val="18"/>
          <w:szCs w:val="18"/>
        </w:rPr>
        <w:t>应当层报最高人民法院核准执行死刑</w:t>
      </w:r>
      <w:r>
        <w:rPr>
          <w:rFonts w:eastAsia="宋体" w:hint="eastAsia"/>
          <w:color w:val="B00824"/>
          <w:sz w:val="18"/>
          <w:szCs w:val="18"/>
        </w:rPr>
        <w:t>。</w:t>
      </w:r>
    </w:p>
    <w:p w14:paraId="60770E68"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三、死缓、无期徒刑、有期徒刑和拘役的执行</w:t>
      </w:r>
    </w:p>
    <w:p w14:paraId="5270937B" w14:textId="77777777" w:rsidR="00464ADF" w:rsidRDefault="00000000">
      <w:pPr>
        <w:pStyle w:val="4"/>
        <w:tabs>
          <w:tab w:val="left" w:pos="420"/>
        </w:tabs>
        <w:spacing w:before="0" w:after="0" w:line="240" w:lineRule="auto"/>
        <w:ind w:firstLineChars="120" w:firstLine="216"/>
        <w:jc w:val="left"/>
        <w:rPr>
          <w:rFonts w:ascii="宋体" w:eastAsia="宋体" w:hAnsi="宋体" w:hint="eastAsia"/>
          <w:sz w:val="18"/>
          <w:szCs w:val="18"/>
        </w:rPr>
      </w:pPr>
      <w:r>
        <w:rPr>
          <w:rFonts w:ascii="宋体" w:eastAsia="宋体" w:hAnsi="宋体" w:hint="eastAsia"/>
          <w:b w:val="0"/>
          <w:color w:val="000000" w:themeColor="text1"/>
          <w:sz w:val="18"/>
          <w:szCs w:val="18"/>
        </w:rPr>
        <w:t>（一）执行主体：</w:t>
      </w:r>
      <w:r>
        <w:rPr>
          <w:rFonts w:ascii="宋体" w:eastAsia="宋体" w:hAnsi="宋体" w:hint="eastAsia"/>
          <w:color w:val="B00824"/>
          <w:sz w:val="18"/>
          <w:szCs w:val="18"/>
        </w:rPr>
        <w:t>监狱：</w:t>
      </w:r>
      <w:r>
        <w:rPr>
          <w:rFonts w:ascii="宋体" w:eastAsia="宋体" w:hAnsi="宋体" w:hint="eastAsia"/>
          <w:sz w:val="18"/>
          <w:szCs w:val="18"/>
        </w:rPr>
        <w:t>死缓、无期、有期；</w:t>
      </w:r>
      <w:r>
        <w:rPr>
          <w:rFonts w:ascii="宋体" w:eastAsia="宋体" w:hAnsi="宋体" w:hint="eastAsia"/>
          <w:color w:val="B00824"/>
          <w:sz w:val="18"/>
          <w:szCs w:val="18"/>
        </w:rPr>
        <w:t>拘役：</w:t>
      </w:r>
      <w:r>
        <w:rPr>
          <w:rFonts w:ascii="宋体" w:eastAsia="宋体" w:hAnsi="宋体" w:hint="eastAsia"/>
          <w:sz w:val="18"/>
          <w:szCs w:val="18"/>
        </w:rPr>
        <w:t>公安（3个月以下的看守所）</w:t>
      </w:r>
    </w:p>
    <w:p w14:paraId="43D6BE82" w14:textId="77777777" w:rsidR="00464ADF" w:rsidRDefault="00000000">
      <w:pPr>
        <w:pStyle w:val="4"/>
        <w:tabs>
          <w:tab w:val="left" w:pos="420"/>
        </w:tabs>
        <w:spacing w:before="0" w:after="0" w:line="240" w:lineRule="auto"/>
        <w:ind w:firstLineChars="120" w:firstLine="217"/>
        <w:jc w:val="left"/>
        <w:rPr>
          <w:rFonts w:ascii="宋体" w:eastAsia="宋体" w:hAnsi="宋体" w:hint="eastAsia"/>
          <w:bCs w:val="0"/>
          <w:color w:val="C00000"/>
          <w:sz w:val="18"/>
          <w:szCs w:val="18"/>
        </w:rPr>
      </w:pPr>
      <w:r>
        <w:rPr>
          <w:rFonts w:ascii="宋体" w:eastAsia="宋体" w:hAnsi="宋体" w:hint="eastAsia"/>
          <w:bCs w:val="0"/>
          <w:color w:val="C00000"/>
          <w:sz w:val="18"/>
          <w:szCs w:val="18"/>
        </w:rPr>
        <w:t>有期徒刑剩余刑期在3个月以下的，由看守所代为执行。未成年犯在未成年犯管教所执行。年满18周岁，剩余刑期不超过2年的，仍可以留所执行。</w:t>
      </w:r>
    </w:p>
    <w:p w14:paraId="20575F7D"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（二）执行程序</w:t>
      </w:r>
    </w:p>
    <w:p w14:paraId="52F70537" w14:textId="77777777" w:rsidR="00464ADF" w:rsidRDefault="00000000">
      <w:pPr>
        <w:ind w:firstLineChars="200" w:firstLine="360"/>
        <w:rPr>
          <w:rFonts w:ascii="宋体" w:eastAsia="宋体" w:hAnsi="宋体" w:hint="eastAsia"/>
          <w:sz w:val="18"/>
          <w:szCs w:val="18"/>
        </w:rPr>
      </w:pPr>
      <w:r>
        <w:rPr>
          <w:rFonts w:ascii="宋体" w:eastAsia="宋体" w:hAnsi="宋体"/>
          <w:sz w:val="18"/>
          <w:szCs w:val="18"/>
        </w:rPr>
        <w:t>被判处死刑缓期执行、无期徒刑、有期徒刑、拘役的罪犯，</w:t>
      </w:r>
      <w:r>
        <w:rPr>
          <w:rFonts w:ascii="宋体" w:eastAsia="宋体" w:hAnsi="宋体"/>
          <w:b/>
          <w:bCs/>
          <w:color w:val="B00824"/>
          <w:sz w:val="18"/>
          <w:szCs w:val="18"/>
        </w:rPr>
        <w:t>第一审</w:t>
      </w:r>
      <w:r>
        <w:rPr>
          <w:rFonts w:ascii="宋体" w:eastAsia="宋体" w:hAnsi="宋体"/>
          <w:color w:val="B00824"/>
          <w:sz w:val="18"/>
          <w:szCs w:val="18"/>
        </w:rPr>
        <w:t>人民法院应当在判决、裁定生效后十日以内</w:t>
      </w:r>
      <w:r>
        <w:rPr>
          <w:rFonts w:ascii="宋体" w:eastAsia="宋体" w:hAnsi="宋体"/>
          <w:sz w:val="18"/>
          <w:szCs w:val="18"/>
        </w:rPr>
        <w:t>，</w:t>
      </w:r>
      <w:r>
        <w:rPr>
          <w:rFonts w:ascii="宋体" w:eastAsia="宋体" w:hAnsi="宋体"/>
          <w:color w:val="B00824"/>
          <w:sz w:val="18"/>
          <w:szCs w:val="18"/>
        </w:rPr>
        <w:t>送达公安机关、监狱或者其他执行机关</w:t>
      </w:r>
      <w:r>
        <w:rPr>
          <w:rFonts w:ascii="宋体" w:eastAsia="宋体" w:hAnsi="宋体"/>
          <w:sz w:val="18"/>
          <w:szCs w:val="18"/>
        </w:rPr>
        <w:t>。同案审理的案件中，部分被告人被判处死刑，</w:t>
      </w:r>
      <w:r>
        <w:rPr>
          <w:rFonts w:ascii="宋体" w:eastAsia="宋体" w:hAnsi="宋体"/>
          <w:color w:val="C00000"/>
          <w:sz w:val="18"/>
          <w:szCs w:val="18"/>
        </w:rPr>
        <w:t>对未被判处死刑的同案被告人需要羁押执行刑罚的</w:t>
      </w:r>
      <w:r>
        <w:rPr>
          <w:rFonts w:ascii="宋体" w:eastAsia="宋体" w:hAnsi="宋体"/>
          <w:sz w:val="18"/>
          <w:szCs w:val="18"/>
        </w:rPr>
        <w:t>，应当根据前条规定及时交付执行。但是，</w:t>
      </w:r>
      <w:r>
        <w:rPr>
          <w:rFonts w:ascii="宋体" w:eastAsia="宋体" w:hAnsi="宋体"/>
          <w:b/>
          <w:bCs/>
          <w:color w:val="B00824"/>
          <w:sz w:val="18"/>
          <w:szCs w:val="18"/>
        </w:rPr>
        <w:t>该同案被告人参与实施有关死刑之罪的，应当在复核讯问被判处死刑的被告人后交付执行</w:t>
      </w:r>
      <w:r>
        <w:rPr>
          <w:rFonts w:ascii="宋体" w:eastAsia="宋体" w:hAnsi="宋体"/>
          <w:sz w:val="18"/>
          <w:szCs w:val="18"/>
        </w:rPr>
        <w:t>。</w:t>
      </w:r>
      <w:r>
        <w:rPr>
          <w:rFonts w:ascii="宋体" w:eastAsia="宋体" w:hAnsi="宋体" w:hint="eastAsia"/>
          <w:color w:val="00B0F0"/>
          <w:sz w:val="18"/>
          <w:szCs w:val="18"/>
        </w:rPr>
        <w:t>（同附带民事诉讼暂缓送监对比记忆）</w:t>
      </w:r>
    </w:p>
    <w:p w14:paraId="699001C5" w14:textId="77777777" w:rsidR="00464ADF" w:rsidRDefault="00000000">
      <w:pPr>
        <w:ind w:firstLineChars="200" w:firstLine="361"/>
        <w:rPr>
          <w:rFonts w:ascii="宋体" w:eastAsia="宋体" w:hAnsi="宋体" w:hint="eastAsia"/>
          <w:b/>
          <w:bCs/>
          <w:color w:val="C00000"/>
          <w:sz w:val="18"/>
          <w:szCs w:val="18"/>
        </w:rPr>
      </w:pPr>
      <w:r>
        <w:rPr>
          <w:rFonts w:ascii="宋体" w:eastAsia="宋体" w:hAnsi="宋体" w:hint="eastAsia"/>
          <w:b/>
          <w:bCs/>
          <w:color w:val="C00000"/>
          <w:sz w:val="18"/>
          <w:szCs w:val="18"/>
        </w:rPr>
        <w:t>四、财产刑和附带民事裁判的执行</w:t>
      </w:r>
    </w:p>
    <w:p w14:paraId="54A0C6E5"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bCs w:val="0"/>
          <w:color w:val="000000" w:themeColor="text1"/>
          <w:sz w:val="18"/>
          <w:szCs w:val="18"/>
        </w:rPr>
      </w:pPr>
      <w:r>
        <w:rPr>
          <w:rFonts w:ascii="宋体" w:eastAsia="宋体" w:hAnsi="宋体" w:hint="eastAsia"/>
          <w:b w:val="0"/>
          <w:color w:val="000000" w:themeColor="text1"/>
          <w:sz w:val="18"/>
          <w:szCs w:val="18"/>
        </w:rPr>
        <w:t>（一）执行主体：</w:t>
      </w:r>
      <w:r>
        <w:rPr>
          <w:rFonts w:ascii="宋体" w:eastAsia="宋体" w:hAnsi="宋体"/>
          <w:color w:val="B00824"/>
          <w:sz w:val="18"/>
          <w:szCs w:val="18"/>
        </w:rPr>
        <w:t>第一审人民法院负责裁判执行的机构</w:t>
      </w:r>
      <w:r>
        <w:rPr>
          <w:rFonts w:ascii="宋体" w:eastAsia="宋体" w:hAnsi="宋体"/>
          <w:sz w:val="18"/>
          <w:szCs w:val="18"/>
        </w:rPr>
        <w:t>执行。</w:t>
      </w:r>
      <w:r>
        <w:rPr>
          <w:rFonts w:ascii="宋体" w:eastAsia="宋体" w:hAnsi="宋体" w:hint="eastAsia"/>
          <w:b w:val="0"/>
          <w:bCs w:val="0"/>
          <w:sz w:val="18"/>
          <w:szCs w:val="18"/>
        </w:rPr>
        <w:t>被执行人或者被执行财产在外地的，可以</w:t>
      </w:r>
      <w:r>
        <w:rPr>
          <w:rFonts w:ascii="宋体" w:eastAsia="宋体" w:hAnsi="宋体" w:hint="eastAsia"/>
          <w:color w:val="C00000"/>
          <w:sz w:val="18"/>
          <w:szCs w:val="18"/>
        </w:rPr>
        <w:t>委托当地同级人民法院</w:t>
      </w:r>
      <w:r>
        <w:rPr>
          <w:rFonts w:ascii="宋体" w:eastAsia="宋体" w:hAnsi="宋体" w:hint="eastAsia"/>
          <w:b w:val="0"/>
          <w:bCs w:val="0"/>
          <w:sz w:val="18"/>
          <w:szCs w:val="18"/>
        </w:rPr>
        <w:t>执行。</w:t>
      </w:r>
    </w:p>
    <w:p w14:paraId="36FB2159"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（二）执行范围：</w:t>
      </w:r>
      <w:r>
        <w:rPr>
          <w:rFonts w:ascii="宋体" w:eastAsia="宋体" w:hAnsi="宋体" w:hint="eastAsia"/>
          <w:sz w:val="18"/>
          <w:szCs w:val="18"/>
        </w:rPr>
        <w:t>应予追缴：</w:t>
      </w:r>
      <w:r>
        <w:rPr>
          <w:rFonts w:ascii="宋体" w:eastAsia="宋体" w:hAnsi="宋体" w:hint="eastAsia"/>
          <w:b w:val="0"/>
          <w:bCs w:val="0"/>
          <w:sz w:val="18"/>
          <w:szCs w:val="18"/>
        </w:rPr>
        <w:t>第三人明知是涉案财物而接受的、第三人无偿或者以明显低于市场的价格取得涉案财物的、第三人通过非法债务清偿或违法犯罪活动取得涉案财物、第三人通过其他恶意方式取得涉案财物的。</w:t>
      </w:r>
      <w:r>
        <w:rPr>
          <w:rFonts w:ascii="宋体" w:eastAsia="宋体" w:hAnsi="宋体" w:hint="eastAsia"/>
          <w:sz w:val="18"/>
          <w:szCs w:val="18"/>
        </w:rPr>
        <w:t>不予追缴：</w:t>
      </w:r>
      <w:r>
        <w:rPr>
          <w:rFonts w:ascii="宋体" w:eastAsia="宋体" w:hAnsi="宋体" w:hint="eastAsia"/>
          <w:b w:val="0"/>
          <w:bCs w:val="0"/>
          <w:sz w:val="18"/>
          <w:szCs w:val="18"/>
        </w:rPr>
        <w:t>第三人善意取得涉案财物的</w:t>
      </w:r>
    </w:p>
    <w:p w14:paraId="5B3B2B39"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（三）执行顺序：</w:t>
      </w:r>
      <w:r>
        <w:rPr>
          <w:rFonts w:ascii="宋体" w:eastAsia="宋体" w:hAnsi="宋体" w:hint="eastAsia"/>
          <w:color w:val="B00824"/>
          <w:sz w:val="18"/>
          <w:szCs w:val="18"/>
        </w:rPr>
        <w:t>1．支付人身损害赔偿中的医疗费用；2．偿还债权人有优先受偿权的民事债务；3．退赔被害人的损失；4．偿还其他民事债务；5．罚金；6．没收财产。</w:t>
      </w:r>
    </w:p>
    <w:p w14:paraId="07F60606" w14:textId="32953759" w:rsidR="00464ADF" w:rsidRDefault="00000000">
      <w:pPr>
        <w:pStyle w:val="1"/>
        <w:tabs>
          <w:tab w:val="left" w:pos="420"/>
        </w:tabs>
        <w:spacing w:before="0" w:after="0" w:line="240" w:lineRule="auto"/>
        <w:jc w:val="center"/>
        <w:rPr>
          <w:rFonts w:ascii="宋体" w:hAnsi="宋体" w:hint="eastAsia"/>
          <w:bCs w:val="0"/>
          <w:sz w:val="18"/>
          <w:szCs w:val="18"/>
        </w:rPr>
      </w:pPr>
      <w:bookmarkStart w:id="88" w:name="_Toc136521802"/>
      <w:bookmarkStart w:id="89" w:name="_Toc4844157"/>
      <w:bookmarkStart w:id="90" w:name="_Toc2053"/>
      <w:r>
        <w:rPr>
          <w:rFonts w:ascii="宋体" w:hAnsi="宋体" w:hint="eastAsia"/>
          <w:bCs w:val="0"/>
          <w:sz w:val="18"/>
          <w:szCs w:val="18"/>
        </w:rPr>
        <w:t>考点6</w:t>
      </w:r>
      <w:r>
        <w:rPr>
          <w:rFonts w:ascii="宋体" w:hAnsi="宋体"/>
          <w:bCs w:val="0"/>
          <w:sz w:val="18"/>
          <w:szCs w:val="18"/>
        </w:rPr>
        <w:t>2</w:t>
      </w:r>
      <w:r>
        <w:rPr>
          <w:rFonts w:ascii="宋体" w:hAnsi="宋体" w:hint="eastAsia"/>
          <w:bCs w:val="0"/>
          <w:sz w:val="18"/>
          <w:szCs w:val="18"/>
        </w:rPr>
        <w:t xml:space="preserve">  执行变更</w:t>
      </w:r>
      <w:bookmarkEnd w:id="88"/>
      <w:bookmarkEnd w:id="89"/>
      <w:bookmarkEnd w:id="90"/>
      <w:r w:rsidR="000612DA">
        <w:rPr>
          <w:rFonts w:ascii="宋体" w:hAnsi="宋体" w:cs="宋体" w:hint="eastAsia"/>
          <w:bCs w:val="0"/>
          <w:sz w:val="18"/>
          <w:szCs w:val="18"/>
        </w:rPr>
        <w:t>（</w:t>
      </w:r>
      <w:r w:rsidR="007F1471">
        <w:rPr>
          <w:rFonts w:ascii="宋体" w:hAnsi="宋体" w:cs="宋体" w:hint="eastAsia"/>
          <w:bCs w:val="0"/>
          <w:sz w:val="18"/>
          <w:szCs w:val="18"/>
        </w:rPr>
        <w:t>12:19</w:t>
      </w:r>
      <w:r w:rsidR="000612DA">
        <w:rPr>
          <w:rFonts w:ascii="宋体" w:hAnsi="宋体" w:cs="宋体" w:hint="eastAsia"/>
          <w:bCs w:val="0"/>
          <w:sz w:val="18"/>
          <w:szCs w:val="18"/>
        </w:rPr>
        <w:t>:00-</w:t>
      </w:r>
      <w:r w:rsidR="007F1471">
        <w:rPr>
          <w:rFonts w:ascii="宋体" w:hAnsi="宋体" w:cs="宋体" w:hint="eastAsia"/>
          <w:bCs w:val="0"/>
          <w:sz w:val="18"/>
          <w:szCs w:val="18"/>
        </w:rPr>
        <w:t>12</w:t>
      </w:r>
      <w:r w:rsidR="000612DA">
        <w:rPr>
          <w:rFonts w:ascii="宋体" w:hAnsi="宋体" w:cs="宋体" w:hint="eastAsia"/>
          <w:bCs w:val="0"/>
          <w:sz w:val="18"/>
          <w:szCs w:val="18"/>
        </w:rPr>
        <w:t>:</w:t>
      </w:r>
      <w:r w:rsidR="007F1471">
        <w:rPr>
          <w:rFonts w:ascii="宋体" w:hAnsi="宋体" w:cs="宋体" w:hint="eastAsia"/>
          <w:bCs w:val="0"/>
          <w:sz w:val="18"/>
          <w:szCs w:val="18"/>
        </w:rPr>
        <w:t>30</w:t>
      </w:r>
      <w:r w:rsidR="000612DA">
        <w:rPr>
          <w:rFonts w:ascii="宋体" w:hAnsi="宋体" w:cs="宋体" w:hint="eastAsia"/>
          <w:bCs w:val="0"/>
          <w:sz w:val="18"/>
          <w:szCs w:val="18"/>
        </w:rPr>
        <w:t>:00）</w:t>
      </w:r>
    </w:p>
    <w:p w14:paraId="0451BF44" w14:textId="77777777" w:rsidR="00464ADF" w:rsidRDefault="00000000">
      <w:pPr>
        <w:pStyle w:val="3"/>
        <w:spacing w:line="240" w:lineRule="auto"/>
        <w:ind w:firstLineChars="200" w:firstLine="360"/>
        <w:rPr>
          <w:rFonts w:eastAsia="宋体" w:hint="eastAsia"/>
          <w:b/>
          <w:sz w:val="18"/>
          <w:szCs w:val="18"/>
        </w:rPr>
      </w:pPr>
      <w:r>
        <w:rPr>
          <w:rFonts w:eastAsia="宋体" w:hint="eastAsia"/>
          <w:sz w:val="18"/>
          <w:szCs w:val="18"/>
        </w:rPr>
        <w:t>一、死刑执行的变更</w:t>
      </w:r>
    </w:p>
    <w:p w14:paraId="4F235830"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（一）暂停执行与裁定停止执行</w:t>
      </w:r>
    </w:p>
    <w:p w14:paraId="19FB0407" w14:textId="77777777" w:rsidR="00464ADF" w:rsidRDefault="00000000">
      <w:pPr>
        <w:ind w:firstLineChars="200" w:firstLine="360"/>
        <w:rPr>
          <w:rFonts w:ascii="宋体" w:eastAsia="宋体" w:hAnsi="宋体" w:hint="eastAsia"/>
          <w:sz w:val="18"/>
          <w:szCs w:val="18"/>
        </w:rPr>
      </w:pPr>
      <w:r>
        <w:rPr>
          <w:rFonts w:ascii="宋体" w:eastAsia="宋体" w:hAnsi="宋体" w:hint="eastAsia"/>
          <w:color w:val="B00824"/>
          <w:sz w:val="18"/>
          <w:szCs w:val="18"/>
        </w:rPr>
        <w:t>下级人民法院</w:t>
      </w:r>
      <w:r>
        <w:rPr>
          <w:rFonts w:ascii="宋体" w:eastAsia="宋体" w:hAnsi="宋体" w:hint="eastAsia"/>
          <w:sz w:val="18"/>
          <w:szCs w:val="18"/>
        </w:rPr>
        <w:t>在接到执行死刑命令后、执行前，发现有下列情形之一的，</w:t>
      </w:r>
      <w:r>
        <w:rPr>
          <w:rFonts w:ascii="宋体" w:eastAsia="宋体" w:hAnsi="宋体" w:hint="eastAsia"/>
          <w:color w:val="B00824"/>
          <w:sz w:val="18"/>
          <w:szCs w:val="18"/>
        </w:rPr>
        <w:t>应当暂停执行</w:t>
      </w:r>
      <w:r>
        <w:rPr>
          <w:rFonts w:ascii="宋体" w:eastAsia="宋体" w:hAnsi="宋体" w:hint="eastAsia"/>
          <w:sz w:val="18"/>
          <w:szCs w:val="18"/>
        </w:rPr>
        <w:t>，并立即将请求停止执行死刑的报告和相关材料</w:t>
      </w:r>
      <w:r>
        <w:rPr>
          <w:rFonts w:ascii="宋体" w:eastAsia="宋体" w:hAnsi="宋体" w:hint="eastAsia"/>
          <w:color w:val="C00000"/>
          <w:sz w:val="18"/>
          <w:szCs w:val="18"/>
        </w:rPr>
        <w:t>层报最高人民法院</w:t>
      </w:r>
      <w:r>
        <w:rPr>
          <w:rFonts w:ascii="宋体" w:eastAsia="宋体" w:hAnsi="宋体" w:hint="eastAsia"/>
          <w:sz w:val="18"/>
          <w:szCs w:val="18"/>
        </w:rPr>
        <w:t>：1．罪犯可能有</w:t>
      </w:r>
      <w:r>
        <w:rPr>
          <w:rFonts w:ascii="宋体" w:eastAsia="宋体" w:hAnsi="宋体" w:hint="eastAsia"/>
          <w:color w:val="C00000"/>
          <w:sz w:val="18"/>
          <w:szCs w:val="18"/>
        </w:rPr>
        <w:t>其他犯罪</w:t>
      </w:r>
      <w:r>
        <w:rPr>
          <w:rFonts w:ascii="宋体" w:eastAsia="宋体" w:hAnsi="宋体" w:hint="eastAsia"/>
          <w:sz w:val="18"/>
          <w:szCs w:val="18"/>
        </w:rPr>
        <w:t>的；2．</w:t>
      </w:r>
      <w:r>
        <w:rPr>
          <w:rFonts w:ascii="宋体" w:eastAsia="宋体" w:hAnsi="宋体" w:hint="eastAsia"/>
          <w:b/>
          <w:bCs/>
          <w:sz w:val="18"/>
          <w:szCs w:val="18"/>
        </w:rPr>
        <w:t>共同犯罪的其他犯罪嫌疑人</w:t>
      </w:r>
      <w:r>
        <w:rPr>
          <w:rFonts w:ascii="宋体" w:eastAsia="宋体" w:hAnsi="宋体" w:hint="eastAsia"/>
          <w:sz w:val="18"/>
          <w:szCs w:val="18"/>
        </w:rPr>
        <w:t>到案，可能影响罪犯量刑的；3．</w:t>
      </w:r>
      <w:r>
        <w:rPr>
          <w:rFonts w:ascii="宋体" w:eastAsia="宋体" w:hAnsi="宋体" w:hint="eastAsia"/>
          <w:b/>
          <w:bCs/>
          <w:sz w:val="18"/>
          <w:szCs w:val="18"/>
        </w:rPr>
        <w:t>共同犯罪的其他罪犯</w:t>
      </w:r>
      <w:r>
        <w:rPr>
          <w:rFonts w:ascii="宋体" w:eastAsia="宋体" w:hAnsi="宋体" w:hint="eastAsia"/>
          <w:sz w:val="18"/>
          <w:szCs w:val="18"/>
        </w:rPr>
        <w:t>被暂停或者停止执行死刑，可能影响罪犯量刑的；4．罪犯揭发</w:t>
      </w:r>
      <w:r>
        <w:rPr>
          <w:rFonts w:ascii="宋体" w:eastAsia="宋体" w:hAnsi="宋体" w:hint="eastAsia"/>
          <w:color w:val="C00000"/>
          <w:sz w:val="18"/>
          <w:szCs w:val="18"/>
        </w:rPr>
        <w:t>重大</w:t>
      </w:r>
      <w:r>
        <w:rPr>
          <w:rFonts w:ascii="宋体" w:eastAsia="宋体" w:hAnsi="宋体" w:hint="eastAsia"/>
          <w:sz w:val="18"/>
          <w:szCs w:val="18"/>
        </w:rPr>
        <w:t>犯罪事实或者有其他</w:t>
      </w:r>
      <w:r>
        <w:rPr>
          <w:rFonts w:ascii="宋体" w:eastAsia="宋体" w:hAnsi="宋体" w:hint="eastAsia"/>
          <w:color w:val="C00000"/>
          <w:sz w:val="18"/>
          <w:szCs w:val="18"/>
        </w:rPr>
        <w:t>重大</w:t>
      </w:r>
      <w:r>
        <w:rPr>
          <w:rFonts w:ascii="宋体" w:eastAsia="宋体" w:hAnsi="宋体" w:hint="eastAsia"/>
          <w:sz w:val="18"/>
          <w:szCs w:val="18"/>
        </w:rPr>
        <w:t>立功表现，可能需要改判的；5．罪犯怀孕的；6．判决、裁定可能有影响定罪量刑的其他错误的。</w:t>
      </w:r>
      <w:r>
        <w:rPr>
          <w:rFonts w:ascii="宋体" w:eastAsia="宋体" w:hAnsi="宋体" w:hint="eastAsia"/>
          <w:color w:val="B00824"/>
          <w:sz w:val="18"/>
          <w:szCs w:val="18"/>
        </w:rPr>
        <w:t>最高人民法院</w:t>
      </w:r>
      <w:r>
        <w:rPr>
          <w:rFonts w:ascii="宋体" w:eastAsia="宋体" w:hAnsi="宋体" w:hint="eastAsia"/>
          <w:sz w:val="18"/>
          <w:szCs w:val="18"/>
        </w:rPr>
        <w:t>在执行死刑命令签发后、执行前，发现有前述6种情形的，</w:t>
      </w:r>
      <w:r>
        <w:rPr>
          <w:rFonts w:ascii="宋体" w:eastAsia="宋体" w:hAnsi="宋体" w:hint="eastAsia"/>
          <w:b/>
          <w:bCs/>
          <w:color w:val="C00000"/>
          <w:sz w:val="18"/>
          <w:szCs w:val="18"/>
        </w:rPr>
        <w:t>应当</w:t>
      </w:r>
      <w:r>
        <w:rPr>
          <w:rFonts w:ascii="宋体" w:eastAsia="宋体" w:hAnsi="宋体" w:hint="eastAsia"/>
          <w:color w:val="B00824"/>
          <w:sz w:val="18"/>
          <w:szCs w:val="18"/>
        </w:rPr>
        <w:t>立即裁定停止执行死刑，并将有关材料移交下级人民法院</w:t>
      </w:r>
      <w:r>
        <w:rPr>
          <w:rFonts w:ascii="宋体" w:eastAsia="宋体" w:hAnsi="宋体" w:hint="eastAsia"/>
          <w:sz w:val="18"/>
          <w:szCs w:val="18"/>
        </w:rPr>
        <w:t>。</w:t>
      </w:r>
    </w:p>
    <w:p w14:paraId="4DD64B2C"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（二）审查及处理</w:t>
      </w:r>
    </w:p>
    <w:p w14:paraId="310EAD87" w14:textId="77777777" w:rsidR="00464ADF" w:rsidRDefault="00000000">
      <w:pPr>
        <w:ind w:firstLineChars="200" w:firstLine="360"/>
        <w:rPr>
          <w:rFonts w:ascii="宋体" w:eastAsia="宋体" w:hAnsi="宋体" w:hint="eastAsia"/>
          <w:sz w:val="18"/>
          <w:szCs w:val="18"/>
        </w:rPr>
      </w:pPr>
      <w:r>
        <w:rPr>
          <w:rFonts w:ascii="宋体" w:eastAsia="宋体" w:hAnsi="宋体"/>
          <w:sz w:val="18"/>
          <w:szCs w:val="18"/>
        </w:rPr>
        <w:t>最高人民法院对停止执行死刑的案件，应当按照下列情形分别处理：</w:t>
      </w:r>
      <w:r>
        <w:rPr>
          <w:rFonts w:ascii="宋体" w:eastAsia="宋体" w:hAnsi="宋体" w:hint="eastAsia"/>
          <w:sz w:val="18"/>
          <w:szCs w:val="18"/>
        </w:rPr>
        <w:t>1．</w:t>
      </w:r>
      <w:r>
        <w:rPr>
          <w:rFonts w:ascii="宋体" w:eastAsia="宋体" w:hAnsi="宋体"/>
          <w:sz w:val="18"/>
          <w:szCs w:val="18"/>
        </w:rPr>
        <w:t>确认罪犯怀孕的，</w:t>
      </w:r>
      <w:r>
        <w:rPr>
          <w:rFonts w:ascii="宋体" w:eastAsia="宋体" w:hAnsi="宋体"/>
          <w:color w:val="B00824"/>
          <w:sz w:val="18"/>
          <w:szCs w:val="18"/>
        </w:rPr>
        <w:t>应当改判</w:t>
      </w:r>
      <w:r>
        <w:rPr>
          <w:rFonts w:ascii="宋体" w:eastAsia="宋体" w:hAnsi="宋体"/>
          <w:sz w:val="18"/>
          <w:szCs w:val="18"/>
        </w:rPr>
        <w:t>；</w:t>
      </w:r>
      <w:r>
        <w:rPr>
          <w:rFonts w:ascii="宋体" w:eastAsia="宋体" w:hAnsi="宋体" w:hint="eastAsia"/>
          <w:sz w:val="18"/>
          <w:szCs w:val="18"/>
        </w:rPr>
        <w:t>2．</w:t>
      </w:r>
      <w:r>
        <w:rPr>
          <w:rFonts w:ascii="宋体" w:eastAsia="宋体" w:hAnsi="宋体"/>
          <w:sz w:val="18"/>
          <w:szCs w:val="18"/>
        </w:rPr>
        <w:t>确认罪犯有其他犯罪，依法应当追诉的，</w:t>
      </w:r>
      <w:r>
        <w:rPr>
          <w:rFonts w:ascii="宋体" w:eastAsia="宋体" w:hAnsi="宋体"/>
          <w:color w:val="B00824"/>
          <w:sz w:val="18"/>
          <w:szCs w:val="18"/>
        </w:rPr>
        <w:t>应当裁定不予核准死刑，撤销原判，发回重新审判</w:t>
      </w:r>
      <w:r>
        <w:rPr>
          <w:rFonts w:ascii="宋体" w:eastAsia="宋体" w:hAnsi="宋体"/>
          <w:sz w:val="18"/>
          <w:szCs w:val="18"/>
        </w:rPr>
        <w:t>；</w:t>
      </w:r>
      <w:r>
        <w:rPr>
          <w:rFonts w:ascii="宋体" w:eastAsia="宋体" w:hAnsi="宋体" w:hint="eastAsia"/>
          <w:sz w:val="18"/>
          <w:szCs w:val="18"/>
        </w:rPr>
        <w:t>3．</w:t>
      </w:r>
      <w:r>
        <w:rPr>
          <w:rFonts w:ascii="宋体" w:eastAsia="宋体" w:hAnsi="宋体"/>
          <w:sz w:val="18"/>
          <w:szCs w:val="18"/>
        </w:rPr>
        <w:t>确认原判决、裁定有错误或者罪犯有重大立功表现，需要改判的</w:t>
      </w:r>
      <w:r>
        <w:rPr>
          <w:rFonts w:ascii="宋体" w:eastAsia="宋体" w:hAnsi="宋体"/>
          <w:color w:val="B00824"/>
          <w:sz w:val="18"/>
          <w:szCs w:val="18"/>
        </w:rPr>
        <w:t>，应当裁定不予核准死刑，撤销原判，发回重新审判</w:t>
      </w:r>
      <w:r>
        <w:rPr>
          <w:rFonts w:ascii="宋体" w:eastAsia="宋体" w:hAnsi="宋体"/>
          <w:sz w:val="18"/>
          <w:szCs w:val="18"/>
        </w:rPr>
        <w:t>；</w:t>
      </w:r>
      <w:r>
        <w:rPr>
          <w:rFonts w:ascii="宋体" w:eastAsia="宋体" w:hAnsi="宋体" w:hint="eastAsia"/>
          <w:sz w:val="18"/>
          <w:szCs w:val="18"/>
        </w:rPr>
        <w:t>4．</w:t>
      </w:r>
      <w:r>
        <w:rPr>
          <w:rFonts w:ascii="宋体" w:eastAsia="宋体" w:hAnsi="宋体"/>
          <w:sz w:val="18"/>
          <w:szCs w:val="18"/>
        </w:rPr>
        <w:t>确认原判决、裁定没有错误，罪犯没有重大立功表现，或者重大立功表现不影响原判决、裁定执行的，</w:t>
      </w:r>
      <w:r>
        <w:rPr>
          <w:rFonts w:ascii="宋体" w:eastAsia="宋体" w:hAnsi="宋体"/>
          <w:color w:val="B00824"/>
          <w:sz w:val="18"/>
          <w:szCs w:val="18"/>
        </w:rPr>
        <w:t>应当裁定继续执行死刑，并由院长</w:t>
      </w:r>
      <w:r>
        <w:rPr>
          <w:rFonts w:ascii="宋体" w:eastAsia="宋体" w:hAnsi="宋体"/>
          <w:b/>
          <w:bCs/>
          <w:color w:val="B00824"/>
          <w:sz w:val="18"/>
          <w:szCs w:val="18"/>
        </w:rPr>
        <w:t>重新签发</w:t>
      </w:r>
      <w:r>
        <w:rPr>
          <w:rFonts w:ascii="宋体" w:eastAsia="宋体" w:hAnsi="宋体"/>
          <w:color w:val="B00824"/>
          <w:sz w:val="18"/>
          <w:szCs w:val="18"/>
        </w:rPr>
        <w:t>执行死刑的命令</w:t>
      </w:r>
      <w:r>
        <w:rPr>
          <w:rFonts w:ascii="宋体" w:eastAsia="宋体" w:hAnsi="宋体"/>
          <w:sz w:val="18"/>
          <w:szCs w:val="18"/>
        </w:rPr>
        <w:t>。</w:t>
      </w:r>
    </w:p>
    <w:p w14:paraId="1B23E604"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二、暂予监外执行</w:t>
      </w:r>
      <w:r>
        <w:rPr>
          <w:rFonts w:ascii="宋体" w:eastAsia="宋体" w:hAnsi="宋体" w:hint="eastAsia"/>
          <w:b/>
          <w:bCs/>
          <w:color w:val="0070C0"/>
          <w:sz w:val="18"/>
          <w:szCs w:val="18"/>
        </w:rPr>
        <w:t>（重要知识点）</w:t>
      </w:r>
    </w:p>
    <w:p w14:paraId="4B3BF65A"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怀孕或者正在哺乳自己婴儿的妇女，被判处无期徒刑的，可以暂予监外执行。</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6496"/>
      </w:tblGrid>
      <w:tr w:rsidR="00464ADF" w14:paraId="62A71C76" w14:textId="77777777">
        <w:trPr>
          <w:jc w:val="center"/>
        </w:trPr>
        <w:tc>
          <w:tcPr>
            <w:tcW w:w="1605" w:type="dxa"/>
            <w:tcBorders>
              <w:top w:val="single" w:sz="8" w:space="0" w:color="FF0000"/>
              <w:left w:val="single" w:sz="8" w:space="0" w:color="FF0000"/>
              <w:bottom w:val="single" w:sz="8" w:space="0" w:color="FF0000"/>
              <w:right w:val="single" w:sz="8" w:space="0" w:color="FF0000"/>
            </w:tcBorders>
            <w:vAlign w:val="center"/>
          </w:tcPr>
          <w:p w14:paraId="5666BECC" w14:textId="77777777" w:rsidR="00464ADF" w:rsidRPr="00E6207A" w:rsidRDefault="00000000" w:rsidP="00467AE9">
            <w:pPr>
              <w:spacing w:beforeLines="10" w:before="31" w:afterLines="20" w:after="62" w:line="200" w:lineRule="exact"/>
              <w:jc w:val="center"/>
              <w:rPr>
                <w:rFonts w:ascii="宋体" w:eastAsia="宋体" w:hAnsi="宋体" w:hint="eastAsia"/>
                <w:bCs/>
                <w:sz w:val="13"/>
                <w:szCs w:val="13"/>
              </w:rPr>
            </w:pPr>
            <w:r w:rsidRPr="00E6207A">
              <w:rPr>
                <w:rFonts w:ascii="宋体" w:eastAsia="宋体" w:hAnsi="宋体" w:hint="eastAsia"/>
                <w:bCs/>
                <w:sz w:val="13"/>
                <w:szCs w:val="13"/>
              </w:rPr>
              <w:t>时间</w:t>
            </w:r>
          </w:p>
        </w:tc>
        <w:tc>
          <w:tcPr>
            <w:tcW w:w="5190" w:type="dxa"/>
            <w:tcBorders>
              <w:top w:val="single" w:sz="8" w:space="0" w:color="FF0000"/>
              <w:left w:val="single" w:sz="8" w:space="0" w:color="FF0000"/>
              <w:bottom w:val="single" w:sz="8" w:space="0" w:color="FF0000"/>
              <w:right w:val="single" w:sz="8" w:space="0" w:color="FF0000"/>
            </w:tcBorders>
            <w:vAlign w:val="center"/>
          </w:tcPr>
          <w:p w14:paraId="3EB28BB9" w14:textId="77777777" w:rsidR="00464ADF" w:rsidRPr="00E6207A" w:rsidRDefault="00000000" w:rsidP="00467AE9">
            <w:pPr>
              <w:spacing w:beforeLines="10" w:before="31" w:afterLines="20" w:after="62" w:line="200" w:lineRule="exact"/>
              <w:jc w:val="center"/>
              <w:rPr>
                <w:rFonts w:ascii="宋体" w:eastAsia="宋体" w:hAnsi="宋体" w:hint="eastAsia"/>
                <w:bCs/>
                <w:sz w:val="13"/>
                <w:szCs w:val="13"/>
              </w:rPr>
            </w:pPr>
            <w:r w:rsidRPr="00E6207A">
              <w:rPr>
                <w:rFonts w:ascii="宋体" w:eastAsia="宋体" w:hAnsi="宋体" w:hint="eastAsia"/>
                <w:bCs/>
                <w:sz w:val="13"/>
                <w:szCs w:val="13"/>
              </w:rPr>
              <w:t>主体</w:t>
            </w:r>
          </w:p>
        </w:tc>
      </w:tr>
      <w:tr w:rsidR="00464ADF" w14:paraId="03DD8206" w14:textId="77777777">
        <w:trPr>
          <w:jc w:val="center"/>
        </w:trPr>
        <w:tc>
          <w:tcPr>
            <w:tcW w:w="1605" w:type="dxa"/>
            <w:tcBorders>
              <w:top w:val="single" w:sz="8" w:space="0" w:color="FF0000"/>
              <w:left w:val="single" w:sz="8" w:space="0" w:color="FF0000"/>
              <w:bottom w:val="single" w:sz="8" w:space="0" w:color="FF0000"/>
              <w:right w:val="single" w:sz="8" w:space="0" w:color="FF0000"/>
            </w:tcBorders>
            <w:vAlign w:val="center"/>
          </w:tcPr>
          <w:p w14:paraId="3FFBB60E"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交付执行前</w:t>
            </w:r>
          </w:p>
        </w:tc>
        <w:tc>
          <w:tcPr>
            <w:tcW w:w="5190" w:type="dxa"/>
            <w:tcBorders>
              <w:top w:val="single" w:sz="8" w:space="0" w:color="FF0000"/>
              <w:left w:val="single" w:sz="8" w:space="0" w:color="FF0000"/>
              <w:bottom w:val="single" w:sz="8" w:space="0" w:color="FF0000"/>
              <w:right w:val="single" w:sz="8" w:space="0" w:color="FF0000"/>
            </w:tcBorders>
            <w:vAlign w:val="center"/>
          </w:tcPr>
          <w:p w14:paraId="36841319"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由交付执行的人民法院决定，法院在作出暂予监外执行决定前，应当征求人民检察院的意见</w:t>
            </w:r>
          </w:p>
        </w:tc>
      </w:tr>
      <w:tr w:rsidR="00464ADF" w14:paraId="514DE0E3" w14:textId="77777777">
        <w:trPr>
          <w:jc w:val="center"/>
        </w:trPr>
        <w:tc>
          <w:tcPr>
            <w:tcW w:w="1605" w:type="dxa"/>
            <w:tcBorders>
              <w:top w:val="single" w:sz="8" w:space="0" w:color="FF0000"/>
              <w:left w:val="single" w:sz="8" w:space="0" w:color="FF0000"/>
              <w:bottom w:val="single" w:sz="8" w:space="0" w:color="FF0000"/>
              <w:right w:val="single" w:sz="8" w:space="0" w:color="FF0000"/>
            </w:tcBorders>
            <w:vAlign w:val="center"/>
          </w:tcPr>
          <w:p w14:paraId="63D1CEC9"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交付执行后</w:t>
            </w:r>
          </w:p>
        </w:tc>
        <w:tc>
          <w:tcPr>
            <w:tcW w:w="5190" w:type="dxa"/>
            <w:tcBorders>
              <w:top w:val="single" w:sz="8" w:space="0" w:color="FF0000"/>
              <w:left w:val="single" w:sz="8" w:space="0" w:color="FF0000"/>
              <w:bottom w:val="single" w:sz="8" w:space="0" w:color="FF0000"/>
              <w:right w:val="single" w:sz="8" w:space="0" w:color="FF0000"/>
            </w:tcBorders>
            <w:vAlign w:val="center"/>
          </w:tcPr>
          <w:p w14:paraId="02F6CE1D"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由监狱或者看守所提出书面意见，报省级以上监狱管理机关或者设区的市一级以上公安机关批准</w:t>
            </w:r>
          </w:p>
        </w:tc>
      </w:tr>
    </w:tbl>
    <w:p w14:paraId="33B940B4" w14:textId="77777777" w:rsidR="00464ADF" w:rsidRDefault="00000000">
      <w:pPr>
        <w:ind w:firstLineChars="200" w:firstLine="360"/>
        <w:rPr>
          <w:rFonts w:ascii="宋体" w:eastAsia="宋体" w:hAnsi="宋体" w:hint="eastAsia"/>
          <w:sz w:val="18"/>
          <w:szCs w:val="18"/>
        </w:rPr>
      </w:pPr>
      <w:r>
        <w:rPr>
          <w:rFonts w:ascii="宋体" w:eastAsia="宋体" w:hAnsi="宋体" w:hint="eastAsia"/>
          <w:color w:val="C00000"/>
          <w:sz w:val="18"/>
          <w:szCs w:val="18"/>
        </w:rPr>
        <w:t>依法实行社区矫正，由社区矫正机构负责执行。（原则上是户籍所在地或经常居住地，若都不合适，则由法院确定社区矫正执行地。）</w:t>
      </w:r>
    </w:p>
    <w:p w14:paraId="64F41ADF"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三、减刑、假释</w:t>
      </w:r>
      <w:r>
        <w:rPr>
          <w:rFonts w:ascii="宋体" w:eastAsia="宋体" w:hAnsi="宋体" w:hint="eastAsia"/>
          <w:b/>
          <w:bCs/>
          <w:color w:val="0070C0"/>
          <w:sz w:val="18"/>
          <w:szCs w:val="18"/>
        </w:rPr>
        <w:t>（重要知识点）</w:t>
      </w:r>
      <w:r>
        <w:rPr>
          <w:rFonts w:ascii="宋体" w:eastAsia="宋体" w:hAnsi="宋体" w:hint="eastAsia"/>
          <w:sz w:val="18"/>
          <w:szCs w:val="18"/>
        </w:rPr>
        <w:t>——死缓无期归高院，其余都是中院；审判员或审判员+人民陪审员进行</w:t>
      </w:r>
    </w:p>
    <w:p w14:paraId="03B7C2EB"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lastRenderedPageBreak/>
        <w:t>减刑、假释案件</w:t>
      </w:r>
      <w:r>
        <w:rPr>
          <w:rFonts w:ascii="宋体" w:eastAsia="宋体" w:hAnsi="宋体" w:hint="eastAsia"/>
          <w:color w:val="C00000"/>
          <w:sz w:val="18"/>
          <w:szCs w:val="18"/>
        </w:rPr>
        <w:t>可以采取开庭审理或者书面审理</w:t>
      </w:r>
      <w:r>
        <w:rPr>
          <w:rFonts w:ascii="宋体" w:eastAsia="宋体" w:hAnsi="宋体" w:hint="eastAsia"/>
          <w:sz w:val="18"/>
          <w:szCs w:val="18"/>
        </w:rPr>
        <w:t>的方式。</w:t>
      </w:r>
      <w:r>
        <w:rPr>
          <w:rFonts w:ascii="宋体" w:eastAsia="宋体" w:hAnsi="宋体" w:hint="eastAsia"/>
          <w:color w:val="C00000"/>
          <w:sz w:val="18"/>
          <w:szCs w:val="18"/>
        </w:rPr>
        <w:t>但下列减刑、假释案件，</w:t>
      </w:r>
      <w:r>
        <w:rPr>
          <w:rFonts w:ascii="宋体" w:eastAsia="宋体" w:hAnsi="宋体" w:hint="eastAsia"/>
          <w:b/>
          <w:bCs/>
          <w:color w:val="C00000"/>
          <w:sz w:val="18"/>
          <w:szCs w:val="18"/>
        </w:rPr>
        <w:t>应当开庭审理</w:t>
      </w:r>
      <w:r>
        <w:rPr>
          <w:rFonts w:ascii="宋体" w:eastAsia="宋体" w:hAnsi="宋体" w:hint="eastAsia"/>
          <w:color w:val="C00000"/>
          <w:sz w:val="18"/>
          <w:szCs w:val="18"/>
        </w:rPr>
        <w:t>：</w:t>
      </w:r>
      <w:r>
        <w:rPr>
          <w:rFonts w:ascii="宋体" w:eastAsia="宋体" w:hAnsi="宋体" w:hint="eastAsia"/>
          <w:sz w:val="18"/>
          <w:szCs w:val="18"/>
        </w:rPr>
        <w:t>（</w:t>
      </w:r>
      <w:r>
        <w:rPr>
          <w:rFonts w:ascii="宋体" w:eastAsia="宋体" w:hAnsi="宋体"/>
          <w:sz w:val="18"/>
          <w:szCs w:val="18"/>
        </w:rPr>
        <w:t>1）</w:t>
      </w:r>
      <w:r>
        <w:rPr>
          <w:rFonts w:ascii="宋体" w:eastAsia="宋体" w:hAnsi="宋体" w:hint="eastAsia"/>
          <w:sz w:val="18"/>
          <w:szCs w:val="18"/>
        </w:rPr>
        <w:t>因罪犯有重大立功表现报请减刑的；（2）报请减刑的起始时间、间隔时间或者减刑幅度不符合司法解释一般规定的；（3）公示期间收到不同意见的；（4）人民检察院有异议的；（5）被报请减刑、假释罪犯系职务犯罪罪犯，组织（领导、参加、包庇、纵容）黑社会性质组织犯罪罪犯，破坏金融管理秩序和金融诈骗犯罪罪犯及其他在社会上有重大影响或社会关注度高的；（6）人民法院认为其他应当开庭审理的。</w:t>
      </w:r>
    </w:p>
    <w:p w14:paraId="3BBD660C" w14:textId="77777777" w:rsidR="00464ADF" w:rsidRDefault="00000000">
      <w:pPr>
        <w:widowControl/>
        <w:ind w:firstLineChars="200" w:firstLine="360"/>
        <w:rPr>
          <w:rFonts w:ascii="宋体" w:eastAsia="宋体" w:hAnsi="宋体" w:hint="eastAsia"/>
          <w:b/>
          <w:bCs/>
          <w:color w:val="C00000"/>
          <w:sz w:val="18"/>
          <w:szCs w:val="18"/>
        </w:rPr>
      </w:pPr>
      <w:r>
        <w:rPr>
          <w:rFonts w:ascii="宋体" w:eastAsia="宋体" w:hAnsi="宋体" w:hint="eastAsia"/>
          <w:sz w:val="18"/>
          <w:szCs w:val="18"/>
        </w:rPr>
        <w:t>法院开庭审理减刑、假释案件，</w:t>
      </w:r>
      <w:r>
        <w:rPr>
          <w:rFonts w:ascii="宋体" w:eastAsia="宋体" w:hAnsi="宋体" w:hint="eastAsia"/>
          <w:color w:val="B00824"/>
          <w:sz w:val="18"/>
          <w:szCs w:val="18"/>
        </w:rPr>
        <w:t>应当通知人民检察院、执行机关及被报请减刑、假释罪犯参加庭审</w:t>
      </w:r>
      <w:r>
        <w:rPr>
          <w:rFonts w:ascii="宋体" w:eastAsia="宋体" w:hAnsi="宋体" w:hint="eastAsia"/>
          <w:sz w:val="18"/>
          <w:szCs w:val="18"/>
        </w:rPr>
        <w:t>。法院根据需要，</w:t>
      </w:r>
      <w:r>
        <w:rPr>
          <w:rFonts w:ascii="宋体" w:eastAsia="宋体" w:hAnsi="宋体" w:hint="eastAsia"/>
          <w:color w:val="B00824"/>
          <w:sz w:val="18"/>
          <w:szCs w:val="18"/>
        </w:rPr>
        <w:t>可以通知证明罪犯确有悔改表现或者立功、重大立功表现的证人，公示期间提出不同意见的人</w:t>
      </w:r>
      <w:r>
        <w:rPr>
          <w:rFonts w:ascii="宋体" w:eastAsia="宋体" w:hAnsi="宋体"/>
          <w:color w:val="B00824"/>
          <w:sz w:val="18"/>
          <w:szCs w:val="18"/>
        </w:rPr>
        <w:t>,以及鉴定人、翻译人员等其他人员参加庭审</w:t>
      </w:r>
      <w:r>
        <w:rPr>
          <w:rFonts w:ascii="宋体" w:eastAsia="宋体" w:hAnsi="宋体"/>
          <w:sz w:val="18"/>
          <w:szCs w:val="18"/>
        </w:rPr>
        <w:t>。</w:t>
      </w:r>
      <w:r>
        <w:rPr>
          <w:rFonts w:ascii="宋体" w:eastAsia="宋体" w:hAnsi="宋体" w:hint="eastAsia"/>
          <w:b/>
          <w:bCs/>
          <w:color w:val="0070C0"/>
          <w:sz w:val="18"/>
          <w:szCs w:val="18"/>
        </w:rPr>
        <w:t>（没有律师）</w:t>
      </w:r>
    </w:p>
    <w:p w14:paraId="6C00A86F" w14:textId="77777777" w:rsidR="00464ADF" w:rsidRDefault="00000000">
      <w:pPr>
        <w:widowControl/>
        <w:ind w:firstLineChars="200" w:firstLine="360"/>
        <w:rPr>
          <w:rFonts w:ascii="宋体" w:eastAsia="宋体" w:hAnsi="宋体" w:hint="eastAsia"/>
          <w:sz w:val="18"/>
          <w:szCs w:val="18"/>
        </w:rPr>
      </w:pPr>
      <w:r>
        <w:rPr>
          <w:rFonts w:ascii="宋体" w:eastAsia="宋体" w:hAnsi="宋体" w:hint="eastAsia"/>
          <w:sz w:val="18"/>
          <w:szCs w:val="18"/>
        </w:rPr>
        <w:t>法院</w:t>
      </w:r>
      <w:r>
        <w:rPr>
          <w:rFonts w:ascii="宋体" w:eastAsia="宋体" w:hAnsi="宋体" w:hint="eastAsia"/>
          <w:color w:val="B00824"/>
          <w:sz w:val="18"/>
          <w:szCs w:val="18"/>
        </w:rPr>
        <w:t>书面审理减刑案件，</w:t>
      </w:r>
      <w:r>
        <w:rPr>
          <w:rFonts w:ascii="宋体" w:eastAsia="宋体" w:hAnsi="宋体" w:hint="eastAsia"/>
          <w:b/>
          <w:bCs/>
          <w:color w:val="B00824"/>
          <w:sz w:val="18"/>
          <w:szCs w:val="18"/>
        </w:rPr>
        <w:t>可以</w:t>
      </w:r>
      <w:r>
        <w:rPr>
          <w:rFonts w:ascii="宋体" w:eastAsia="宋体" w:hAnsi="宋体" w:hint="eastAsia"/>
          <w:color w:val="B00824"/>
          <w:sz w:val="18"/>
          <w:szCs w:val="18"/>
        </w:rPr>
        <w:t>提讯被报请减刑罪犯</w:t>
      </w:r>
      <w:r>
        <w:rPr>
          <w:rFonts w:ascii="宋体" w:eastAsia="宋体" w:hAnsi="宋体" w:hint="eastAsia"/>
          <w:sz w:val="18"/>
          <w:szCs w:val="18"/>
        </w:rPr>
        <w:t>；</w:t>
      </w:r>
      <w:r>
        <w:rPr>
          <w:rFonts w:ascii="宋体" w:eastAsia="宋体" w:hAnsi="宋体" w:hint="eastAsia"/>
          <w:color w:val="B00824"/>
          <w:sz w:val="18"/>
          <w:szCs w:val="18"/>
        </w:rPr>
        <w:t>书面审理</w:t>
      </w:r>
      <w:r>
        <w:rPr>
          <w:rFonts w:ascii="宋体" w:eastAsia="宋体" w:hAnsi="宋体" w:hint="eastAsia"/>
          <w:b/>
          <w:bCs/>
          <w:color w:val="B00824"/>
          <w:sz w:val="18"/>
          <w:szCs w:val="18"/>
        </w:rPr>
        <w:t>假释案件，应当</w:t>
      </w:r>
      <w:r>
        <w:rPr>
          <w:rFonts w:ascii="宋体" w:eastAsia="宋体" w:hAnsi="宋体" w:hint="eastAsia"/>
          <w:color w:val="B00824"/>
          <w:sz w:val="18"/>
          <w:szCs w:val="18"/>
        </w:rPr>
        <w:t>提讯被报请假释罪犯</w:t>
      </w:r>
      <w:r>
        <w:rPr>
          <w:rFonts w:ascii="宋体" w:eastAsia="宋体" w:hAnsi="宋体" w:hint="eastAsia"/>
          <w:sz w:val="18"/>
          <w:szCs w:val="18"/>
        </w:rPr>
        <w:t>。</w:t>
      </w:r>
    </w:p>
    <w:p w14:paraId="704A8E80" w14:textId="77777777" w:rsidR="00464ADF" w:rsidRDefault="00000000">
      <w:pPr>
        <w:widowControl/>
        <w:ind w:firstLineChars="200" w:firstLine="361"/>
        <w:rPr>
          <w:rFonts w:ascii="宋体" w:eastAsia="宋体" w:hAnsi="宋体" w:hint="eastAsia"/>
          <w:color w:val="C00000"/>
          <w:sz w:val="18"/>
          <w:szCs w:val="18"/>
        </w:rPr>
      </w:pPr>
      <w:r>
        <w:rPr>
          <w:rFonts w:ascii="宋体" w:eastAsia="宋体" w:hAnsi="宋体" w:hint="eastAsia"/>
          <w:b/>
          <w:bCs/>
          <w:sz w:val="18"/>
          <w:szCs w:val="18"/>
        </w:rPr>
        <w:t>检查监督：</w:t>
      </w:r>
      <w:r>
        <w:rPr>
          <w:rFonts w:ascii="宋体" w:eastAsia="宋体" w:hAnsi="宋体" w:hint="eastAsia"/>
          <w:sz w:val="18"/>
          <w:szCs w:val="18"/>
        </w:rPr>
        <w:t>人民检察院认为人民法院减刑、假释裁定不当，</w:t>
      </w:r>
      <w:r>
        <w:rPr>
          <w:rFonts w:ascii="宋体" w:eastAsia="宋体" w:hAnsi="宋体" w:hint="eastAsia"/>
          <w:color w:val="C00000"/>
          <w:sz w:val="18"/>
          <w:szCs w:val="18"/>
        </w:rPr>
        <w:t>在法定期限内提出书面纠正意见的，人民法院应当在收到纠正意见后另行组成合议庭审理，并在一个月内作出裁定。</w:t>
      </w:r>
    </w:p>
    <w:p w14:paraId="7749BF28" w14:textId="77777777" w:rsidR="00464ADF" w:rsidRDefault="00000000">
      <w:pPr>
        <w:widowControl/>
        <w:ind w:firstLineChars="200" w:firstLine="360"/>
        <w:rPr>
          <w:rFonts w:ascii="宋体" w:hAnsi="宋体" w:hint="eastAsia"/>
          <w:sz w:val="18"/>
          <w:szCs w:val="18"/>
        </w:rPr>
      </w:pPr>
      <w:r>
        <w:rPr>
          <w:rFonts w:ascii="宋体" w:eastAsia="宋体" w:hAnsi="宋体" w:hint="eastAsia"/>
          <w:sz w:val="18"/>
          <w:szCs w:val="18"/>
        </w:rPr>
        <w:t>人民法院发现本院已经生效的减刑、假释裁定确有错误的，</w:t>
      </w:r>
      <w:r>
        <w:rPr>
          <w:rFonts w:ascii="宋体" w:eastAsia="宋体" w:hAnsi="宋体" w:hint="eastAsia"/>
          <w:color w:val="C00000"/>
          <w:sz w:val="18"/>
          <w:szCs w:val="18"/>
        </w:rPr>
        <w:t>应当依法重新组成合议庭进行审理并作出裁定；</w:t>
      </w:r>
      <w:r>
        <w:rPr>
          <w:rFonts w:ascii="宋体" w:eastAsia="宋体" w:hAnsi="宋体" w:hint="eastAsia"/>
          <w:sz w:val="18"/>
          <w:szCs w:val="18"/>
        </w:rPr>
        <w:t>上级人民法院发现下级人民法院已经生效的减刑、假释裁定确有错误的，</w:t>
      </w:r>
      <w:r>
        <w:rPr>
          <w:rFonts w:ascii="宋体" w:eastAsia="宋体" w:hAnsi="宋体" w:hint="eastAsia"/>
          <w:color w:val="C00000"/>
          <w:sz w:val="18"/>
          <w:szCs w:val="18"/>
        </w:rPr>
        <w:t>应当指令下级人民法院另行组成合议庭审理，也可以自行依法组成合议庭进行审理并作出裁定。</w:t>
      </w:r>
      <w:bookmarkStart w:id="91" w:name="_Toc136521803"/>
      <w:bookmarkStart w:id="92" w:name="_Toc4844158"/>
      <w:bookmarkStart w:id="93" w:name="_Toc4637"/>
    </w:p>
    <w:p w14:paraId="633748B5" w14:textId="20E7F47A" w:rsidR="00464ADF" w:rsidRDefault="00000000">
      <w:pPr>
        <w:pStyle w:val="1"/>
        <w:tabs>
          <w:tab w:val="left" w:pos="420"/>
        </w:tabs>
        <w:spacing w:before="0" w:after="0" w:line="240" w:lineRule="auto"/>
        <w:jc w:val="center"/>
        <w:rPr>
          <w:rFonts w:ascii="宋体" w:hAnsi="宋体" w:hint="eastAsia"/>
          <w:bCs w:val="0"/>
          <w:sz w:val="18"/>
          <w:szCs w:val="18"/>
        </w:rPr>
      </w:pPr>
      <w:r>
        <w:rPr>
          <w:rFonts w:ascii="宋体" w:hAnsi="宋体" w:hint="eastAsia"/>
          <w:bCs w:val="0"/>
          <w:sz w:val="18"/>
          <w:szCs w:val="18"/>
        </w:rPr>
        <w:t>考点6</w:t>
      </w:r>
      <w:r>
        <w:rPr>
          <w:rFonts w:ascii="宋体" w:hAnsi="宋体"/>
          <w:bCs w:val="0"/>
          <w:sz w:val="18"/>
          <w:szCs w:val="18"/>
        </w:rPr>
        <w:t xml:space="preserve">3  </w:t>
      </w:r>
      <w:r>
        <w:rPr>
          <w:rFonts w:ascii="宋体" w:hAnsi="宋体" w:hint="eastAsia"/>
          <w:bCs w:val="0"/>
          <w:sz w:val="18"/>
          <w:szCs w:val="18"/>
        </w:rPr>
        <w:t>未成年人刑事案件诉讼程序的</w:t>
      </w:r>
      <w:bookmarkStart w:id="94" w:name="_Toc136521804"/>
      <w:bookmarkStart w:id="95" w:name="_Toc135400625"/>
      <w:bookmarkEnd w:id="91"/>
      <w:r>
        <w:rPr>
          <w:rFonts w:ascii="宋体" w:hAnsi="宋体" w:hint="eastAsia"/>
          <w:bCs w:val="0"/>
          <w:sz w:val="18"/>
          <w:szCs w:val="18"/>
        </w:rPr>
        <w:t>基本原则</w:t>
      </w:r>
      <w:bookmarkEnd w:id="94"/>
      <w:bookmarkEnd w:id="95"/>
      <w:r w:rsidR="000612DA">
        <w:rPr>
          <w:rFonts w:ascii="宋体" w:hAnsi="宋体" w:cs="宋体" w:hint="eastAsia"/>
          <w:bCs w:val="0"/>
          <w:sz w:val="18"/>
          <w:szCs w:val="18"/>
        </w:rPr>
        <w:t>（</w:t>
      </w:r>
      <w:r w:rsidR="006C4261">
        <w:rPr>
          <w:rFonts w:ascii="宋体" w:hAnsi="宋体" w:cs="宋体" w:hint="eastAsia"/>
          <w:bCs w:val="0"/>
          <w:sz w:val="18"/>
          <w:szCs w:val="18"/>
        </w:rPr>
        <w:t>12</w:t>
      </w:r>
      <w:r w:rsidR="000612DA">
        <w:rPr>
          <w:rFonts w:ascii="宋体" w:hAnsi="宋体" w:cs="宋体" w:hint="eastAsia"/>
          <w:bCs w:val="0"/>
          <w:sz w:val="18"/>
          <w:szCs w:val="18"/>
        </w:rPr>
        <w:t>:</w:t>
      </w:r>
      <w:r w:rsidR="006C4261">
        <w:rPr>
          <w:rFonts w:ascii="宋体" w:hAnsi="宋体" w:cs="宋体" w:hint="eastAsia"/>
          <w:bCs w:val="0"/>
          <w:sz w:val="18"/>
          <w:szCs w:val="18"/>
        </w:rPr>
        <w:t>30</w:t>
      </w:r>
      <w:r w:rsidR="000612DA">
        <w:rPr>
          <w:rFonts w:ascii="宋体" w:hAnsi="宋体" w:cs="宋体" w:hint="eastAsia"/>
          <w:bCs w:val="0"/>
          <w:sz w:val="18"/>
          <w:szCs w:val="18"/>
        </w:rPr>
        <w:t>:00-</w:t>
      </w:r>
      <w:r w:rsidR="0016176D">
        <w:rPr>
          <w:rFonts w:ascii="宋体" w:hAnsi="宋体" w:cs="宋体" w:hint="eastAsia"/>
          <w:bCs w:val="0"/>
          <w:sz w:val="18"/>
          <w:szCs w:val="18"/>
        </w:rPr>
        <w:t>12</w:t>
      </w:r>
      <w:r w:rsidR="000612DA">
        <w:rPr>
          <w:rFonts w:ascii="宋体" w:hAnsi="宋体" w:cs="宋体" w:hint="eastAsia"/>
          <w:bCs w:val="0"/>
          <w:sz w:val="18"/>
          <w:szCs w:val="18"/>
        </w:rPr>
        <w:t>:</w:t>
      </w:r>
      <w:r w:rsidR="007B038F">
        <w:rPr>
          <w:rFonts w:ascii="宋体" w:hAnsi="宋体" w:cs="宋体" w:hint="eastAsia"/>
          <w:bCs w:val="0"/>
          <w:sz w:val="18"/>
          <w:szCs w:val="18"/>
        </w:rPr>
        <w:t>39</w:t>
      </w:r>
      <w:r w:rsidR="000612DA">
        <w:rPr>
          <w:rFonts w:ascii="宋体" w:hAnsi="宋体" w:cs="宋体" w:hint="eastAsia"/>
          <w:bCs w:val="0"/>
          <w:sz w:val="18"/>
          <w:szCs w:val="18"/>
        </w:rPr>
        <w:t>:00）</w:t>
      </w:r>
    </w:p>
    <w:bookmarkEnd w:id="92"/>
    <w:bookmarkEnd w:id="93"/>
    <w:p w14:paraId="5AED263D" w14:textId="77777777" w:rsidR="00464ADF" w:rsidRDefault="00000000">
      <w:pPr>
        <w:pStyle w:val="3"/>
        <w:spacing w:line="240" w:lineRule="auto"/>
        <w:ind w:firstLineChars="200" w:firstLine="360"/>
        <w:rPr>
          <w:rFonts w:eastAsia="宋体" w:hint="eastAsia"/>
          <w:color w:val="C00000"/>
          <w:sz w:val="18"/>
          <w:szCs w:val="18"/>
        </w:rPr>
      </w:pPr>
      <w:r>
        <w:rPr>
          <w:rFonts w:eastAsia="宋体" w:hint="eastAsia"/>
          <w:color w:val="C00000"/>
          <w:sz w:val="18"/>
          <w:szCs w:val="18"/>
        </w:rPr>
        <w:t>方针：教育、感化、挽救</w:t>
      </w:r>
    </w:p>
    <w:p w14:paraId="56E0CDDF" w14:textId="77777777" w:rsidR="00464ADF" w:rsidRDefault="00000000">
      <w:pPr>
        <w:pStyle w:val="3"/>
        <w:spacing w:line="240" w:lineRule="auto"/>
        <w:ind w:firstLineChars="200" w:firstLine="360"/>
        <w:rPr>
          <w:rFonts w:eastAsia="宋体" w:hint="eastAsia"/>
          <w:b/>
          <w:sz w:val="18"/>
          <w:szCs w:val="18"/>
        </w:rPr>
      </w:pPr>
      <w:r>
        <w:rPr>
          <w:rFonts w:eastAsia="宋体" w:hint="eastAsia"/>
          <w:sz w:val="18"/>
          <w:szCs w:val="18"/>
        </w:rPr>
        <w:t>一、未成年人刑事案件诉讼程序的原则</w:t>
      </w:r>
    </w:p>
    <w:p w14:paraId="0946CA71" w14:textId="77777777" w:rsidR="00464ADF" w:rsidRDefault="00000000">
      <w:pPr>
        <w:pStyle w:val="4"/>
        <w:tabs>
          <w:tab w:val="left" w:pos="420"/>
        </w:tabs>
        <w:spacing w:before="0" w:after="0" w:line="240" w:lineRule="auto"/>
        <w:ind w:firstLineChars="200" w:firstLine="360"/>
        <w:jc w:val="left"/>
        <w:rPr>
          <w:rFonts w:ascii="宋体" w:eastAsia="宋体" w:hAnsi="宋体" w:hint="eastAsia"/>
          <w:b w:val="0"/>
          <w:sz w:val="18"/>
          <w:szCs w:val="18"/>
        </w:rPr>
      </w:pPr>
      <w:r>
        <w:rPr>
          <w:rFonts w:ascii="宋体" w:eastAsia="宋体" w:hAnsi="宋体" w:hint="eastAsia"/>
          <w:b w:val="0"/>
          <w:sz w:val="18"/>
          <w:szCs w:val="18"/>
        </w:rPr>
        <w:t>（一）最有利于未成年人和保障未成年人权利原则</w:t>
      </w:r>
    </w:p>
    <w:p w14:paraId="7BD11023" w14:textId="77777777" w:rsidR="00464ADF" w:rsidRDefault="00000000">
      <w:pPr>
        <w:pStyle w:val="4"/>
        <w:tabs>
          <w:tab w:val="left" w:pos="420"/>
        </w:tabs>
        <w:spacing w:before="0" w:after="0" w:line="240" w:lineRule="auto"/>
        <w:ind w:firstLineChars="200" w:firstLine="360"/>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（二）分案处理原则</w:t>
      </w:r>
    </w:p>
    <w:p w14:paraId="1E650CAC" w14:textId="77777777" w:rsidR="00464ADF" w:rsidRDefault="00000000">
      <w:pPr>
        <w:ind w:firstLine="420"/>
        <w:jc w:val="left"/>
        <w:rPr>
          <w:rFonts w:ascii="宋体" w:eastAsia="宋体" w:hAnsi="宋体" w:hint="eastAsia"/>
          <w:sz w:val="18"/>
          <w:szCs w:val="18"/>
        </w:rPr>
      </w:pPr>
      <w:r>
        <w:rPr>
          <w:rFonts w:ascii="宋体" w:eastAsia="宋体" w:hAnsi="宋体" w:cs="汉仪中黑简" w:hint="eastAsia"/>
          <w:bCs/>
          <w:kern w:val="44"/>
          <w:sz w:val="18"/>
          <w:szCs w:val="18"/>
        </w:rPr>
        <w:t>一般应分案起诉。</w:t>
      </w:r>
      <w:r>
        <w:rPr>
          <w:rFonts w:ascii="宋体" w:eastAsia="宋体" w:hAnsi="宋体" w:hint="eastAsia"/>
          <w:b/>
          <w:bCs/>
          <w:sz w:val="18"/>
          <w:szCs w:val="18"/>
        </w:rPr>
        <w:t>可以不分案起诉：</w:t>
      </w:r>
      <w:r>
        <w:rPr>
          <w:rFonts w:ascii="宋体" w:eastAsia="宋体" w:hAnsi="宋体" w:hint="eastAsia"/>
          <w:sz w:val="18"/>
          <w:szCs w:val="18"/>
        </w:rPr>
        <w:t>未成年人系犯罪集团的组织者或者其他共同犯罪中的主犯的；案件重大、疑难、复杂，分案起诉可能妨碍案件审理的；涉及刑事附带民事诉讼，分案起诉妨碍附带民事诉讼部分审理的；具有其他不宜分案起诉情形的。</w:t>
      </w:r>
      <w:r>
        <w:rPr>
          <w:rFonts w:ascii="宋体" w:eastAsia="宋体" w:hAnsi="宋体" w:hint="eastAsia"/>
          <w:color w:val="C00000"/>
          <w:sz w:val="18"/>
          <w:szCs w:val="18"/>
        </w:rPr>
        <w:t>对分案起诉至同一人民法院的未成年人与成年人共同犯罪案件，可以由同一个审判组织审理；不宜由同一个审判组织审理的，可以分别审理。</w:t>
      </w:r>
    </w:p>
    <w:p w14:paraId="25A3E300" w14:textId="77777777" w:rsidR="00464ADF" w:rsidRDefault="00000000">
      <w:pPr>
        <w:ind w:firstLineChars="200" w:firstLine="360"/>
        <w:rPr>
          <w:rFonts w:ascii="宋体" w:eastAsia="宋体" w:hAnsi="宋体" w:hint="eastAsia"/>
          <w:sz w:val="18"/>
          <w:szCs w:val="18"/>
        </w:rPr>
      </w:pPr>
      <w:r>
        <w:rPr>
          <w:rFonts w:ascii="宋体" w:eastAsia="宋体" w:hAnsi="宋体"/>
          <w:sz w:val="18"/>
          <w:szCs w:val="18"/>
        </w:rPr>
        <w:t>对被拘留、逮捕和执行刑罚的未成年人与成年人</w:t>
      </w:r>
      <w:r>
        <w:rPr>
          <w:rFonts w:ascii="宋体" w:eastAsia="宋体" w:hAnsi="宋体"/>
          <w:color w:val="B00824"/>
          <w:sz w:val="18"/>
          <w:szCs w:val="18"/>
        </w:rPr>
        <w:t>应当分别关押、分别管理、分别教育</w:t>
      </w:r>
      <w:r>
        <w:rPr>
          <w:rFonts w:ascii="宋体" w:eastAsia="宋体" w:hAnsi="宋体"/>
          <w:sz w:val="18"/>
          <w:szCs w:val="18"/>
        </w:rPr>
        <w:t>。</w:t>
      </w:r>
    </w:p>
    <w:p w14:paraId="1B48398A"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（三）全面调查原则</w:t>
      </w:r>
      <w:r>
        <w:rPr>
          <w:rFonts w:ascii="宋体" w:eastAsia="宋体" w:hAnsi="宋体" w:hint="eastAsia"/>
          <w:b w:val="0"/>
          <w:color w:val="C00000"/>
          <w:sz w:val="18"/>
          <w:szCs w:val="18"/>
        </w:rPr>
        <w:t>（与认罪认罚中的社会调查评估类似，但有区别，注意联动）</w:t>
      </w:r>
    </w:p>
    <w:p w14:paraId="3CD42200" w14:textId="77777777" w:rsidR="00464ADF" w:rsidRDefault="00000000">
      <w:pPr>
        <w:ind w:firstLineChars="200" w:firstLine="361"/>
        <w:rPr>
          <w:rFonts w:ascii="宋体" w:eastAsia="宋体" w:hAnsi="宋体" w:hint="eastAsia"/>
          <w:b/>
          <w:bCs/>
          <w:color w:val="0070C0"/>
          <w:sz w:val="18"/>
          <w:szCs w:val="18"/>
        </w:rPr>
      </w:pPr>
      <w:r>
        <w:rPr>
          <w:rFonts w:ascii="宋体" w:eastAsia="宋体" w:hAnsi="宋体" w:hint="eastAsia"/>
          <w:b/>
          <w:bCs/>
          <w:color w:val="0070C0"/>
          <w:sz w:val="18"/>
          <w:szCs w:val="18"/>
        </w:rPr>
        <w:t>公检法三机关可以自己做，也可以委托做；调查报告仅为参考，不是依据。</w:t>
      </w:r>
    </w:p>
    <w:p w14:paraId="31291CB0" w14:textId="77777777" w:rsidR="00464ADF" w:rsidRDefault="00000000">
      <w:pPr>
        <w:ind w:firstLineChars="200" w:firstLine="360"/>
        <w:rPr>
          <w:rFonts w:ascii="宋体" w:eastAsia="宋体" w:hAnsi="宋体" w:hint="eastAsia"/>
          <w:sz w:val="18"/>
          <w:szCs w:val="18"/>
        </w:rPr>
      </w:pPr>
      <w:r>
        <w:rPr>
          <w:rFonts w:ascii="宋体" w:eastAsia="宋体" w:hAnsi="宋体"/>
          <w:color w:val="B00824"/>
          <w:sz w:val="18"/>
          <w:szCs w:val="18"/>
        </w:rPr>
        <w:t>人民检察院开展社会调查，可以委托有关组织和机构进行</w:t>
      </w:r>
      <w:r>
        <w:rPr>
          <w:rFonts w:ascii="宋体" w:eastAsia="宋体" w:hAnsi="宋体"/>
          <w:sz w:val="18"/>
          <w:szCs w:val="18"/>
        </w:rPr>
        <w:t>。人民检察院应当</w:t>
      </w:r>
      <w:r>
        <w:rPr>
          <w:rFonts w:ascii="宋体" w:eastAsia="宋体" w:hAnsi="宋体"/>
          <w:color w:val="B00824"/>
          <w:sz w:val="18"/>
          <w:szCs w:val="18"/>
        </w:rPr>
        <w:t>对公安机关移送的社会调查报告进行审查，必要时可以进行补充调查</w:t>
      </w:r>
      <w:r>
        <w:rPr>
          <w:rFonts w:ascii="宋体" w:eastAsia="宋体" w:hAnsi="宋体"/>
          <w:sz w:val="18"/>
          <w:szCs w:val="18"/>
        </w:rPr>
        <w:t>。</w:t>
      </w:r>
      <w:r>
        <w:rPr>
          <w:rFonts w:ascii="宋体" w:eastAsia="宋体" w:hAnsi="宋体"/>
          <w:color w:val="B00824"/>
          <w:sz w:val="18"/>
          <w:szCs w:val="18"/>
        </w:rPr>
        <w:t>提起</w:t>
      </w:r>
      <w:hyperlink r:id="rId9" w:tgtFrame="_blank" w:history="1">
        <w:r w:rsidR="00464ADF">
          <w:rPr>
            <w:rFonts w:ascii="宋体" w:eastAsia="宋体" w:hAnsi="宋体"/>
            <w:color w:val="B00824"/>
            <w:sz w:val="18"/>
            <w:szCs w:val="18"/>
          </w:rPr>
          <w:t>公诉</w:t>
        </w:r>
      </w:hyperlink>
      <w:r>
        <w:rPr>
          <w:rFonts w:ascii="宋体" w:eastAsia="宋体" w:hAnsi="宋体"/>
          <w:color w:val="B00824"/>
          <w:sz w:val="18"/>
          <w:szCs w:val="18"/>
        </w:rPr>
        <w:t>的案件，社会调查报告应当随案移送人民法院</w:t>
      </w:r>
      <w:r>
        <w:rPr>
          <w:rFonts w:ascii="宋体" w:eastAsia="宋体" w:hAnsi="宋体"/>
          <w:sz w:val="18"/>
          <w:szCs w:val="18"/>
        </w:rPr>
        <w:t>。</w:t>
      </w:r>
    </w:p>
    <w:p w14:paraId="113E58BE"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必要时，</w:t>
      </w:r>
      <w:r>
        <w:rPr>
          <w:rFonts w:ascii="宋体" w:eastAsia="宋体" w:hAnsi="宋体" w:cs="宋体" w:hint="eastAsia"/>
          <w:color w:val="C00000"/>
          <w:sz w:val="18"/>
          <w:szCs w:val="18"/>
        </w:rPr>
        <w:t>人民法院可以委托</w:t>
      </w:r>
      <w:r>
        <w:rPr>
          <w:rFonts w:ascii="宋体" w:eastAsia="宋体" w:hAnsi="宋体" w:cs="宋体" w:hint="eastAsia"/>
          <w:color w:val="000000" w:themeColor="text1"/>
          <w:sz w:val="18"/>
          <w:szCs w:val="18"/>
        </w:rPr>
        <w:t>社区矫正机构、共青团、社会组织等对未成年被告人的上述情况</w:t>
      </w:r>
      <w:r>
        <w:rPr>
          <w:rFonts w:ascii="宋体" w:eastAsia="宋体" w:hAnsi="宋体" w:cs="宋体" w:hint="eastAsia"/>
          <w:color w:val="C00000"/>
          <w:sz w:val="18"/>
          <w:szCs w:val="18"/>
        </w:rPr>
        <w:t>进行调查</w:t>
      </w:r>
      <w:r>
        <w:rPr>
          <w:rFonts w:ascii="宋体" w:eastAsia="宋体" w:hAnsi="宋体" w:cs="宋体" w:hint="eastAsia"/>
          <w:color w:val="000000" w:themeColor="text1"/>
          <w:sz w:val="18"/>
          <w:szCs w:val="18"/>
        </w:rPr>
        <w:t>，</w:t>
      </w:r>
      <w:r>
        <w:rPr>
          <w:rFonts w:ascii="宋体" w:eastAsia="宋体" w:hAnsi="宋体" w:cs="宋体" w:hint="eastAsia"/>
          <w:color w:val="C00000"/>
          <w:sz w:val="18"/>
          <w:szCs w:val="18"/>
        </w:rPr>
        <w:t>或者自行调查</w:t>
      </w:r>
      <w:r>
        <w:rPr>
          <w:rFonts w:ascii="宋体" w:eastAsia="宋体" w:hAnsi="宋体" w:cs="宋体" w:hint="eastAsia"/>
          <w:color w:val="000000" w:themeColor="text1"/>
          <w:sz w:val="18"/>
          <w:szCs w:val="18"/>
        </w:rPr>
        <w:t>。</w:t>
      </w:r>
    </w:p>
    <w:p w14:paraId="1FDF2B78" w14:textId="77777777" w:rsidR="00464ADF" w:rsidRDefault="00000000">
      <w:pPr>
        <w:ind w:firstLine="420"/>
        <w:rPr>
          <w:rFonts w:ascii="宋体" w:eastAsia="宋体" w:hAnsi="宋体" w:hint="eastAsia"/>
          <w:sz w:val="18"/>
          <w:szCs w:val="18"/>
        </w:rPr>
      </w:pPr>
      <w:r>
        <w:rPr>
          <w:rFonts w:ascii="宋体" w:eastAsia="宋体" w:hAnsi="宋体" w:cs="宋体" w:hint="eastAsia"/>
          <w:color w:val="000000" w:themeColor="text1"/>
          <w:sz w:val="18"/>
          <w:szCs w:val="18"/>
        </w:rPr>
        <w:t>对未成年被告人情况的调查报告，以及辩护人提交的有关未成年被告人情况的书面材料，</w:t>
      </w:r>
      <w:r>
        <w:rPr>
          <w:rFonts w:ascii="宋体" w:eastAsia="宋体" w:hAnsi="宋体" w:cs="宋体" w:hint="eastAsia"/>
          <w:color w:val="C00000"/>
          <w:sz w:val="18"/>
          <w:szCs w:val="18"/>
        </w:rPr>
        <w:t>法庭应当审查并听取控辩双方意见。</w:t>
      </w:r>
      <w:r>
        <w:rPr>
          <w:rFonts w:ascii="宋体" w:eastAsia="宋体" w:hAnsi="宋体" w:cs="宋体" w:hint="eastAsia"/>
          <w:color w:val="000000" w:themeColor="text1"/>
          <w:sz w:val="18"/>
          <w:szCs w:val="18"/>
        </w:rPr>
        <w:t>上述报告和材料可以作为办理案件和教育未成年人的</w:t>
      </w:r>
      <w:r>
        <w:rPr>
          <w:rFonts w:ascii="宋体" w:eastAsia="宋体" w:hAnsi="宋体" w:cs="宋体" w:hint="eastAsia"/>
          <w:color w:val="C00000"/>
          <w:sz w:val="18"/>
          <w:szCs w:val="18"/>
        </w:rPr>
        <w:t>参考</w:t>
      </w:r>
      <w:r>
        <w:rPr>
          <w:rFonts w:ascii="宋体" w:eastAsia="宋体" w:hAnsi="宋体" w:cs="宋体" w:hint="eastAsia"/>
          <w:color w:val="000000" w:themeColor="text1"/>
          <w:sz w:val="18"/>
          <w:szCs w:val="18"/>
        </w:rPr>
        <w:t>。人民法院</w:t>
      </w:r>
      <w:r>
        <w:rPr>
          <w:rFonts w:ascii="宋体" w:eastAsia="宋体" w:hAnsi="宋体" w:cs="宋体" w:hint="eastAsia"/>
          <w:color w:val="C00000"/>
          <w:sz w:val="18"/>
          <w:szCs w:val="18"/>
        </w:rPr>
        <w:t>可以通知</w:t>
      </w:r>
      <w:r>
        <w:rPr>
          <w:rFonts w:ascii="宋体" w:eastAsia="宋体" w:hAnsi="宋体" w:cs="宋体" w:hint="eastAsia"/>
          <w:color w:val="000000" w:themeColor="text1"/>
          <w:sz w:val="18"/>
          <w:szCs w:val="18"/>
        </w:rPr>
        <w:t>作出调查报告的人员出庭说明情况，接受控辩双方和法庭的询问。</w:t>
      </w:r>
    </w:p>
    <w:p w14:paraId="4F936825" w14:textId="412B5396" w:rsidR="00464ADF" w:rsidRDefault="00000000">
      <w:pPr>
        <w:pStyle w:val="1"/>
        <w:tabs>
          <w:tab w:val="left" w:pos="420"/>
        </w:tabs>
        <w:spacing w:before="0" w:after="0" w:line="240" w:lineRule="auto"/>
        <w:jc w:val="center"/>
        <w:rPr>
          <w:rFonts w:ascii="宋体" w:hAnsi="宋体" w:hint="eastAsia"/>
          <w:bCs w:val="0"/>
          <w:sz w:val="18"/>
          <w:szCs w:val="18"/>
        </w:rPr>
      </w:pPr>
      <w:bookmarkStart w:id="96" w:name="_Toc4844159"/>
      <w:bookmarkStart w:id="97" w:name="_Toc17980"/>
      <w:bookmarkStart w:id="98" w:name="_Toc136521805"/>
      <w:bookmarkStart w:id="99" w:name="_Toc510879176"/>
      <w:r>
        <w:rPr>
          <w:rFonts w:ascii="宋体" w:hAnsi="宋体" w:hint="eastAsia"/>
          <w:bCs w:val="0"/>
          <w:sz w:val="18"/>
          <w:szCs w:val="18"/>
        </w:rPr>
        <w:t>考点6</w:t>
      </w:r>
      <w:r>
        <w:rPr>
          <w:rFonts w:ascii="宋体" w:hAnsi="宋体"/>
          <w:bCs w:val="0"/>
          <w:sz w:val="18"/>
          <w:szCs w:val="18"/>
        </w:rPr>
        <w:t>4</w:t>
      </w:r>
      <w:r>
        <w:rPr>
          <w:rFonts w:ascii="宋体" w:hAnsi="宋体" w:hint="eastAsia"/>
          <w:bCs w:val="0"/>
          <w:sz w:val="18"/>
          <w:szCs w:val="18"/>
        </w:rPr>
        <w:t xml:space="preserve">  合适成年人在场制度</w:t>
      </w:r>
      <w:bookmarkEnd w:id="96"/>
      <w:bookmarkEnd w:id="97"/>
      <w:bookmarkEnd w:id="98"/>
      <w:bookmarkEnd w:id="99"/>
      <w:r w:rsidR="000612DA">
        <w:rPr>
          <w:rFonts w:ascii="宋体" w:hAnsi="宋体" w:cs="宋体" w:hint="eastAsia"/>
          <w:bCs w:val="0"/>
          <w:sz w:val="18"/>
          <w:szCs w:val="18"/>
        </w:rPr>
        <w:t>（</w:t>
      </w:r>
      <w:r w:rsidR="007B038F">
        <w:rPr>
          <w:rFonts w:ascii="宋体" w:hAnsi="宋体" w:cs="宋体" w:hint="eastAsia"/>
          <w:bCs w:val="0"/>
          <w:sz w:val="18"/>
          <w:szCs w:val="18"/>
        </w:rPr>
        <w:t>12:39:00</w:t>
      </w:r>
      <w:r w:rsidR="000612DA">
        <w:rPr>
          <w:rFonts w:ascii="宋体" w:hAnsi="宋体" w:cs="宋体" w:hint="eastAsia"/>
          <w:bCs w:val="0"/>
          <w:sz w:val="18"/>
          <w:szCs w:val="18"/>
        </w:rPr>
        <w:t>-</w:t>
      </w:r>
      <w:r w:rsidR="007B038F">
        <w:rPr>
          <w:rFonts w:ascii="宋体" w:hAnsi="宋体" w:cs="宋体" w:hint="eastAsia"/>
          <w:bCs w:val="0"/>
          <w:sz w:val="18"/>
          <w:szCs w:val="18"/>
        </w:rPr>
        <w:t>12</w:t>
      </w:r>
      <w:r w:rsidR="000612DA">
        <w:rPr>
          <w:rFonts w:ascii="宋体" w:hAnsi="宋体" w:cs="宋体" w:hint="eastAsia"/>
          <w:bCs w:val="0"/>
          <w:sz w:val="18"/>
          <w:szCs w:val="18"/>
        </w:rPr>
        <w:t>:</w:t>
      </w:r>
      <w:r w:rsidR="002F60E3">
        <w:rPr>
          <w:rFonts w:ascii="宋体" w:hAnsi="宋体" w:cs="宋体" w:hint="eastAsia"/>
          <w:bCs w:val="0"/>
          <w:sz w:val="18"/>
          <w:szCs w:val="18"/>
        </w:rPr>
        <w:t>45</w:t>
      </w:r>
      <w:r w:rsidR="000612DA">
        <w:rPr>
          <w:rFonts w:ascii="宋体" w:hAnsi="宋体" w:cs="宋体" w:hint="eastAsia"/>
          <w:bCs w:val="0"/>
          <w:sz w:val="18"/>
          <w:szCs w:val="18"/>
        </w:rPr>
        <w:t>:00）</w:t>
      </w:r>
    </w:p>
    <w:p w14:paraId="650F2D34" w14:textId="77777777" w:rsidR="00464ADF" w:rsidRDefault="00000000">
      <w:pPr>
        <w:pStyle w:val="3"/>
        <w:spacing w:line="240" w:lineRule="auto"/>
        <w:ind w:firstLineChars="200" w:firstLine="360"/>
        <w:rPr>
          <w:rFonts w:eastAsia="宋体" w:hint="eastAsia"/>
          <w:color w:val="auto"/>
          <w:sz w:val="18"/>
          <w:szCs w:val="18"/>
        </w:rPr>
      </w:pPr>
      <w:bookmarkStart w:id="100" w:name="_Toc510879178"/>
      <w:r>
        <w:rPr>
          <w:rFonts w:eastAsia="宋体" w:hint="eastAsia"/>
          <w:color w:val="auto"/>
          <w:sz w:val="18"/>
          <w:szCs w:val="18"/>
        </w:rPr>
        <w:t>一、合适成年人在场制度的适用范围：</w:t>
      </w:r>
      <w:r>
        <w:rPr>
          <w:rFonts w:eastAsia="宋体" w:hint="eastAsia"/>
          <w:color w:val="C00000"/>
          <w:sz w:val="18"/>
          <w:szCs w:val="18"/>
        </w:rPr>
        <w:t>讯问未成年犯罪嫌疑人；询问未成年被害人、证人；审理未成年人刑事案件（包括简易程序）及宣判</w:t>
      </w:r>
    </w:p>
    <w:p w14:paraId="124614F6" w14:textId="77777777" w:rsidR="00464ADF" w:rsidRDefault="00000000">
      <w:pPr>
        <w:pStyle w:val="3"/>
        <w:spacing w:line="240" w:lineRule="auto"/>
        <w:ind w:firstLineChars="200" w:firstLine="360"/>
        <w:rPr>
          <w:rFonts w:eastAsia="宋体" w:hint="eastAsia"/>
          <w:b/>
          <w:bCs/>
          <w:color w:val="C00000"/>
          <w:sz w:val="18"/>
          <w:szCs w:val="18"/>
        </w:rPr>
      </w:pPr>
      <w:r>
        <w:rPr>
          <w:rFonts w:eastAsia="宋体" w:hint="eastAsia"/>
          <w:color w:val="auto"/>
          <w:sz w:val="18"/>
          <w:szCs w:val="18"/>
        </w:rPr>
        <w:t>二、</w:t>
      </w:r>
      <w:r>
        <w:rPr>
          <w:rFonts w:eastAsia="宋体" w:hint="eastAsia"/>
          <w:sz w:val="18"/>
          <w:szCs w:val="18"/>
        </w:rPr>
        <w:t>合适成年人的范围</w:t>
      </w:r>
      <w:bookmarkEnd w:id="100"/>
      <w:r>
        <w:rPr>
          <w:rFonts w:eastAsia="宋体" w:hint="eastAsia"/>
          <w:sz w:val="18"/>
          <w:szCs w:val="18"/>
        </w:rPr>
        <w:t>：</w:t>
      </w:r>
      <w:r>
        <w:rPr>
          <w:rFonts w:eastAsia="宋体"/>
          <w:color w:val="B00824"/>
          <w:sz w:val="18"/>
          <w:szCs w:val="18"/>
        </w:rPr>
        <w:t>未成年犯罪嫌疑人明确拒绝法定代理人以外的合适成年人到场，人民检察院可以准许，但应当另行通知其他合适成年人到场。</w:t>
      </w:r>
      <w:r>
        <w:rPr>
          <w:rFonts w:eastAsia="宋体" w:hint="eastAsia"/>
          <w:sz w:val="18"/>
          <w:szCs w:val="18"/>
        </w:rPr>
        <w:t>”</w:t>
      </w:r>
      <w:r>
        <w:rPr>
          <w:rFonts w:eastAsia="宋体" w:hint="eastAsia"/>
          <w:b/>
          <w:bCs/>
          <w:color w:val="C00000"/>
          <w:sz w:val="18"/>
          <w:szCs w:val="18"/>
        </w:rPr>
        <w:t>注意，未成年犯罪嫌疑人只能拒绝法定代理人以外的成年人到场，不能拒绝法定代理人到场。</w:t>
      </w:r>
    </w:p>
    <w:p w14:paraId="259ED884"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三、</w:t>
      </w:r>
      <w:bookmarkStart w:id="101" w:name="_Toc510879179"/>
      <w:r>
        <w:rPr>
          <w:rFonts w:ascii="宋体" w:eastAsia="宋体" w:hAnsi="宋体" w:hint="eastAsia"/>
          <w:sz w:val="18"/>
          <w:szCs w:val="18"/>
        </w:rPr>
        <w:t>合适成年人的权利</w:t>
      </w:r>
      <w:bookmarkEnd w:id="101"/>
      <w:r>
        <w:rPr>
          <w:rFonts w:ascii="宋体" w:eastAsia="宋体" w:hAnsi="宋体" w:hint="eastAsia"/>
          <w:sz w:val="18"/>
          <w:szCs w:val="18"/>
        </w:rPr>
        <w:t>：</w:t>
      </w:r>
      <w:r>
        <w:rPr>
          <w:rFonts w:ascii="宋体" w:eastAsia="宋体" w:hAnsi="宋体" w:hint="eastAsia"/>
          <w:color w:val="C00000"/>
          <w:sz w:val="18"/>
          <w:szCs w:val="18"/>
        </w:rPr>
        <w:t>法定代理人专属权利：</w:t>
      </w:r>
      <w:r>
        <w:rPr>
          <w:rFonts w:ascii="宋体" w:eastAsia="宋体" w:hAnsi="宋体" w:hint="eastAsia"/>
          <w:sz w:val="18"/>
          <w:szCs w:val="18"/>
        </w:rPr>
        <w:t>代为行使未成年犯罪嫌疑人、被告人的诉讼权利；</w:t>
      </w:r>
      <w:r>
        <w:rPr>
          <w:rFonts w:ascii="宋体" w:eastAsia="宋体" w:hAnsi="宋体" w:hint="eastAsia"/>
          <w:color w:val="C00000"/>
          <w:sz w:val="18"/>
          <w:szCs w:val="18"/>
        </w:rPr>
        <w:t>未成年被告人最后陈述后可进行</w:t>
      </w:r>
      <w:r>
        <w:rPr>
          <w:rFonts w:ascii="宋体" w:eastAsia="宋体" w:hAnsi="宋体" w:hint="eastAsia"/>
          <w:b/>
          <w:bCs/>
          <w:color w:val="C00000"/>
          <w:sz w:val="18"/>
          <w:szCs w:val="18"/>
        </w:rPr>
        <w:t>补充陈述</w:t>
      </w:r>
      <w:r>
        <w:rPr>
          <w:rFonts w:ascii="宋体" w:eastAsia="宋体" w:hAnsi="宋体" w:hint="eastAsia"/>
          <w:sz w:val="18"/>
          <w:szCs w:val="18"/>
        </w:rPr>
        <w:t>。</w:t>
      </w:r>
    </w:p>
    <w:p w14:paraId="59E50DCD" w14:textId="77777777" w:rsidR="00464ADF" w:rsidRDefault="00000000">
      <w:pPr>
        <w:ind w:firstLineChars="200" w:firstLine="360"/>
        <w:rPr>
          <w:rFonts w:ascii="宋体" w:eastAsia="宋体" w:hAnsi="宋体" w:hint="eastAsia"/>
          <w:sz w:val="18"/>
          <w:szCs w:val="18"/>
        </w:rPr>
      </w:pPr>
      <w:r>
        <w:rPr>
          <w:rFonts w:ascii="宋体" w:eastAsia="宋体" w:hAnsi="宋体" w:hint="eastAsia"/>
          <w:color w:val="C00000"/>
          <w:sz w:val="18"/>
          <w:szCs w:val="18"/>
        </w:rPr>
        <w:t>被告人实施被指控的犯罪时不满十八周岁，开庭时已满十八周岁、不满二十周岁的</w:t>
      </w:r>
      <w:r>
        <w:rPr>
          <w:rFonts w:ascii="宋体" w:eastAsia="宋体" w:hAnsi="宋体" w:hint="eastAsia"/>
          <w:sz w:val="18"/>
          <w:szCs w:val="18"/>
        </w:rPr>
        <w:t>，人民法院开庭时，</w:t>
      </w:r>
      <w:r>
        <w:rPr>
          <w:rFonts w:ascii="宋体" w:eastAsia="宋体" w:hAnsi="宋体" w:hint="eastAsia"/>
          <w:color w:val="C00000"/>
          <w:sz w:val="18"/>
          <w:szCs w:val="18"/>
        </w:rPr>
        <w:t>一般应当通知其近亲属到庭。经法庭同意，近亲属可以发表意见。</w:t>
      </w:r>
      <w:r>
        <w:rPr>
          <w:rFonts w:ascii="宋体" w:eastAsia="宋体" w:hAnsi="宋体" w:hint="eastAsia"/>
          <w:sz w:val="18"/>
          <w:szCs w:val="18"/>
        </w:rPr>
        <w:t>近亲属无法通知、不能到场或者是共犯的，应当记录在案。</w:t>
      </w:r>
    </w:p>
    <w:p w14:paraId="434F671C" w14:textId="4DDAC7F2" w:rsidR="00464ADF" w:rsidRDefault="00000000">
      <w:pPr>
        <w:pStyle w:val="1"/>
        <w:tabs>
          <w:tab w:val="left" w:pos="420"/>
        </w:tabs>
        <w:spacing w:before="0" w:after="0" w:line="240" w:lineRule="auto"/>
        <w:jc w:val="center"/>
        <w:rPr>
          <w:rFonts w:ascii="宋体" w:hAnsi="宋体" w:hint="eastAsia"/>
          <w:bCs w:val="0"/>
          <w:sz w:val="18"/>
          <w:szCs w:val="18"/>
        </w:rPr>
      </w:pPr>
      <w:bookmarkStart w:id="102" w:name="_Toc27805"/>
      <w:bookmarkStart w:id="103" w:name="_Toc4844160"/>
      <w:bookmarkStart w:id="104" w:name="_Toc136521806"/>
      <w:bookmarkStart w:id="105" w:name="_Toc510879180"/>
      <w:r>
        <w:rPr>
          <w:rFonts w:ascii="宋体" w:hAnsi="宋体" w:hint="eastAsia"/>
          <w:bCs w:val="0"/>
          <w:sz w:val="18"/>
          <w:szCs w:val="18"/>
        </w:rPr>
        <w:lastRenderedPageBreak/>
        <w:t>考点6</w:t>
      </w:r>
      <w:r>
        <w:rPr>
          <w:rFonts w:ascii="宋体" w:hAnsi="宋体"/>
          <w:bCs w:val="0"/>
          <w:sz w:val="18"/>
          <w:szCs w:val="18"/>
        </w:rPr>
        <w:t>5</w:t>
      </w:r>
      <w:r>
        <w:rPr>
          <w:rFonts w:ascii="宋体" w:hAnsi="宋体" w:hint="eastAsia"/>
          <w:bCs w:val="0"/>
          <w:sz w:val="18"/>
          <w:szCs w:val="18"/>
        </w:rPr>
        <w:t xml:space="preserve">  附条件不起诉制度</w:t>
      </w:r>
      <w:bookmarkEnd w:id="102"/>
      <w:bookmarkEnd w:id="103"/>
      <w:bookmarkEnd w:id="104"/>
      <w:bookmarkEnd w:id="105"/>
      <w:r w:rsidR="00BC6500">
        <w:rPr>
          <w:rFonts w:ascii="宋体" w:hAnsi="宋体" w:cs="宋体" w:hint="eastAsia"/>
          <w:bCs w:val="0"/>
          <w:sz w:val="18"/>
          <w:szCs w:val="18"/>
        </w:rPr>
        <w:t>（</w:t>
      </w:r>
      <w:r w:rsidR="002F60E3">
        <w:rPr>
          <w:rFonts w:ascii="宋体" w:hAnsi="宋体" w:cs="宋体" w:hint="eastAsia"/>
          <w:bCs w:val="0"/>
          <w:sz w:val="18"/>
          <w:szCs w:val="18"/>
        </w:rPr>
        <w:t>12</w:t>
      </w:r>
      <w:r w:rsidR="00BC6500">
        <w:rPr>
          <w:rFonts w:ascii="宋体" w:hAnsi="宋体" w:cs="宋体" w:hint="eastAsia"/>
          <w:bCs w:val="0"/>
          <w:sz w:val="18"/>
          <w:szCs w:val="18"/>
        </w:rPr>
        <w:t>:</w:t>
      </w:r>
      <w:r w:rsidR="002F60E3">
        <w:rPr>
          <w:rFonts w:ascii="宋体" w:hAnsi="宋体" w:cs="宋体" w:hint="eastAsia"/>
          <w:bCs w:val="0"/>
          <w:sz w:val="18"/>
          <w:szCs w:val="18"/>
        </w:rPr>
        <w:t>45</w:t>
      </w:r>
      <w:r w:rsidR="00BC6500">
        <w:rPr>
          <w:rFonts w:ascii="宋体" w:hAnsi="宋体" w:cs="宋体" w:hint="eastAsia"/>
          <w:bCs w:val="0"/>
          <w:sz w:val="18"/>
          <w:szCs w:val="18"/>
        </w:rPr>
        <w:t>:00-</w:t>
      </w:r>
      <w:r w:rsidR="00276DBB">
        <w:rPr>
          <w:rFonts w:ascii="宋体" w:hAnsi="宋体" w:cs="宋体" w:hint="eastAsia"/>
          <w:bCs w:val="0"/>
          <w:sz w:val="18"/>
          <w:szCs w:val="18"/>
        </w:rPr>
        <w:t>12</w:t>
      </w:r>
      <w:r w:rsidR="00BC6500">
        <w:rPr>
          <w:rFonts w:ascii="宋体" w:hAnsi="宋体" w:cs="宋体" w:hint="eastAsia"/>
          <w:bCs w:val="0"/>
          <w:sz w:val="18"/>
          <w:szCs w:val="18"/>
        </w:rPr>
        <w:t>:</w:t>
      </w:r>
      <w:r w:rsidR="00276DBB">
        <w:rPr>
          <w:rFonts w:ascii="宋体" w:hAnsi="宋体" w:cs="宋体" w:hint="eastAsia"/>
          <w:bCs w:val="0"/>
          <w:sz w:val="18"/>
          <w:szCs w:val="18"/>
        </w:rPr>
        <w:t>57</w:t>
      </w:r>
      <w:r w:rsidR="00BC6500">
        <w:rPr>
          <w:rFonts w:ascii="宋体" w:hAnsi="宋体" w:cs="宋体" w:hint="eastAsia"/>
          <w:bCs w:val="0"/>
          <w:sz w:val="18"/>
          <w:szCs w:val="18"/>
        </w:rPr>
        <w:t>:00）</w:t>
      </w:r>
    </w:p>
    <w:p w14:paraId="58337DC1" w14:textId="77777777" w:rsidR="00464ADF" w:rsidRDefault="00000000">
      <w:pPr>
        <w:pStyle w:val="3"/>
        <w:spacing w:line="240" w:lineRule="auto"/>
        <w:ind w:firstLineChars="200" w:firstLine="360"/>
        <w:rPr>
          <w:rFonts w:eastAsia="宋体" w:hint="eastAsia"/>
          <w:sz w:val="18"/>
          <w:szCs w:val="18"/>
        </w:rPr>
      </w:pPr>
      <w:bookmarkStart w:id="106" w:name="_Toc510879181"/>
      <w:r>
        <w:rPr>
          <w:rFonts w:eastAsia="宋体" w:hint="eastAsia"/>
          <w:sz w:val="18"/>
          <w:szCs w:val="18"/>
        </w:rPr>
        <w:t>一、附条件不起诉的适用对象和条件</w:t>
      </w:r>
      <w:bookmarkEnd w:id="106"/>
    </w:p>
    <w:p w14:paraId="4A6C341F" w14:textId="77777777" w:rsidR="00464ADF" w:rsidRDefault="00000000">
      <w:pPr>
        <w:ind w:firstLine="420"/>
        <w:outlineLvl w:val="0"/>
        <w:rPr>
          <w:rFonts w:ascii="宋体" w:eastAsia="宋体" w:hAnsi="宋体" w:hint="eastAsia"/>
          <w:sz w:val="18"/>
          <w:szCs w:val="18"/>
        </w:rPr>
      </w:pPr>
      <w:r>
        <w:rPr>
          <w:rFonts w:ascii="宋体" w:eastAsia="宋体" w:hAnsi="宋体" w:hint="eastAsia"/>
          <w:sz w:val="18"/>
          <w:szCs w:val="18"/>
        </w:rPr>
        <w:t>犯罪时已满十四周岁不满十八周岁的未成年人，涉嫌刑法分则</w:t>
      </w:r>
      <w:r>
        <w:rPr>
          <w:rFonts w:ascii="宋体" w:eastAsia="宋体" w:hAnsi="宋体" w:hint="eastAsia"/>
          <w:color w:val="C00000"/>
          <w:sz w:val="18"/>
          <w:szCs w:val="18"/>
        </w:rPr>
        <w:t>第四章、第五章、第六章</w:t>
      </w:r>
      <w:r>
        <w:rPr>
          <w:rFonts w:ascii="宋体" w:eastAsia="宋体" w:hAnsi="宋体" w:hint="eastAsia"/>
          <w:sz w:val="18"/>
          <w:szCs w:val="18"/>
        </w:rPr>
        <w:t>规定的犯罪，根据具体犯罪事实、情节，可能被判处一年有期徒刑以下刑罚，犯罪事实清楚，证据确实、充分，</w:t>
      </w:r>
      <w:r>
        <w:rPr>
          <w:rFonts w:ascii="宋体" w:eastAsia="宋体" w:hAnsi="宋体" w:hint="eastAsia"/>
          <w:color w:val="C00000"/>
          <w:sz w:val="18"/>
          <w:szCs w:val="18"/>
        </w:rPr>
        <w:t>符合起诉条件</w:t>
      </w:r>
      <w:r>
        <w:rPr>
          <w:rFonts w:ascii="宋体" w:eastAsia="宋体" w:hAnsi="宋体" w:hint="eastAsia"/>
          <w:sz w:val="18"/>
          <w:szCs w:val="18"/>
        </w:rPr>
        <w:t>，具有悔罪表现。</w:t>
      </w:r>
    </w:p>
    <w:p w14:paraId="34186F64" w14:textId="77777777" w:rsidR="00464ADF" w:rsidRDefault="00000000">
      <w:pPr>
        <w:ind w:firstLine="420"/>
        <w:outlineLvl w:val="0"/>
        <w:rPr>
          <w:rFonts w:hint="eastAsia"/>
        </w:rPr>
      </w:pPr>
      <w:r>
        <w:rPr>
          <w:rFonts w:ascii="宋体" w:eastAsia="宋体" w:hAnsi="宋体" w:hint="eastAsia"/>
          <w:b/>
          <w:bCs/>
          <w:color w:val="C00000"/>
          <w:sz w:val="18"/>
          <w:szCs w:val="18"/>
        </w:rPr>
        <w:t>寻衅滋事、聚众斗殴可以附条件不起诉，但是不能刑事和解！</w:t>
      </w:r>
    </w:p>
    <w:p w14:paraId="287618E9" w14:textId="77777777" w:rsidR="00464ADF" w:rsidRDefault="00000000">
      <w:pPr>
        <w:pStyle w:val="3"/>
        <w:spacing w:line="240" w:lineRule="auto"/>
        <w:ind w:firstLineChars="200" w:firstLine="360"/>
        <w:rPr>
          <w:rFonts w:eastAsia="宋体" w:hint="eastAsia"/>
          <w:sz w:val="18"/>
          <w:szCs w:val="18"/>
        </w:rPr>
      </w:pPr>
      <w:bookmarkStart w:id="107" w:name="_Toc510879182"/>
      <w:r>
        <w:rPr>
          <w:rFonts w:eastAsia="宋体" w:hint="eastAsia"/>
          <w:sz w:val="18"/>
          <w:szCs w:val="18"/>
        </w:rPr>
        <w:t>二、附条件不起诉的相关程序</w:t>
      </w:r>
      <w:bookmarkEnd w:id="107"/>
    </w:p>
    <w:p w14:paraId="55A6645B" w14:textId="77777777" w:rsidR="00464ADF" w:rsidRDefault="00000000">
      <w:pPr>
        <w:pStyle w:val="3"/>
        <w:spacing w:line="240" w:lineRule="auto"/>
        <w:ind w:firstLineChars="200" w:firstLine="360"/>
        <w:rPr>
          <w:rFonts w:eastAsia="宋体" w:hint="eastAsia"/>
          <w:color w:val="auto"/>
          <w:sz w:val="18"/>
          <w:szCs w:val="18"/>
        </w:rPr>
      </w:pPr>
      <w:r>
        <w:rPr>
          <w:rFonts w:eastAsia="宋体" w:hint="eastAsia"/>
          <w:color w:val="auto"/>
          <w:sz w:val="18"/>
          <w:szCs w:val="18"/>
        </w:rPr>
        <w:t>人民检察院作出附条件不起诉的决定后，应当制作附条件不起诉决定书。送达时，应当告知被害人或者其近亲属及其诉讼代理人，</w:t>
      </w:r>
      <w:r>
        <w:rPr>
          <w:rFonts w:eastAsia="宋体" w:hint="eastAsia"/>
          <w:color w:val="B00824"/>
          <w:sz w:val="18"/>
          <w:szCs w:val="18"/>
        </w:rPr>
        <w:t>如果对附条件不起诉决定不服，可以自收到附条件不起诉决定书后七日以内向上一级人民检察院</w:t>
      </w:r>
      <w:r>
        <w:rPr>
          <w:rFonts w:eastAsia="宋体" w:hint="eastAsia"/>
          <w:b/>
          <w:bCs/>
          <w:color w:val="B00824"/>
          <w:sz w:val="18"/>
          <w:szCs w:val="18"/>
        </w:rPr>
        <w:t>申诉</w:t>
      </w:r>
      <w:r>
        <w:rPr>
          <w:rFonts w:eastAsia="宋体" w:hint="eastAsia"/>
          <w:color w:val="auto"/>
          <w:sz w:val="18"/>
          <w:szCs w:val="18"/>
        </w:rPr>
        <w:t>。</w:t>
      </w:r>
    </w:p>
    <w:p w14:paraId="6B64DC5C" w14:textId="77777777" w:rsidR="00464ADF" w:rsidRDefault="00000000">
      <w:pPr>
        <w:pStyle w:val="3"/>
        <w:spacing w:line="240" w:lineRule="auto"/>
        <w:ind w:firstLineChars="200" w:firstLine="360"/>
        <w:rPr>
          <w:rFonts w:eastAsia="宋体" w:hint="eastAsia"/>
          <w:b/>
          <w:sz w:val="18"/>
          <w:szCs w:val="18"/>
        </w:rPr>
      </w:pPr>
      <w:r>
        <w:rPr>
          <w:rFonts w:eastAsia="宋体"/>
          <w:color w:val="B00824"/>
          <w:sz w:val="18"/>
          <w:szCs w:val="18"/>
        </w:rPr>
        <w:t>未成年犯罪嫌疑人在押的，作出附条件不起诉决定后，人民检察院</w:t>
      </w:r>
      <w:r>
        <w:rPr>
          <w:rFonts w:eastAsia="宋体"/>
          <w:b/>
          <w:bCs/>
          <w:color w:val="B00824"/>
          <w:sz w:val="18"/>
          <w:szCs w:val="18"/>
        </w:rPr>
        <w:t>应当作出释放或者变更强制措施的决定。</w:t>
      </w:r>
    </w:p>
    <w:p w14:paraId="1766A571" w14:textId="77777777" w:rsidR="00464ADF" w:rsidRDefault="00000000">
      <w:pPr>
        <w:ind w:firstLineChars="200" w:firstLine="361"/>
        <w:rPr>
          <w:rFonts w:ascii="宋体" w:eastAsia="宋体" w:hAnsi="宋体" w:hint="eastAsia"/>
          <w:b/>
          <w:bCs/>
          <w:color w:val="C00000"/>
          <w:sz w:val="18"/>
          <w:szCs w:val="18"/>
        </w:rPr>
      </w:pPr>
      <w:bookmarkStart w:id="108" w:name="_Toc510879183"/>
      <w:r>
        <w:rPr>
          <w:rFonts w:ascii="宋体" w:eastAsia="宋体" w:hAnsi="宋体" w:hint="eastAsia"/>
          <w:b/>
          <w:bCs/>
          <w:color w:val="C00000"/>
          <w:sz w:val="18"/>
          <w:szCs w:val="18"/>
        </w:rPr>
        <w:t>被害人不能提起自诉。</w:t>
      </w:r>
    </w:p>
    <w:p w14:paraId="57E5A8CE" w14:textId="77777777" w:rsidR="00464ADF" w:rsidRDefault="00000000">
      <w:pPr>
        <w:ind w:firstLineChars="200" w:firstLine="360"/>
        <w:rPr>
          <w:rFonts w:ascii="宋体" w:eastAsia="宋体" w:hAnsi="宋体" w:hint="eastAsia"/>
          <w:color w:val="B00824"/>
          <w:sz w:val="18"/>
          <w:szCs w:val="18"/>
        </w:rPr>
      </w:pPr>
      <w:r>
        <w:rPr>
          <w:rFonts w:ascii="宋体" w:eastAsia="宋体" w:hAnsi="宋体" w:hint="eastAsia"/>
          <w:sz w:val="18"/>
          <w:szCs w:val="18"/>
        </w:rPr>
        <w:t>三、附条件不起诉的考验期</w:t>
      </w:r>
      <w:bookmarkEnd w:id="108"/>
    </w:p>
    <w:p w14:paraId="2089CEFD" w14:textId="77777777" w:rsidR="00464ADF" w:rsidRDefault="00000000">
      <w:pPr>
        <w:ind w:firstLineChars="200" w:firstLine="360"/>
        <w:rPr>
          <w:rFonts w:ascii="宋体" w:eastAsia="宋体" w:hAnsi="宋体" w:hint="eastAsia"/>
          <w:sz w:val="18"/>
          <w:szCs w:val="18"/>
        </w:rPr>
      </w:pPr>
      <w:r>
        <w:rPr>
          <w:rFonts w:ascii="宋体" w:eastAsia="宋体" w:hAnsi="宋体"/>
          <w:sz w:val="18"/>
          <w:szCs w:val="18"/>
        </w:rPr>
        <w:t>考验期为</w:t>
      </w:r>
      <w:r>
        <w:rPr>
          <w:rFonts w:ascii="宋体" w:eastAsia="宋体" w:hAnsi="宋体"/>
          <w:color w:val="B00824"/>
          <w:sz w:val="18"/>
          <w:szCs w:val="18"/>
        </w:rPr>
        <w:t>六个月以上一年以下</w:t>
      </w:r>
      <w:r>
        <w:rPr>
          <w:rFonts w:ascii="宋体" w:eastAsia="宋体" w:hAnsi="宋体"/>
          <w:sz w:val="18"/>
          <w:szCs w:val="18"/>
        </w:rPr>
        <w:t>，</w:t>
      </w:r>
      <w:r>
        <w:rPr>
          <w:rFonts w:ascii="宋体" w:eastAsia="宋体" w:hAnsi="宋体"/>
          <w:color w:val="B00824"/>
          <w:sz w:val="18"/>
          <w:szCs w:val="18"/>
        </w:rPr>
        <w:t>从人民检察院作出附条件不起诉的决定之日起计算</w:t>
      </w:r>
      <w:r>
        <w:rPr>
          <w:rFonts w:ascii="宋体" w:eastAsia="宋体" w:hAnsi="宋体"/>
          <w:sz w:val="18"/>
          <w:szCs w:val="18"/>
        </w:rPr>
        <w:t>。</w:t>
      </w:r>
      <w:r>
        <w:rPr>
          <w:rFonts w:ascii="宋体" w:eastAsia="宋体" w:hAnsi="宋体"/>
          <w:color w:val="B00824"/>
          <w:sz w:val="18"/>
          <w:szCs w:val="18"/>
        </w:rPr>
        <w:t>考验期不计人案件审查起诉期限</w:t>
      </w:r>
      <w:r>
        <w:rPr>
          <w:rFonts w:ascii="宋体" w:eastAsia="宋体" w:hAnsi="宋体"/>
          <w:sz w:val="18"/>
          <w:szCs w:val="18"/>
        </w:rPr>
        <w:t>。</w:t>
      </w:r>
      <w:r>
        <w:rPr>
          <w:rFonts w:ascii="宋体" w:eastAsia="宋体" w:hAnsi="宋体"/>
          <w:color w:val="B00824"/>
          <w:sz w:val="18"/>
          <w:szCs w:val="18"/>
        </w:rPr>
        <w:t>根据未成年犯罪嫌疑人在考验期的表现，可以在法定期限范围内适当缩短或者延长</w:t>
      </w:r>
      <w:r>
        <w:rPr>
          <w:rFonts w:ascii="宋体" w:eastAsia="宋体" w:hAnsi="宋体"/>
          <w:sz w:val="18"/>
          <w:szCs w:val="18"/>
        </w:rPr>
        <w:t>。</w:t>
      </w:r>
    </w:p>
    <w:p w14:paraId="61D685D1"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考验期内监督考察的主体和方式：</w:t>
      </w:r>
      <w:r>
        <w:rPr>
          <w:rFonts w:ascii="宋体" w:eastAsia="宋体" w:hAnsi="宋体"/>
          <w:b w:val="0"/>
          <w:bCs w:val="0"/>
          <w:sz w:val="18"/>
          <w:szCs w:val="18"/>
        </w:rPr>
        <w:t>在附条件不起诉的考验期内，由</w:t>
      </w:r>
      <w:r>
        <w:rPr>
          <w:rFonts w:ascii="宋体" w:eastAsia="宋体" w:hAnsi="宋体"/>
          <w:b w:val="0"/>
          <w:bCs w:val="0"/>
          <w:color w:val="B00824"/>
          <w:sz w:val="18"/>
          <w:szCs w:val="18"/>
        </w:rPr>
        <w:t>人民检察院</w:t>
      </w:r>
      <w:r>
        <w:rPr>
          <w:rFonts w:ascii="宋体" w:eastAsia="宋体" w:hAnsi="宋体"/>
          <w:b w:val="0"/>
          <w:bCs w:val="0"/>
          <w:sz w:val="18"/>
          <w:szCs w:val="18"/>
        </w:rPr>
        <w:t>对被附条件不起诉的未成年犯罪嫌疑人进行监督考察。未成年犯罪嫌疑人经批准离开所居住的市、县或者迁居，作出附条件不起诉决定的人民检察院可以要求</w:t>
      </w:r>
      <w:r>
        <w:rPr>
          <w:rFonts w:ascii="宋体" w:eastAsia="宋体" w:hAnsi="宋体"/>
          <w:b w:val="0"/>
          <w:bCs w:val="0"/>
          <w:color w:val="B00824"/>
          <w:sz w:val="18"/>
          <w:szCs w:val="18"/>
        </w:rPr>
        <w:t>迁入地的人民检察院协助进行考察</w:t>
      </w:r>
      <w:r>
        <w:rPr>
          <w:rFonts w:ascii="宋体" w:eastAsia="宋体" w:hAnsi="宋体"/>
          <w:b w:val="0"/>
          <w:bCs w:val="0"/>
          <w:sz w:val="18"/>
          <w:szCs w:val="18"/>
        </w:rPr>
        <w:t>。</w:t>
      </w:r>
      <w:bookmarkStart w:id="109" w:name="_Toc510879184"/>
    </w:p>
    <w:p w14:paraId="7DD88ED2"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四、附条件不起诉的后果</w:t>
      </w:r>
      <w:bookmarkEnd w:id="109"/>
    </w:p>
    <w:p w14:paraId="77EBFDB4" w14:textId="34EB6FD4"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撤销附条件不起诉决定，提起公诉：熟记讲义中所附表格</w:t>
      </w:r>
    </w:p>
    <w:p w14:paraId="3370E67E"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考验期满后的处理——</w:t>
      </w:r>
      <w:r>
        <w:rPr>
          <w:rFonts w:ascii="宋体" w:eastAsia="宋体" w:hAnsi="宋体"/>
          <w:sz w:val="18"/>
          <w:szCs w:val="18"/>
        </w:rPr>
        <w:t>作出附条件不起诉决定的案件，</w:t>
      </w:r>
      <w:r>
        <w:rPr>
          <w:rFonts w:ascii="宋体" w:eastAsia="宋体" w:hAnsi="宋体"/>
          <w:color w:val="B00824"/>
          <w:sz w:val="18"/>
          <w:szCs w:val="18"/>
        </w:rPr>
        <w:t>审查起诉期限自人民检察院作出附条件不起诉决定之日起中止计算</w:t>
      </w:r>
      <w:r>
        <w:rPr>
          <w:rFonts w:ascii="宋体" w:eastAsia="宋体" w:hAnsi="宋体"/>
          <w:sz w:val="18"/>
          <w:szCs w:val="18"/>
        </w:rPr>
        <w:t>，</w:t>
      </w:r>
      <w:r>
        <w:rPr>
          <w:rFonts w:ascii="宋体" w:eastAsia="宋体" w:hAnsi="宋体"/>
          <w:color w:val="B00824"/>
          <w:sz w:val="18"/>
          <w:szCs w:val="18"/>
        </w:rPr>
        <w:t>自考验期限届满之日起或者人民检察院作出撤销附条件不起诉决定之日起恢复计算</w:t>
      </w:r>
      <w:r>
        <w:rPr>
          <w:rFonts w:ascii="宋体" w:eastAsia="宋体" w:hAnsi="宋体"/>
          <w:sz w:val="18"/>
          <w:szCs w:val="18"/>
        </w:rPr>
        <w:t>。</w:t>
      </w:r>
    </w:p>
    <w:p w14:paraId="0D472C3E" w14:textId="16FA4D49" w:rsidR="00464ADF" w:rsidRDefault="00000000">
      <w:pPr>
        <w:pStyle w:val="1"/>
        <w:tabs>
          <w:tab w:val="left" w:pos="420"/>
        </w:tabs>
        <w:spacing w:before="0" w:after="0" w:line="240" w:lineRule="auto"/>
        <w:jc w:val="center"/>
        <w:rPr>
          <w:rFonts w:ascii="宋体" w:hAnsi="宋体" w:hint="eastAsia"/>
          <w:bCs w:val="0"/>
          <w:sz w:val="18"/>
          <w:szCs w:val="18"/>
        </w:rPr>
      </w:pPr>
      <w:bookmarkStart w:id="110" w:name="_Toc136521807"/>
      <w:bookmarkStart w:id="111" w:name="_Toc17261"/>
      <w:bookmarkStart w:id="112" w:name="_Toc4844161"/>
      <w:bookmarkStart w:id="113" w:name="_Toc510879185"/>
      <w:r>
        <w:rPr>
          <w:rFonts w:ascii="宋体" w:hAnsi="宋体" w:hint="eastAsia"/>
          <w:bCs w:val="0"/>
          <w:sz w:val="18"/>
          <w:szCs w:val="18"/>
        </w:rPr>
        <w:t>考点</w:t>
      </w:r>
      <w:r>
        <w:rPr>
          <w:rFonts w:ascii="宋体" w:hAnsi="宋体"/>
          <w:bCs w:val="0"/>
          <w:sz w:val="18"/>
          <w:szCs w:val="18"/>
        </w:rPr>
        <w:t>66</w:t>
      </w:r>
      <w:r>
        <w:rPr>
          <w:rFonts w:ascii="宋体" w:hAnsi="宋体" w:hint="eastAsia"/>
          <w:bCs w:val="0"/>
          <w:sz w:val="18"/>
          <w:szCs w:val="18"/>
        </w:rPr>
        <w:t xml:space="preserve">  未成年人刑事案件诉讼程序中的</w:t>
      </w:r>
      <w:bookmarkStart w:id="114" w:name="_Toc135400629"/>
      <w:bookmarkStart w:id="115" w:name="_Toc136521808"/>
      <w:bookmarkEnd w:id="110"/>
      <w:r>
        <w:rPr>
          <w:rFonts w:ascii="宋体" w:hAnsi="宋体" w:hint="eastAsia"/>
          <w:bCs w:val="0"/>
          <w:sz w:val="18"/>
          <w:szCs w:val="18"/>
        </w:rPr>
        <w:t>其他特殊规定</w:t>
      </w:r>
      <w:bookmarkEnd w:id="114"/>
      <w:bookmarkEnd w:id="115"/>
      <w:r w:rsidR="00BC6500">
        <w:rPr>
          <w:rFonts w:ascii="宋体" w:hAnsi="宋体" w:cs="宋体" w:hint="eastAsia"/>
          <w:bCs w:val="0"/>
          <w:sz w:val="18"/>
          <w:szCs w:val="18"/>
        </w:rPr>
        <w:t>（</w:t>
      </w:r>
      <w:r w:rsidR="00276DBB">
        <w:rPr>
          <w:rFonts w:ascii="宋体" w:hAnsi="宋体" w:cs="宋体" w:hint="eastAsia"/>
          <w:bCs w:val="0"/>
          <w:sz w:val="18"/>
          <w:szCs w:val="18"/>
        </w:rPr>
        <w:t>12:57</w:t>
      </w:r>
      <w:r w:rsidR="00BC6500">
        <w:rPr>
          <w:rFonts w:ascii="宋体" w:hAnsi="宋体" w:cs="宋体" w:hint="eastAsia"/>
          <w:bCs w:val="0"/>
          <w:sz w:val="18"/>
          <w:szCs w:val="18"/>
        </w:rPr>
        <w:t>:00-</w:t>
      </w:r>
      <w:r w:rsidR="00E74A1D">
        <w:rPr>
          <w:rFonts w:ascii="宋体" w:hAnsi="宋体" w:cs="宋体" w:hint="eastAsia"/>
          <w:bCs w:val="0"/>
          <w:sz w:val="18"/>
          <w:szCs w:val="18"/>
        </w:rPr>
        <w:t>13</w:t>
      </w:r>
      <w:r w:rsidR="00BC6500">
        <w:rPr>
          <w:rFonts w:ascii="宋体" w:hAnsi="宋体" w:cs="宋体" w:hint="eastAsia"/>
          <w:bCs w:val="0"/>
          <w:sz w:val="18"/>
          <w:szCs w:val="18"/>
        </w:rPr>
        <w:t>:</w:t>
      </w:r>
      <w:r w:rsidR="00E74A1D">
        <w:rPr>
          <w:rFonts w:ascii="宋体" w:hAnsi="宋体" w:cs="宋体" w:hint="eastAsia"/>
          <w:bCs w:val="0"/>
          <w:sz w:val="18"/>
          <w:szCs w:val="18"/>
        </w:rPr>
        <w:t>0</w:t>
      </w:r>
      <w:r w:rsidR="00EA6A46">
        <w:rPr>
          <w:rFonts w:ascii="宋体" w:hAnsi="宋体" w:cs="宋体" w:hint="eastAsia"/>
          <w:bCs w:val="0"/>
          <w:sz w:val="18"/>
          <w:szCs w:val="18"/>
        </w:rPr>
        <w:t>3</w:t>
      </w:r>
      <w:r w:rsidR="00BC6500">
        <w:rPr>
          <w:rFonts w:ascii="宋体" w:hAnsi="宋体" w:cs="宋体" w:hint="eastAsia"/>
          <w:bCs w:val="0"/>
          <w:sz w:val="18"/>
          <w:szCs w:val="18"/>
        </w:rPr>
        <w:t>:00）</w:t>
      </w:r>
    </w:p>
    <w:p w14:paraId="7E791066" w14:textId="77777777" w:rsidR="00464ADF" w:rsidRDefault="00000000">
      <w:pPr>
        <w:pStyle w:val="3"/>
        <w:spacing w:line="240" w:lineRule="auto"/>
        <w:ind w:firstLineChars="200" w:firstLine="360"/>
        <w:rPr>
          <w:rFonts w:eastAsia="宋体" w:hint="eastAsia"/>
          <w:b/>
          <w:sz w:val="18"/>
          <w:szCs w:val="18"/>
        </w:rPr>
      </w:pPr>
      <w:bookmarkStart w:id="116" w:name="_Toc510879189"/>
      <w:bookmarkEnd w:id="111"/>
      <w:bookmarkEnd w:id="112"/>
      <w:bookmarkEnd w:id="113"/>
      <w:r>
        <w:rPr>
          <w:rFonts w:eastAsia="宋体" w:hint="eastAsia"/>
          <w:sz w:val="18"/>
          <w:szCs w:val="18"/>
        </w:rPr>
        <w:t>一、未成年人案件审判组织审理范围</w:t>
      </w:r>
      <w:bookmarkEnd w:id="116"/>
      <w:r>
        <w:rPr>
          <w:rFonts w:eastAsia="宋体" w:hint="eastAsia"/>
          <w:sz w:val="18"/>
          <w:szCs w:val="18"/>
        </w:rPr>
        <w:t>：被告人</w:t>
      </w:r>
      <w:r>
        <w:rPr>
          <w:rFonts w:eastAsia="宋体" w:hint="eastAsia"/>
          <w:color w:val="C00000"/>
          <w:sz w:val="18"/>
          <w:szCs w:val="18"/>
        </w:rPr>
        <w:t>实施被指控的犯罪时不满十八周岁、人民法院立案时不满二十周岁的案件，由未成年人案件审判组织审理。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6379"/>
        <w:gridCol w:w="1427"/>
      </w:tblGrid>
      <w:tr w:rsidR="00464ADF" w14:paraId="39FEAA19" w14:textId="77777777">
        <w:trPr>
          <w:trHeight w:val="325"/>
          <w:jc w:val="center"/>
        </w:trPr>
        <w:tc>
          <w:tcPr>
            <w:tcW w:w="7078" w:type="dxa"/>
            <w:gridSpan w:val="2"/>
            <w:tcBorders>
              <w:top w:val="single" w:sz="8" w:space="0" w:color="FF0000"/>
              <w:left w:val="single" w:sz="8" w:space="0" w:color="FF0000"/>
              <w:bottom w:val="single" w:sz="8" w:space="0" w:color="FF0000"/>
              <w:right w:val="single" w:sz="8" w:space="0" w:color="FF0000"/>
            </w:tcBorders>
            <w:vAlign w:val="center"/>
          </w:tcPr>
          <w:p w14:paraId="05771D02" w14:textId="77777777" w:rsidR="00464ADF" w:rsidRPr="00E6207A" w:rsidRDefault="00000000" w:rsidP="00467AE9">
            <w:pPr>
              <w:spacing w:beforeLines="10" w:before="31" w:afterLines="20" w:after="62" w:line="200" w:lineRule="exact"/>
              <w:jc w:val="center"/>
              <w:rPr>
                <w:rFonts w:ascii="宋体" w:eastAsia="宋体" w:hAnsi="宋体" w:hint="eastAsia"/>
                <w:bCs/>
                <w:sz w:val="13"/>
                <w:szCs w:val="13"/>
              </w:rPr>
            </w:pPr>
            <w:bookmarkStart w:id="117" w:name="_Toc510879190"/>
            <w:r w:rsidRPr="00E6207A">
              <w:rPr>
                <w:rFonts w:ascii="宋体" w:eastAsia="宋体" w:hAnsi="宋体" w:hint="eastAsia"/>
                <w:bCs/>
                <w:sz w:val="13"/>
                <w:szCs w:val="13"/>
              </w:rPr>
              <w:t>条件</w:t>
            </w:r>
          </w:p>
        </w:tc>
        <w:tc>
          <w:tcPr>
            <w:tcW w:w="1427" w:type="dxa"/>
            <w:tcBorders>
              <w:top w:val="single" w:sz="8" w:space="0" w:color="FF0000"/>
              <w:left w:val="single" w:sz="8" w:space="0" w:color="FF0000"/>
              <w:bottom w:val="single" w:sz="8" w:space="0" w:color="FF0000"/>
              <w:right w:val="single" w:sz="8" w:space="0" w:color="FF0000"/>
            </w:tcBorders>
            <w:vAlign w:val="center"/>
          </w:tcPr>
          <w:p w14:paraId="45A08442" w14:textId="77777777" w:rsidR="00464ADF" w:rsidRPr="00E6207A" w:rsidRDefault="00000000" w:rsidP="00467AE9">
            <w:pPr>
              <w:spacing w:beforeLines="10" w:before="31" w:afterLines="20" w:after="62" w:line="200" w:lineRule="exact"/>
              <w:jc w:val="center"/>
              <w:rPr>
                <w:rFonts w:ascii="宋体" w:eastAsia="宋体" w:hAnsi="宋体" w:hint="eastAsia"/>
                <w:bCs/>
                <w:sz w:val="13"/>
                <w:szCs w:val="13"/>
              </w:rPr>
            </w:pPr>
            <w:r w:rsidRPr="00E6207A">
              <w:rPr>
                <w:rFonts w:ascii="宋体" w:eastAsia="宋体" w:hAnsi="宋体" w:hint="eastAsia"/>
                <w:bCs/>
                <w:sz w:val="13"/>
                <w:szCs w:val="13"/>
              </w:rPr>
              <w:t>法庭</w:t>
            </w:r>
          </w:p>
        </w:tc>
      </w:tr>
      <w:tr w:rsidR="00464ADF" w14:paraId="02BDAA11" w14:textId="77777777">
        <w:trPr>
          <w:trHeight w:val="80"/>
          <w:jc w:val="center"/>
        </w:trPr>
        <w:tc>
          <w:tcPr>
            <w:tcW w:w="699" w:type="dxa"/>
            <w:vMerge w:val="restart"/>
            <w:tcBorders>
              <w:top w:val="single" w:sz="8" w:space="0" w:color="FF0000"/>
              <w:left w:val="single" w:sz="8" w:space="0" w:color="FF0000"/>
              <w:bottom w:val="single" w:sz="8" w:space="0" w:color="FF0000"/>
              <w:right w:val="single" w:sz="8" w:space="0" w:color="FF0000"/>
            </w:tcBorders>
            <w:vAlign w:val="center"/>
          </w:tcPr>
          <w:p w14:paraId="79D05DEA" w14:textId="77777777" w:rsidR="00464ADF" w:rsidRPr="00E6207A" w:rsidRDefault="00000000" w:rsidP="00467AE9">
            <w:pPr>
              <w:spacing w:beforeLines="10" w:before="31" w:afterLines="20" w:after="62" w:line="200" w:lineRule="exact"/>
              <w:jc w:val="center"/>
              <w:rPr>
                <w:rFonts w:ascii="宋体" w:eastAsia="宋体" w:hAnsi="宋体" w:hint="eastAsia"/>
                <w:sz w:val="13"/>
                <w:szCs w:val="13"/>
              </w:rPr>
            </w:pPr>
            <w:r w:rsidRPr="00E6207A">
              <w:rPr>
                <w:rFonts w:ascii="宋体" w:eastAsia="宋体" w:hAnsi="宋体" w:hint="eastAsia"/>
                <w:sz w:val="13"/>
                <w:szCs w:val="13"/>
              </w:rPr>
              <w:t>独立犯罪</w:t>
            </w:r>
          </w:p>
        </w:tc>
        <w:tc>
          <w:tcPr>
            <w:tcW w:w="6379" w:type="dxa"/>
            <w:tcBorders>
              <w:top w:val="single" w:sz="8" w:space="0" w:color="FF0000"/>
              <w:left w:val="single" w:sz="8" w:space="0" w:color="FF0000"/>
              <w:bottom w:val="single" w:sz="8" w:space="0" w:color="FF0000"/>
              <w:right w:val="single" w:sz="8" w:space="0" w:color="FF0000"/>
            </w:tcBorders>
            <w:vAlign w:val="center"/>
          </w:tcPr>
          <w:p w14:paraId="49AFDC3C"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人民法院立案时不满二十二周岁的在校学生犯罪案件</w:t>
            </w:r>
          </w:p>
        </w:tc>
        <w:tc>
          <w:tcPr>
            <w:tcW w:w="1427" w:type="dxa"/>
            <w:vMerge w:val="restart"/>
            <w:tcBorders>
              <w:top w:val="single" w:sz="8" w:space="0" w:color="FF0000"/>
              <w:left w:val="single" w:sz="8" w:space="0" w:color="FF0000"/>
              <w:bottom w:val="single" w:sz="8" w:space="0" w:color="FF0000"/>
              <w:right w:val="single" w:sz="8" w:space="0" w:color="FF0000"/>
            </w:tcBorders>
            <w:vAlign w:val="center"/>
          </w:tcPr>
          <w:p w14:paraId="7AA0B7F2"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未成年人案件审判组织审理</w:t>
            </w:r>
          </w:p>
        </w:tc>
      </w:tr>
      <w:tr w:rsidR="00464ADF" w14:paraId="3B611A35" w14:textId="77777777">
        <w:trPr>
          <w:trHeight w:val="80"/>
          <w:jc w:val="center"/>
        </w:trPr>
        <w:tc>
          <w:tcPr>
            <w:tcW w:w="699" w:type="dxa"/>
            <w:vMerge/>
            <w:tcBorders>
              <w:top w:val="single" w:sz="8" w:space="0" w:color="FF0000"/>
              <w:left w:val="single" w:sz="8" w:space="0" w:color="FF0000"/>
              <w:bottom w:val="single" w:sz="8" w:space="0" w:color="FF0000"/>
              <w:right w:val="single" w:sz="8" w:space="0" w:color="FF0000"/>
            </w:tcBorders>
            <w:vAlign w:val="center"/>
          </w:tcPr>
          <w:p w14:paraId="4131F810" w14:textId="77777777" w:rsidR="00464ADF" w:rsidRPr="00E6207A" w:rsidRDefault="00464ADF" w:rsidP="00467AE9">
            <w:pPr>
              <w:spacing w:beforeLines="10" w:before="31" w:afterLines="20" w:after="62" w:line="200" w:lineRule="exact"/>
              <w:jc w:val="center"/>
              <w:rPr>
                <w:rFonts w:ascii="宋体" w:eastAsia="宋体" w:hAnsi="宋体" w:hint="eastAsia"/>
                <w:sz w:val="13"/>
                <w:szCs w:val="13"/>
              </w:rPr>
            </w:pPr>
          </w:p>
        </w:tc>
        <w:tc>
          <w:tcPr>
            <w:tcW w:w="6379" w:type="dxa"/>
            <w:tcBorders>
              <w:top w:val="single" w:sz="8" w:space="0" w:color="FF0000"/>
              <w:left w:val="single" w:sz="8" w:space="0" w:color="FF0000"/>
              <w:bottom w:val="single" w:sz="8" w:space="0" w:color="FF0000"/>
              <w:right w:val="single" w:sz="8" w:space="0" w:color="FF0000"/>
            </w:tcBorders>
            <w:vAlign w:val="center"/>
          </w:tcPr>
          <w:p w14:paraId="350645E6"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强奸、猥亵、虐待、遗弃未成年人等侵害未成年人人身权利的犯罪案件</w:t>
            </w:r>
          </w:p>
        </w:tc>
        <w:tc>
          <w:tcPr>
            <w:tcW w:w="1427" w:type="dxa"/>
            <w:vMerge/>
            <w:tcBorders>
              <w:top w:val="single" w:sz="8" w:space="0" w:color="FF0000"/>
              <w:left w:val="single" w:sz="8" w:space="0" w:color="FF0000"/>
              <w:bottom w:val="single" w:sz="8" w:space="0" w:color="FF0000"/>
              <w:right w:val="single" w:sz="8" w:space="0" w:color="FF0000"/>
            </w:tcBorders>
            <w:vAlign w:val="center"/>
          </w:tcPr>
          <w:p w14:paraId="4CB448FE" w14:textId="77777777" w:rsidR="00464ADF" w:rsidRPr="00E6207A" w:rsidRDefault="00464ADF" w:rsidP="00467AE9">
            <w:pPr>
              <w:spacing w:beforeLines="10" w:before="31" w:afterLines="20" w:after="62" w:line="200" w:lineRule="exact"/>
              <w:rPr>
                <w:rFonts w:ascii="宋体" w:eastAsia="宋体" w:hAnsi="宋体" w:hint="eastAsia"/>
                <w:sz w:val="13"/>
                <w:szCs w:val="13"/>
              </w:rPr>
            </w:pPr>
          </w:p>
        </w:tc>
      </w:tr>
      <w:tr w:rsidR="00464ADF" w14:paraId="7ED89F39" w14:textId="77777777">
        <w:trPr>
          <w:trHeight w:val="80"/>
          <w:jc w:val="center"/>
        </w:trPr>
        <w:tc>
          <w:tcPr>
            <w:tcW w:w="699" w:type="dxa"/>
            <w:vMerge/>
            <w:tcBorders>
              <w:top w:val="single" w:sz="8" w:space="0" w:color="FF0000"/>
              <w:left w:val="single" w:sz="8" w:space="0" w:color="FF0000"/>
              <w:bottom w:val="single" w:sz="8" w:space="0" w:color="FF0000"/>
              <w:right w:val="single" w:sz="8" w:space="0" w:color="FF0000"/>
            </w:tcBorders>
            <w:vAlign w:val="center"/>
          </w:tcPr>
          <w:p w14:paraId="1737263E" w14:textId="77777777" w:rsidR="00464ADF" w:rsidRPr="00E6207A" w:rsidRDefault="00464ADF" w:rsidP="00467AE9">
            <w:pPr>
              <w:spacing w:beforeLines="10" w:before="31" w:afterLines="20" w:after="62" w:line="200" w:lineRule="exact"/>
              <w:jc w:val="center"/>
              <w:rPr>
                <w:rFonts w:ascii="宋体" w:eastAsia="宋体" w:hAnsi="宋体" w:hint="eastAsia"/>
                <w:sz w:val="13"/>
                <w:szCs w:val="13"/>
              </w:rPr>
            </w:pPr>
          </w:p>
        </w:tc>
        <w:tc>
          <w:tcPr>
            <w:tcW w:w="6379" w:type="dxa"/>
            <w:tcBorders>
              <w:top w:val="single" w:sz="8" w:space="0" w:color="FF0000"/>
              <w:left w:val="single" w:sz="8" w:space="0" w:color="FF0000"/>
              <w:bottom w:val="single" w:sz="8" w:space="0" w:color="FF0000"/>
              <w:right w:val="single" w:sz="8" w:space="0" w:color="FF0000"/>
            </w:tcBorders>
            <w:vAlign w:val="center"/>
          </w:tcPr>
          <w:p w14:paraId="39C2DAD6"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由未成年人案件审判组织审理更为适宜的其他案件</w:t>
            </w:r>
          </w:p>
        </w:tc>
        <w:tc>
          <w:tcPr>
            <w:tcW w:w="1427" w:type="dxa"/>
            <w:vMerge/>
            <w:tcBorders>
              <w:top w:val="single" w:sz="8" w:space="0" w:color="FF0000"/>
              <w:left w:val="single" w:sz="8" w:space="0" w:color="FF0000"/>
              <w:bottom w:val="single" w:sz="8" w:space="0" w:color="FF0000"/>
              <w:right w:val="single" w:sz="8" w:space="0" w:color="FF0000"/>
            </w:tcBorders>
            <w:vAlign w:val="center"/>
          </w:tcPr>
          <w:p w14:paraId="03521412" w14:textId="77777777" w:rsidR="00464ADF" w:rsidRPr="00E6207A" w:rsidRDefault="00464ADF" w:rsidP="00467AE9">
            <w:pPr>
              <w:spacing w:beforeLines="10" w:before="31" w:afterLines="20" w:after="62" w:line="200" w:lineRule="exact"/>
              <w:rPr>
                <w:rFonts w:ascii="宋体" w:eastAsia="宋体" w:hAnsi="宋体" w:hint="eastAsia"/>
                <w:sz w:val="13"/>
                <w:szCs w:val="13"/>
              </w:rPr>
            </w:pPr>
          </w:p>
        </w:tc>
      </w:tr>
      <w:tr w:rsidR="00464ADF" w14:paraId="705CF926" w14:textId="77777777">
        <w:trPr>
          <w:trHeight w:val="80"/>
          <w:jc w:val="center"/>
        </w:trPr>
        <w:tc>
          <w:tcPr>
            <w:tcW w:w="699" w:type="dxa"/>
            <w:tcBorders>
              <w:top w:val="single" w:sz="8" w:space="0" w:color="FF0000"/>
              <w:left w:val="single" w:sz="8" w:space="0" w:color="FF0000"/>
              <w:bottom w:val="single" w:sz="8" w:space="0" w:color="FF0000"/>
              <w:right w:val="single" w:sz="8" w:space="0" w:color="FF0000"/>
            </w:tcBorders>
            <w:vAlign w:val="center"/>
          </w:tcPr>
          <w:p w14:paraId="57613FC0" w14:textId="77777777" w:rsidR="00464ADF" w:rsidRPr="00E6207A" w:rsidRDefault="00000000" w:rsidP="00467AE9">
            <w:pPr>
              <w:spacing w:beforeLines="10" w:before="31" w:afterLines="20" w:after="62" w:line="200" w:lineRule="exact"/>
              <w:jc w:val="center"/>
              <w:rPr>
                <w:rFonts w:ascii="宋体" w:eastAsia="宋体" w:hAnsi="宋体" w:hint="eastAsia"/>
                <w:sz w:val="13"/>
                <w:szCs w:val="13"/>
              </w:rPr>
            </w:pPr>
            <w:r w:rsidRPr="00E6207A">
              <w:rPr>
                <w:rFonts w:ascii="宋体" w:eastAsia="宋体" w:hAnsi="宋体" w:hint="eastAsia"/>
                <w:sz w:val="13"/>
                <w:szCs w:val="13"/>
              </w:rPr>
              <w:t>共同犯罪</w:t>
            </w:r>
          </w:p>
        </w:tc>
        <w:tc>
          <w:tcPr>
            <w:tcW w:w="6379" w:type="dxa"/>
            <w:tcBorders>
              <w:top w:val="single" w:sz="8" w:space="0" w:color="FF0000"/>
              <w:left w:val="single" w:sz="8" w:space="0" w:color="FF0000"/>
              <w:bottom w:val="single" w:sz="8" w:space="0" w:color="FF0000"/>
              <w:right w:val="single" w:sz="8" w:space="0" w:color="FF0000"/>
            </w:tcBorders>
            <w:vAlign w:val="center"/>
          </w:tcPr>
          <w:p w14:paraId="48D784D6"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共同犯罪案件有未成年被告人的或者其他涉及未成年人的刑事案件，是否由未成年人案件审判组织审理</w:t>
            </w:r>
          </w:p>
        </w:tc>
        <w:tc>
          <w:tcPr>
            <w:tcW w:w="1427" w:type="dxa"/>
            <w:tcBorders>
              <w:top w:val="single" w:sz="8" w:space="0" w:color="FF0000"/>
              <w:left w:val="single" w:sz="8" w:space="0" w:color="FF0000"/>
              <w:bottom w:val="single" w:sz="8" w:space="0" w:color="FF0000"/>
              <w:right w:val="single" w:sz="8" w:space="0" w:color="FF0000"/>
            </w:tcBorders>
            <w:vAlign w:val="center"/>
          </w:tcPr>
          <w:p w14:paraId="0F0FE8A7" w14:textId="77777777" w:rsidR="00464ADF" w:rsidRPr="00E6207A" w:rsidRDefault="00000000" w:rsidP="00467AE9">
            <w:pPr>
              <w:spacing w:beforeLines="10" w:before="31" w:afterLines="20" w:after="62" w:line="200" w:lineRule="exact"/>
              <w:rPr>
                <w:rFonts w:ascii="宋体" w:eastAsia="宋体" w:hAnsi="宋体" w:hint="eastAsia"/>
                <w:sz w:val="13"/>
                <w:szCs w:val="13"/>
              </w:rPr>
            </w:pPr>
            <w:r w:rsidRPr="00E6207A">
              <w:rPr>
                <w:rFonts w:ascii="宋体" w:eastAsia="宋体" w:hAnsi="宋体" w:hint="eastAsia"/>
                <w:sz w:val="13"/>
                <w:szCs w:val="13"/>
              </w:rPr>
              <w:t>由院长根据实际情况决定</w:t>
            </w:r>
          </w:p>
        </w:tc>
      </w:tr>
    </w:tbl>
    <w:p w14:paraId="39CF26A2" w14:textId="77777777" w:rsidR="00464ADF" w:rsidRDefault="00000000">
      <w:pPr>
        <w:pStyle w:val="3"/>
        <w:spacing w:line="240" w:lineRule="auto"/>
        <w:ind w:firstLineChars="200" w:firstLine="360"/>
        <w:rPr>
          <w:rFonts w:eastAsia="宋体" w:hint="eastAsia"/>
          <w:b/>
          <w:sz w:val="18"/>
          <w:szCs w:val="18"/>
        </w:rPr>
      </w:pPr>
      <w:r>
        <w:rPr>
          <w:rFonts w:eastAsia="宋体" w:hint="eastAsia"/>
          <w:sz w:val="18"/>
          <w:szCs w:val="18"/>
        </w:rPr>
        <w:t>二、不公开审理</w:t>
      </w:r>
      <w:bookmarkEnd w:id="117"/>
    </w:p>
    <w:p w14:paraId="5B09EA32" w14:textId="77777777" w:rsidR="00464ADF" w:rsidRDefault="00000000">
      <w:pPr>
        <w:ind w:firstLineChars="200" w:firstLine="360"/>
        <w:rPr>
          <w:rFonts w:ascii="宋体" w:eastAsia="宋体" w:hAnsi="宋体" w:hint="eastAsia"/>
          <w:color w:val="B00824"/>
          <w:sz w:val="18"/>
          <w:szCs w:val="18"/>
        </w:rPr>
      </w:pPr>
      <w:r>
        <w:rPr>
          <w:rFonts w:ascii="宋体" w:eastAsia="宋体" w:hAnsi="宋体" w:hint="eastAsia"/>
          <w:color w:val="B00824"/>
          <w:sz w:val="18"/>
          <w:szCs w:val="18"/>
        </w:rPr>
        <w:t>开庭审理时被告人不满十八周岁的案件，一律不公开审理。</w:t>
      </w:r>
    </w:p>
    <w:p w14:paraId="266A55BC" w14:textId="77777777" w:rsidR="00464ADF" w:rsidRDefault="00000000">
      <w:pPr>
        <w:ind w:firstLineChars="200" w:firstLine="360"/>
        <w:rPr>
          <w:rFonts w:ascii="宋体" w:eastAsia="宋体" w:hAnsi="宋体" w:hint="eastAsia"/>
          <w:sz w:val="18"/>
          <w:szCs w:val="18"/>
        </w:rPr>
      </w:pPr>
      <w:r>
        <w:rPr>
          <w:rFonts w:ascii="宋体" w:eastAsia="宋体" w:hAnsi="宋体" w:hint="eastAsia"/>
          <w:color w:val="B00824"/>
          <w:sz w:val="18"/>
          <w:szCs w:val="18"/>
        </w:rPr>
        <w:t>未成年被害人、证人</w:t>
      </w:r>
      <w:r>
        <w:rPr>
          <w:rFonts w:ascii="宋体" w:eastAsia="宋体" w:hAnsi="宋体" w:hint="eastAsia"/>
          <w:b/>
          <w:bCs/>
          <w:color w:val="B00824"/>
          <w:sz w:val="18"/>
          <w:szCs w:val="18"/>
        </w:rPr>
        <w:t>一般不出庭作证</w:t>
      </w:r>
      <w:r>
        <w:rPr>
          <w:rFonts w:ascii="宋体" w:eastAsia="宋体" w:hAnsi="宋体" w:hint="eastAsia"/>
          <w:sz w:val="18"/>
          <w:szCs w:val="18"/>
        </w:rPr>
        <w:t>；必须出庭的，</w:t>
      </w:r>
      <w:r>
        <w:rPr>
          <w:rFonts w:ascii="宋体" w:eastAsia="宋体" w:hAnsi="宋体" w:hint="eastAsia"/>
          <w:color w:val="B00824"/>
          <w:sz w:val="18"/>
          <w:szCs w:val="18"/>
        </w:rPr>
        <w:t>应当采取保护其隐私的技术手段和心理干预</w:t>
      </w:r>
      <w:r>
        <w:rPr>
          <w:rFonts w:ascii="宋体" w:eastAsia="宋体" w:hAnsi="宋体" w:hint="eastAsia"/>
          <w:sz w:val="18"/>
          <w:szCs w:val="18"/>
        </w:rPr>
        <w:t>等保护措施</w:t>
      </w:r>
      <w:r>
        <w:rPr>
          <w:rFonts w:ascii="宋体" w:eastAsia="宋体" w:hAnsi="宋体"/>
          <w:sz w:val="18"/>
          <w:szCs w:val="18"/>
        </w:rPr>
        <w:t>。</w:t>
      </w:r>
      <w:r>
        <w:rPr>
          <w:rFonts w:ascii="宋体" w:eastAsia="宋体" w:hAnsi="宋体" w:hint="eastAsia"/>
          <w:color w:val="B00824"/>
          <w:sz w:val="18"/>
          <w:szCs w:val="18"/>
        </w:rPr>
        <w:t>审理未成年人遭受性侵害或者暴力伤害案件，在询问未成年被害人、证人时，</w:t>
      </w:r>
      <w:r>
        <w:rPr>
          <w:rFonts w:ascii="宋体" w:eastAsia="宋体" w:hAnsi="宋体" w:hint="eastAsia"/>
          <w:b/>
          <w:bCs/>
          <w:color w:val="B00824"/>
          <w:sz w:val="18"/>
          <w:szCs w:val="18"/>
        </w:rPr>
        <w:t>应当采取同步录音录像等措施，尽量一次完成</w:t>
      </w:r>
      <w:r>
        <w:rPr>
          <w:rFonts w:ascii="宋体" w:eastAsia="宋体" w:hAnsi="宋体" w:hint="eastAsia"/>
          <w:color w:val="B00824"/>
          <w:sz w:val="18"/>
          <w:szCs w:val="18"/>
        </w:rPr>
        <w:t>；未成年被害人、证人是女性的，应当由女性工作人员进行</w:t>
      </w:r>
      <w:r>
        <w:rPr>
          <w:rFonts w:ascii="宋体" w:eastAsia="宋体" w:hAnsi="宋体" w:hint="eastAsia"/>
          <w:sz w:val="18"/>
          <w:szCs w:val="18"/>
        </w:rPr>
        <w:t>。</w:t>
      </w:r>
    </w:p>
    <w:p w14:paraId="5867D168" w14:textId="77777777" w:rsidR="00464ADF" w:rsidRDefault="00000000">
      <w:pPr>
        <w:pStyle w:val="3"/>
        <w:spacing w:line="240" w:lineRule="auto"/>
        <w:ind w:firstLineChars="200" w:firstLine="360"/>
        <w:rPr>
          <w:rFonts w:eastAsia="宋体" w:hint="eastAsia"/>
          <w:b/>
          <w:sz w:val="18"/>
          <w:szCs w:val="18"/>
        </w:rPr>
      </w:pPr>
      <w:bookmarkStart w:id="118" w:name="_Toc510879191"/>
      <w:r>
        <w:rPr>
          <w:rFonts w:eastAsia="宋体" w:hint="eastAsia"/>
          <w:sz w:val="18"/>
          <w:szCs w:val="18"/>
        </w:rPr>
        <w:lastRenderedPageBreak/>
        <w:t>三、犯罪记录封存制度</w:t>
      </w:r>
      <w:bookmarkEnd w:id="118"/>
      <w:r>
        <w:rPr>
          <w:rFonts w:eastAsia="宋体" w:hint="eastAsia"/>
          <w:sz w:val="18"/>
          <w:szCs w:val="18"/>
        </w:rPr>
        <w:t xml:space="preserve"> </w:t>
      </w:r>
      <w:r>
        <w:rPr>
          <w:rFonts w:eastAsia="宋体" w:hint="eastAsia"/>
          <w:b/>
          <w:bCs/>
          <w:color w:val="00B0F0"/>
          <w:sz w:val="18"/>
          <w:szCs w:val="18"/>
        </w:rPr>
        <w:t>不等于前科消灭</w:t>
      </w:r>
    </w:p>
    <w:p w14:paraId="21D960E5"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（一）犯罪记录封存制度的适用对象：</w:t>
      </w:r>
      <w:r>
        <w:rPr>
          <w:rFonts w:ascii="宋体" w:eastAsia="宋体" w:hAnsi="宋体"/>
          <w:color w:val="B00824"/>
          <w:sz w:val="18"/>
          <w:szCs w:val="18"/>
        </w:rPr>
        <w:t>犯罪的时候不满十八周岁，被判处五年有期徒刑以下刑罚的</w:t>
      </w:r>
      <w:r>
        <w:rPr>
          <w:rFonts w:ascii="宋体" w:eastAsia="宋体" w:hAnsi="宋体"/>
          <w:sz w:val="18"/>
          <w:szCs w:val="18"/>
        </w:rPr>
        <w:t>，应当对相关犯罪记录予以封存。</w:t>
      </w:r>
    </w:p>
    <w:p w14:paraId="2B66EA10"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（二）犯罪记录封存的解除：</w:t>
      </w:r>
      <w:r>
        <w:rPr>
          <w:rFonts w:ascii="宋体" w:eastAsia="宋体" w:hAnsi="宋体"/>
          <w:sz w:val="18"/>
          <w:szCs w:val="18"/>
        </w:rPr>
        <w:t>（</w:t>
      </w:r>
      <w:r>
        <w:rPr>
          <w:rFonts w:ascii="宋体" w:eastAsia="宋体" w:hAnsi="宋体" w:hint="eastAsia"/>
          <w:sz w:val="18"/>
          <w:szCs w:val="18"/>
        </w:rPr>
        <w:t>1</w:t>
      </w:r>
      <w:r>
        <w:rPr>
          <w:rFonts w:ascii="宋体" w:eastAsia="宋体" w:hAnsi="宋体"/>
          <w:sz w:val="18"/>
          <w:szCs w:val="18"/>
        </w:rPr>
        <w:t>）</w:t>
      </w:r>
      <w:r>
        <w:rPr>
          <w:rFonts w:ascii="宋体" w:eastAsia="宋体" w:hAnsi="宋体"/>
          <w:color w:val="B00824"/>
          <w:sz w:val="18"/>
          <w:szCs w:val="18"/>
        </w:rPr>
        <w:t>实施新的犯罪，且新罪与封存记录之罪数罪并罚后被决定执行五年有期徒刑以上刑罚的</w:t>
      </w:r>
      <w:r>
        <w:rPr>
          <w:rFonts w:ascii="宋体" w:eastAsia="宋体" w:hAnsi="宋体"/>
          <w:sz w:val="18"/>
          <w:szCs w:val="18"/>
        </w:rPr>
        <w:t>；（</w:t>
      </w:r>
      <w:r>
        <w:rPr>
          <w:rFonts w:ascii="宋体" w:eastAsia="宋体" w:hAnsi="宋体" w:hint="eastAsia"/>
          <w:sz w:val="18"/>
          <w:szCs w:val="18"/>
        </w:rPr>
        <w:t>2</w:t>
      </w:r>
      <w:r>
        <w:rPr>
          <w:rFonts w:ascii="宋体" w:eastAsia="宋体" w:hAnsi="宋体"/>
          <w:sz w:val="18"/>
          <w:szCs w:val="18"/>
        </w:rPr>
        <w:t>）</w:t>
      </w:r>
      <w:r>
        <w:rPr>
          <w:rFonts w:ascii="宋体" w:eastAsia="宋体" w:hAnsi="宋体"/>
          <w:color w:val="B00824"/>
          <w:sz w:val="18"/>
          <w:szCs w:val="18"/>
        </w:rPr>
        <w:t>发现漏罪，且漏罪与封存记录之罪数罪并罚后被决定执行五年有期徒刑以上刑罚的。</w:t>
      </w:r>
    </w:p>
    <w:p w14:paraId="262E3C7C" w14:textId="0A42D40A" w:rsidR="00464ADF" w:rsidRDefault="00000000">
      <w:pPr>
        <w:pStyle w:val="1"/>
        <w:tabs>
          <w:tab w:val="left" w:pos="420"/>
        </w:tabs>
        <w:spacing w:before="0" w:after="0" w:line="240" w:lineRule="auto"/>
        <w:jc w:val="center"/>
        <w:rPr>
          <w:rFonts w:ascii="宋体" w:hAnsi="宋体" w:hint="eastAsia"/>
          <w:bCs w:val="0"/>
          <w:sz w:val="18"/>
          <w:szCs w:val="18"/>
        </w:rPr>
      </w:pPr>
      <w:bookmarkStart w:id="119" w:name="_Toc4844162"/>
      <w:bookmarkStart w:id="120" w:name="_Toc510879192"/>
      <w:bookmarkStart w:id="121" w:name="_Toc136521809"/>
      <w:bookmarkStart w:id="122" w:name="_Toc27283"/>
      <w:r>
        <w:rPr>
          <w:rFonts w:ascii="宋体" w:hAnsi="宋体" w:hint="eastAsia"/>
          <w:bCs w:val="0"/>
          <w:sz w:val="18"/>
          <w:szCs w:val="18"/>
        </w:rPr>
        <w:t>考点</w:t>
      </w:r>
      <w:r>
        <w:rPr>
          <w:rFonts w:ascii="宋体" w:hAnsi="宋体"/>
          <w:bCs w:val="0"/>
          <w:sz w:val="18"/>
          <w:szCs w:val="18"/>
        </w:rPr>
        <w:t>67</w:t>
      </w:r>
      <w:r>
        <w:rPr>
          <w:rFonts w:ascii="宋体" w:hAnsi="宋体" w:hint="eastAsia"/>
          <w:bCs w:val="0"/>
          <w:sz w:val="18"/>
          <w:szCs w:val="18"/>
        </w:rPr>
        <w:t xml:space="preserve">  当事人和解的公诉案件诉讼程序</w:t>
      </w:r>
      <w:bookmarkEnd w:id="119"/>
      <w:bookmarkEnd w:id="120"/>
      <w:bookmarkEnd w:id="121"/>
      <w:bookmarkEnd w:id="122"/>
      <w:r w:rsidR="00BC6500">
        <w:rPr>
          <w:rFonts w:ascii="宋体" w:hAnsi="宋体" w:cs="宋体" w:hint="eastAsia"/>
          <w:bCs w:val="0"/>
          <w:sz w:val="18"/>
          <w:szCs w:val="18"/>
        </w:rPr>
        <w:t>（</w:t>
      </w:r>
      <w:r w:rsidR="00EA6A46">
        <w:rPr>
          <w:rFonts w:ascii="宋体" w:hAnsi="宋体" w:cs="宋体" w:hint="eastAsia"/>
          <w:bCs w:val="0"/>
          <w:sz w:val="18"/>
          <w:szCs w:val="18"/>
        </w:rPr>
        <w:t>13:03:00</w:t>
      </w:r>
      <w:r w:rsidR="00BC6500">
        <w:rPr>
          <w:rFonts w:ascii="宋体" w:hAnsi="宋体" w:cs="宋体" w:hint="eastAsia"/>
          <w:bCs w:val="0"/>
          <w:sz w:val="18"/>
          <w:szCs w:val="18"/>
        </w:rPr>
        <w:t>-</w:t>
      </w:r>
      <w:r w:rsidR="00DB79D0">
        <w:rPr>
          <w:rFonts w:ascii="宋体" w:hAnsi="宋体" w:cs="宋体" w:hint="eastAsia"/>
          <w:bCs w:val="0"/>
          <w:sz w:val="18"/>
          <w:szCs w:val="18"/>
        </w:rPr>
        <w:t>13</w:t>
      </w:r>
      <w:r w:rsidR="00BC6500">
        <w:rPr>
          <w:rFonts w:ascii="宋体" w:hAnsi="宋体" w:cs="宋体" w:hint="eastAsia"/>
          <w:bCs w:val="0"/>
          <w:sz w:val="18"/>
          <w:szCs w:val="18"/>
        </w:rPr>
        <w:t>:11:00）</w:t>
      </w:r>
      <w:r>
        <w:rPr>
          <w:rFonts w:ascii="宋体" w:hAnsi="宋体" w:hint="eastAsia"/>
          <w:bCs w:val="0"/>
          <w:color w:val="00B0F0"/>
          <w:sz w:val="18"/>
          <w:szCs w:val="18"/>
        </w:rPr>
        <w:t>（刑事和解）</w:t>
      </w:r>
    </w:p>
    <w:p w14:paraId="56D31E43" w14:textId="77777777" w:rsidR="00464ADF" w:rsidRDefault="00000000">
      <w:pPr>
        <w:pStyle w:val="3"/>
        <w:spacing w:line="240" w:lineRule="auto"/>
        <w:ind w:firstLineChars="200" w:firstLine="360"/>
        <w:rPr>
          <w:rFonts w:eastAsia="宋体" w:hint="eastAsia"/>
          <w:sz w:val="18"/>
          <w:szCs w:val="18"/>
        </w:rPr>
      </w:pPr>
      <w:bookmarkStart w:id="123" w:name="_Toc510879193"/>
      <w:r>
        <w:rPr>
          <w:rFonts w:eastAsia="宋体" w:hint="eastAsia"/>
          <w:sz w:val="18"/>
          <w:szCs w:val="18"/>
        </w:rPr>
        <w:t>一、刑事和解的适用条件和案件范围</w:t>
      </w:r>
      <w:bookmarkEnd w:id="123"/>
    </w:p>
    <w:p w14:paraId="7C3CD989" w14:textId="77777777" w:rsidR="00464ADF" w:rsidRDefault="00000000">
      <w:pPr>
        <w:ind w:firstLine="420"/>
        <w:outlineLvl w:val="0"/>
        <w:rPr>
          <w:rFonts w:ascii="宋体" w:eastAsia="宋体" w:hAnsi="宋体" w:cs="仿宋_GB2312" w:hint="eastAsia"/>
          <w:sz w:val="18"/>
          <w:szCs w:val="18"/>
        </w:rPr>
      </w:pPr>
      <w:r>
        <w:rPr>
          <w:rFonts w:ascii="宋体" w:eastAsia="宋体" w:hAnsi="宋体" w:cs="仿宋_GB2312" w:hint="eastAsia"/>
          <w:color w:val="C00000"/>
          <w:sz w:val="18"/>
          <w:szCs w:val="18"/>
        </w:rPr>
        <w:t>案件范围：</w:t>
      </w:r>
      <w:r>
        <w:rPr>
          <w:rFonts w:ascii="宋体" w:eastAsia="宋体" w:hAnsi="宋体" w:cs="仿宋_GB2312" w:hint="eastAsia"/>
          <w:sz w:val="18"/>
          <w:szCs w:val="18"/>
        </w:rPr>
        <w:t>因民间纠纷引起，涉嫌刑法分则第四章、第五章规定的犯罪案，可能判处三年有期徒刑以下刑罚；除渎职犯罪以外的过失犯罪，可能判处七年有期徒刑以下刑罚。</w:t>
      </w:r>
    </w:p>
    <w:p w14:paraId="45725DDF" w14:textId="77777777" w:rsidR="00464ADF" w:rsidRDefault="00000000">
      <w:pPr>
        <w:ind w:firstLine="420"/>
        <w:outlineLvl w:val="0"/>
        <w:rPr>
          <w:rFonts w:ascii="宋体" w:eastAsia="宋体" w:hAnsi="宋体" w:cs="Times New Roman" w:hint="eastAsia"/>
          <w:sz w:val="18"/>
          <w:szCs w:val="18"/>
        </w:rPr>
      </w:pPr>
      <w:r>
        <w:rPr>
          <w:rFonts w:ascii="宋体" w:eastAsia="宋体" w:hAnsi="宋体" w:cs="仿宋_GB2312" w:hint="eastAsia"/>
          <w:color w:val="C00000"/>
          <w:sz w:val="18"/>
          <w:szCs w:val="18"/>
        </w:rPr>
        <w:t>注意</w:t>
      </w:r>
      <w:r>
        <w:rPr>
          <w:rFonts w:ascii="宋体" w:eastAsia="宋体" w:hAnsi="宋体" w:cs="Times New Roman" w:hint="eastAsia"/>
          <w:color w:val="C00000"/>
          <w:sz w:val="18"/>
          <w:szCs w:val="18"/>
        </w:rPr>
        <w:t>积极条件</w:t>
      </w:r>
      <w:r>
        <w:rPr>
          <w:rFonts w:ascii="宋体" w:eastAsia="宋体" w:hAnsi="宋体" w:cs="Times New Roman" w:hint="eastAsia"/>
          <w:sz w:val="18"/>
          <w:szCs w:val="18"/>
        </w:rPr>
        <w:t>：（1）犯罪嫌疑人、被告人真诚悔罪（2）通过向被害人赔偿损失、赔礼道歉等方式获得被害人谅解（</w:t>
      </w:r>
      <w:r>
        <w:rPr>
          <w:rFonts w:ascii="宋体" w:eastAsia="宋体" w:hAnsi="宋体" w:cs="Times New Roman"/>
          <w:sz w:val="18"/>
          <w:szCs w:val="18"/>
        </w:rPr>
        <w:t>3</w:t>
      </w:r>
      <w:r>
        <w:rPr>
          <w:rFonts w:ascii="宋体" w:eastAsia="宋体" w:hAnsi="宋体" w:cs="Times New Roman" w:hint="eastAsia"/>
          <w:sz w:val="18"/>
          <w:szCs w:val="18"/>
        </w:rPr>
        <w:t>）被害人自愿和解。</w:t>
      </w:r>
      <w:r>
        <w:rPr>
          <w:rFonts w:ascii="宋体" w:eastAsia="宋体" w:hAnsi="宋体" w:cs="Times New Roman" w:hint="eastAsia"/>
          <w:color w:val="C00000"/>
          <w:sz w:val="18"/>
          <w:szCs w:val="18"/>
        </w:rPr>
        <w:t>注意消极条件</w:t>
      </w:r>
      <w:r>
        <w:rPr>
          <w:rFonts w:ascii="宋体" w:eastAsia="宋体" w:hAnsi="宋体" w:cs="Times New Roman" w:hint="eastAsia"/>
          <w:sz w:val="18"/>
          <w:szCs w:val="18"/>
        </w:rPr>
        <w:t>：犯罪嫌疑人、被告人在五年以内曾经故意犯罪。</w:t>
      </w:r>
    </w:p>
    <w:p w14:paraId="4F880CA7" w14:textId="77777777" w:rsidR="00464ADF" w:rsidRDefault="00000000">
      <w:pPr>
        <w:ind w:firstLineChars="200" w:firstLine="360"/>
        <w:rPr>
          <w:rFonts w:ascii="宋体" w:eastAsia="宋体" w:hAnsi="宋体" w:hint="eastAsia"/>
          <w:sz w:val="18"/>
          <w:szCs w:val="18"/>
        </w:rPr>
      </w:pPr>
      <w:bookmarkStart w:id="124" w:name="_Toc510879194"/>
      <w:r>
        <w:rPr>
          <w:rFonts w:ascii="宋体" w:eastAsia="宋体" w:hAnsi="宋体" w:hint="eastAsia"/>
          <w:sz w:val="18"/>
          <w:szCs w:val="18"/>
        </w:rPr>
        <w:t>二、刑事和解的程序规则</w:t>
      </w:r>
      <w:bookmarkEnd w:id="124"/>
    </w:p>
    <w:p w14:paraId="315A37F0"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（一）和解和代为和解的主体：</w:t>
      </w:r>
      <w:r>
        <w:rPr>
          <w:rFonts w:ascii="宋体" w:eastAsia="宋体" w:hAnsi="宋体" w:hint="eastAsia"/>
          <w:b w:val="0"/>
          <w:color w:val="C00000"/>
          <w:sz w:val="18"/>
          <w:szCs w:val="18"/>
        </w:rPr>
        <w:t>重点注意被害人的近亲属、法定代理人和解或代为和解的适用情形。</w:t>
      </w:r>
    </w:p>
    <w:p w14:paraId="6D20C0C9"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（二）和解协议书的签字</w:t>
      </w:r>
    </w:p>
    <w:p w14:paraId="1C90CD9E" w14:textId="77777777" w:rsidR="00464ADF" w:rsidRDefault="00000000">
      <w:pPr>
        <w:ind w:firstLineChars="200" w:firstLine="360"/>
        <w:rPr>
          <w:rFonts w:ascii="宋体" w:eastAsia="宋体" w:hAnsi="宋体" w:hint="eastAsia"/>
          <w:b/>
          <w:bCs/>
          <w:color w:val="B00824"/>
          <w:sz w:val="18"/>
          <w:szCs w:val="18"/>
        </w:rPr>
      </w:pPr>
      <w:r>
        <w:rPr>
          <w:rFonts w:ascii="宋体" w:eastAsia="宋体" w:hAnsi="宋体" w:hint="eastAsia"/>
          <w:color w:val="B00824"/>
          <w:sz w:val="18"/>
          <w:szCs w:val="18"/>
        </w:rPr>
        <w:t>人民检察院主持制作的和解协议书，检察人员不签字；而人民法院主持制作的和解协议书，审判人员应签名；</w:t>
      </w:r>
      <w:r>
        <w:rPr>
          <w:rFonts w:ascii="宋体" w:eastAsia="宋体" w:hAnsi="宋体" w:hint="eastAsia"/>
          <w:b/>
          <w:bCs/>
          <w:color w:val="B00824"/>
          <w:sz w:val="18"/>
          <w:szCs w:val="18"/>
        </w:rPr>
        <w:t>均不加盖人民检察院、人民法院印章。</w:t>
      </w:r>
    </w:p>
    <w:p w14:paraId="7A2CDDC4"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（三）和解协议书的履行</w:t>
      </w:r>
    </w:p>
    <w:p w14:paraId="2644B153" w14:textId="77777777" w:rsidR="00464ADF" w:rsidRDefault="00000000">
      <w:pPr>
        <w:ind w:firstLineChars="200" w:firstLine="360"/>
        <w:rPr>
          <w:rFonts w:ascii="宋体" w:eastAsia="宋体" w:hAnsi="宋体" w:hint="eastAsia"/>
          <w:color w:val="B00824"/>
          <w:sz w:val="18"/>
          <w:szCs w:val="18"/>
        </w:rPr>
      </w:pPr>
      <w:r>
        <w:rPr>
          <w:rFonts w:ascii="宋体" w:eastAsia="宋体" w:hAnsi="宋体" w:hint="eastAsia"/>
          <w:bCs/>
          <w:sz w:val="18"/>
          <w:szCs w:val="18"/>
        </w:rPr>
        <w:t>履行期间及方式：</w:t>
      </w:r>
      <w:r>
        <w:rPr>
          <w:rFonts w:ascii="宋体" w:eastAsia="宋体" w:hAnsi="宋体" w:hint="eastAsia"/>
          <w:sz w:val="18"/>
          <w:szCs w:val="18"/>
        </w:rPr>
        <w:t>（1）人民检察院主持制作和解协议书的，应当</w:t>
      </w:r>
      <w:r>
        <w:rPr>
          <w:rFonts w:ascii="宋体" w:eastAsia="宋体" w:hAnsi="宋体" w:hint="eastAsia"/>
          <w:color w:val="B00824"/>
          <w:sz w:val="18"/>
          <w:szCs w:val="18"/>
        </w:rPr>
        <w:t>在双方签署协议后立即履行，至迟在人民检察院作出从宽处理决定前</w:t>
      </w:r>
      <w:r>
        <w:rPr>
          <w:rFonts w:ascii="宋体" w:eastAsia="宋体" w:hAnsi="宋体" w:hint="eastAsia"/>
          <w:sz w:val="18"/>
          <w:szCs w:val="18"/>
        </w:rPr>
        <w:t>履行。确实难以一次性履行的，</w:t>
      </w:r>
      <w:r>
        <w:rPr>
          <w:rFonts w:ascii="宋体" w:eastAsia="宋体" w:hAnsi="宋体" w:hint="eastAsia"/>
          <w:color w:val="B00824"/>
          <w:sz w:val="18"/>
          <w:szCs w:val="18"/>
        </w:rPr>
        <w:t>在被害人同意并提供有效担保的情况下，也可以分期履行</w:t>
      </w:r>
      <w:r>
        <w:rPr>
          <w:rFonts w:ascii="宋体" w:eastAsia="宋体" w:hAnsi="宋体" w:hint="eastAsia"/>
          <w:sz w:val="18"/>
          <w:szCs w:val="18"/>
        </w:rPr>
        <w:t>。</w:t>
      </w:r>
      <w:r>
        <w:rPr>
          <w:rFonts w:ascii="宋体" w:eastAsia="宋体" w:hAnsi="宋体" w:hint="eastAsia"/>
          <w:kern w:val="0"/>
          <w:sz w:val="18"/>
          <w:szCs w:val="18"/>
        </w:rPr>
        <w:t>（2）</w:t>
      </w:r>
      <w:r>
        <w:rPr>
          <w:rFonts w:ascii="宋体" w:eastAsia="宋体" w:hAnsi="宋体"/>
          <w:kern w:val="0"/>
          <w:sz w:val="18"/>
          <w:szCs w:val="18"/>
        </w:rPr>
        <w:t>人民法院主持制作和解协议书的</w:t>
      </w:r>
      <w:r>
        <w:rPr>
          <w:rFonts w:ascii="宋体" w:eastAsia="宋体" w:hAnsi="宋体" w:hint="eastAsia"/>
          <w:kern w:val="0"/>
          <w:sz w:val="18"/>
          <w:szCs w:val="18"/>
        </w:rPr>
        <w:t>，</w:t>
      </w:r>
      <w:r>
        <w:rPr>
          <w:rFonts w:ascii="宋体" w:eastAsia="宋体" w:hAnsi="宋体"/>
          <w:sz w:val="18"/>
          <w:szCs w:val="18"/>
        </w:rPr>
        <w:t>被告人应当</w:t>
      </w:r>
      <w:r>
        <w:rPr>
          <w:rFonts w:ascii="宋体" w:eastAsia="宋体" w:hAnsi="宋体"/>
          <w:color w:val="B00824"/>
          <w:sz w:val="18"/>
          <w:szCs w:val="18"/>
        </w:rPr>
        <w:t>在协议签署后即时履行</w:t>
      </w:r>
      <w:r>
        <w:rPr>
          <w:rFonts w:ascii="宋体" w:eastAsia="宋体" w:hAnsi="宋体"/>
          <w:sz w:val="18"/>
          <w:szCs w:val="18"/>
        </w:rPr>
        <w:t>。</w:t>
      </w:r>
    </w:p>
    <w:p w14:paraId="34538037"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（五）从宽处理：</w:t>
      </w:r>
      <w:r>
        <w:rPr>
          <w:rFonts w:ascii="宋体" w:eastAsia="宋体" w:hAnsi="宋体" w:hint="eastAsia"/>
          <w:b w:val="0"/>
          <w:bCs w:val="0"/>
          <w:kern w:val="0"/>
          <w:sz w:val="18"/>
          <w:szCs w:val="18"/>
        </w:rPr>
        <w:t>公安机关</w:t>
      </w:r>
      <w:r>
        <w:rPr>
          <w:rFonts w:ascii="宋体" w:eastAsia="宋体" w:hAnsi="宋体" w:hint="eastAsia"/>
          <w:b w:val="0"/>
          <w:bCs w:val="0"/>
          <w:color w:val="B00824"/>
          <w:kern w:val="0"/>
          <w:sz w:val="18"/>
          <w:szCs w:val="18"/>
        </w:rPr>
        <w:t>可以提出从宽处理的建议</w:t>
      </w:r>
      <w:r>
        <w:rPr>
          <w:rFonts w:ascii="宋体" w:eastAsia="宋体" w:hAnsi="宋体" w:hint="eastAsia"/>
          <w:b w:val="0"/>
          <w:bCs w:val="0"/>
          <w:kern w:val="0"/>
          <w:sz w:val="18"/>
          <w:szCs w:val="18"/>
        </w:rPr>
        <w:t>，人民检察院可以向人民法院提出从宽处罚的量刑建议或者不起诉；法院可以从宽处罚。</w:t>
      </w:r>
    </w:p>
    <w:p w14:paraId="026A8744" w14:textId="70EB1768" w:rsidR="00464ADF" w:rsidRDefault="00000000">
      <w:pPr>
        <w:pStyle w:val="1"/>
        <w:tabs>
          <w:tab w:val="left" w:pos="420"/>
        </w:tabs>
        <w:spacing w:before="0" w:after="0" w:line="240" w:lineRule="auto"/>
        <w:jc w:val="center"/>
        <w:rPr>
          <w:rFonts w:ascii="宋体" w:hAnsi="宋体" w:hint="eastAsia"/>
          <w:bCs w:val="0"/>
          <w:color w:val="C00000"/>
          <w:sz w:val="18"/>
          <w:szCs w:val="18"/>
        </w:rPr>
      </w:pPr>
      <w:bookmarkStart w:id="125" w:name="_Toc136521810"/>
      <w:bookmarkStart w:id="126" w:name="_Toc4844163"/>
      <w:bookmarkStart w:id="127" w:name="_Toc5649"/>
      <w:r>
        <w:rPr>
          <w:rFonts w:ascii="宋体" w:hAnsi="宋体" w:hint="eastAsia"/>
          <w:bCs w:val="0"/>
          <w:sz w:val="18"/>
          <w:szCs w:val="18"/>
        </w:rPr>
        <w:t>考点</w:t>
      </w:r>
      <w:r>
        <w:rPr>
          <w:rFonts w:ascii="宋体" w:hAnsi="宋体"/>
          <w:bCs w:val="0"/>
          <w:sz w:val="18"/>
          <w:szCs w:val="18"/>
        </w:rPr>
        <w:t>68</w:t>
      </w:r>
      <w:r>
        <w:rPr>
          <w:rFonts w:ascii="宋体" w:hAnsi="宋体" w:hint="eastAsia"/>
          <w:bCs w:val="0"/>
          <w:sz w:val="18"/>
          <w:szCs w:val="18"/>
        </w:rPr>
        <w:t xml:space="preserve">  缺席审判制度</w:t>
      </w:r>
      <w:bookmarkEnd w:id="125"/>
      <w:bookmarkEnd w:id="126"/>
      <w:bookmarkEnd w:id="127"/>
      <w:r w:rsidR="00BC6500">
        <w:rPr>
          <w:rFonts w:ascii="宋体" w:hAnsi="宋体" w:cs="宋体" w:hint="eastAsia"/>
          <w:bCs w:val="0"/>
          <w:sz w:val="18"/>
          <w:szCs w:val="18"/>
        </w:rPr>
        <w:t>（</w:t>
      </w:r>
      <w:r w:rsidR="007112E8">
        <w:rPr>
          <w:rFonts w:ascii="宋体" w:hAnsi="宋体" w:cs="宋体" w:hint="eastAsia"/>
          <w:bCs w:val="0"/>
          <w:sz w:val="18"/>
          <w:szCs w:val="18"/>
        </w:rPr>
        <w:t>13</w:t>
      </w:r>
      <w:r w:rsidR="00BC6500">
        <w:rPr>
          <w:rFonts w:ascii="宋体" w:hAnsi="宋体" w:cs="宋体" w:hint="eastAsia"/>
          <w:bCs w:val="0"/>
          <w:sz w:val="18"/>
          <w:szCs w:val="18"/>
        </w:rPr>
        <w:t>:</w:t>
      </w:r>
      <w:r w:rsidR="007112E8">
        <w:rPr>
          <w:rFonts w:ascii="宋体" w:hAnsi="宋体" w:cs="宋体" w:hint="eastAsia"/>
          <w:bCs w:val="0"/>
          <w:sz w:val="18"/>
          <w:szCs w:val="18"/>
        </w:rPr>
        <w:t>11</w:t>
      </w:r>
      <w:r w:rsidR="00BC6500">
        <w:rPr>
          <w:rFonts w:ascii="宋体" w:hAnsi="宋体" w:cs="宋体" w:hint="eastAsia"/>
          <w:bCs w:val="0"/>
          <w:sz w:val="18"/>
          <w:szCs w:val="18"/>
        </w:rPr>
        <w:t>:00-</w:t>
      </w:r>
      <w:r w:rsidR="00A80FA0">
        <w:rPr>
          <w:rFonts w:ascii="宋体" w:hAnsi="宋体" w:cs="宋体" w:hint="eastAsia"/>
          <w:bCs w:val="0"/>
          <w:sz w:val="18"/>
          <w:szCs w:val="18"/>
        </w:rPr>
        <w:t>13</w:t>
      </w:r>
      <w:r w:rsidR="00BC6500">
        <w:rPr>
          <w:rFonts w:ascii="宋体" w:hAnsi="宋体" w:cs="宋体" w:hint="eastAsia"/>
          <w:bCs w:val="0"/>
          <w:sz w:val="18"/>
          <w:szCs w:val="18"/>
        </w:rPr>
        <w:t>:</w:t>
      </w:r>
      <w:r w:rsidR="00DD24D0">
        <w:rPr>
          <w:rFonts w:ascii="宋体" w:hAnsi="宋体" w:cs="宋体" w:hint="eastAsia"/>
          <w:bCs w:val="0"/>
          <w:sz w:val="18"/>
          <w:szCs w:val="18"/>
        </w:rPr>
        <w:t>20</w:t>
      </w:r>
      <w:r w:rsidR="00BC6500">
        <w:rPr>
          <w:rFonts w:ascii="宋体" w:hAnsi="宋体" w:cs="宋体" w:hint="eastAsia"/>
          <w:bCs w:val="0"/>
          <w:sz w:val="18"/>
          <w:szCs w:val="18"/>
        </w:rPr>
        <w:t>:00）</w:t>
      </w:r>
      <w:r>
        <w:rPr>
          <w:rFonts w:ascii="宋体" w:hAnsi="宋体" w:hint="eastAsia"/>
          <w:bCs w:val="0"/>
          <w:color w:val="C00000"/>
          <w:sz w:val="18"/>
          <w:szCs w:val="18"/>
        </w:rPr>
        <w:t>（</w:t>
      </w:r>
      <w:r>
        <w:rPr>
          <w:rFonts w:ascii="宋体" w:hAnsi="宋体" w:cs="宋体" w:hint="eastAsia"/>
          <w:bCs w:val="0"/>
          <w:color w:val="C00000"/>
          <w:sz w:val="18"/>
          <w:szCs w:val="18"/>
        </w:rPr>
        <w:t>与考点6</w:t>
      </w:r>
      <w:r>
        <w:rPr>
          <w:rFonts w:ascii="宋体" w:hAnsi="宋体" w:cs="宋体"/>
          <w:bCs w:val="0"/>
          <w:color w:val="C00000"/>
          <w:sz w:val="18"/>
          <w:szCs w:val="18"/>
        </w:rPr>
        <w:t>9</w:t>
      </w:r>
      <w:r>
        <w:rPr>
          <w:rFonts w:ascii="宋体" w:hAnsi="宋体" w:cs="宋体" w:hint="eastAsia"/>
          <w:bCs w:val="0"/>
          <w:color w:val="C00000"/>
          <w:sz w:val="18"/>
          <w:szCs w:val="18"/>
        </w:rPr>
        <w:t>对比记忆！</w:t>
      </w:r>
      <w:r>
        <w:rPr>
          <w:rFonts w:ascii="宋体" w:hAnsi="宋体" w:hint="eastAsia"/>
          <w:bCs w:val="0"/>
          <w:color w:val="C00000"/>
          <w:sz w:val="18"/>
          <w:szCs w:val="18"/>
        </w:rPr>
        <w:t>）</w:t>
      </w:r>
    </w:p>
    <w:p w14:paraId="4BD3E18B" w14:textId="77777777" w:rsidR="00464ADF" w:rsidRDefault="00000000">
      <w:pPr>
        <w:pStyle w:val="3"/>
        <w:spacing w:line="240" w:lineRule="auto"/>
        <w:ind w:firstLineChars="200" w:firstLine="360"/>
        <w:rPr>
          <w:rFonts w:eastAsia="宋体" w:hint="eastAsia"/>
          <w:b/>
          <w:sz w:val="18"/>
          <w:szCs w:val="18"/>
        </w:rPr>
      </w:pPr>
      <w:r>
        <w:rPr>
          <w:rFonts w:eastAsia="宋体" w:hint="eastAsia"/>
          <w:sz w:val="18"/>
          <w:szCs w:val="18"/>
        </w:rPr>
        <w:t>一、适用范围</w:t>
      </w:r>
    </w:p>
    <w:p w14:paraId="1A8060ED"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对于</w:t>
      </w:r>
      <w:r>
        <w:rPr>
          <w:rFonts w:ascii="宋体" w:eastAsia="宋体" w:hAnsi="宋体" w:hint="eastAsia"/>
          <w:color w:val="B00824"/>
          <w:sz w:val="18"/>
          <w:szCs w:val="18"/>
        </w:rPr>
        <w:t>贪污贿赂犯罪案件，以及需要及时进行审判，经最高人民检察院核准的严重危害国家安全犯罪、恐怖活动犯罪案件</w:t>
      </w:r>
      <w:r>
        <w:rPr>
          <w:rFonts w:ascii="宋体" w:eastAsia="宋体" w:hAnsi="宋体" w:hint="eastAsia"/>
          <w:sz w:val="18"/>
          <w:szCs w:val="18"/>
        </w:rPr>
        <w:t>，犯罪嫌疑人、被告人</w:t>
      </w:r>
      <w:r>
        <w:rPr>
          <w:rFonts w:ascii="宋体" w:eastAsia="宋体" w:hAnsi="宋体" w:hint="eastAsia"/>
          <w:color w:val="B00824"/>
          <w:sz w:val="18"/>
          <w:szCs w:val="18"/>
        </w:rPr>
        <w:t>在境外</w:t>
      </w:r>
      <w:r>
        <w:rPr>
          <w:rFonts w:ascii="宋体" w:eastAsia="宋体" w:hAnsi="宋体" w:hint="eastAsia"/>
          <w:sz w:val="18"/>
          <w:szCs w:val="18"/>
        </w:rPr>
        <w:t>，监察机关公安机关移送起诉，人民检察院认为</w:t>
      </w:r>
      <w:r>
        <w:rPr>
          <w:rFonts w:ascii="宋体" w:eastAsia="宋体" w:hAnsi="宋体" w:hint="eastAsia"/>
          <w:color w:val="B00824"/>
          <w:sz w:val="18"/>
          <w:szCs w:val="18"/>
        </w:rPr>
        <w:t>犯罪事实已经查清，证据确实、充分，依法应当追究刑事责任</w:t>
      </w:r>
      <w:r>
        <w:rPr>
          <w:rFonts w:ascii="宋体" w:eastAsia="宋体" w:hAnsi="宋体" w:hint="eastAsia"/>
          <w:sz w:val="18"/>
          <w:szCs w:val="18"/>
        </w:rPr>
        <w:t>的，可以向人民法院提起公诉。人民法院进行审</w:t>
      </w:r>
      <w:r>
        <w:rPr>
          <w:rFonts w:ascii="宋体" w:eastAsia="宋体" w:hAnsi="宋体" w:cs="微软雅黑" w:hint="eastAsia"/>
          <w:sz w:val="18"/>
          <w:szCs w:val="18"/>
        </w:rPr>
        <w:t>査</w:t>
      </w:r>
      <w:r>
        <w:rPr>
          <w:rFonts w:ascii="宋体" w:eastAsia="宋体" w:hAnsi="宋体" w:cs="汉仪书宋二简" w:hint="eastAsia"/>
          <w:sz w:val="18"/>
          <w:szCs w:val="18"/>
        </w:rPr>
        <w:t>后，对于起诉书中有明确的指控犯罪事实，符合缺席审判程序适用条件的，应当</w:t>
      </w:r>
      <w:r>
        <w:rPr>
          <w:rFonts w:ascii="宋体" w:eastAsia="宋体" w:hAnsi="宋体" w:hint="eastAsia"/>
          <w:sz w:val="18"/>
          <w:szCs w:val="18"/>
        </w:rPr>
        <w:t>决定开庭审判。</w:t>
      </w:r>
    </w:p>
    <w:p w14:paraId="4A131CE5"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因被告人</w:t>
      </w:r>
      <w:r>
        <w:rPr>
          <w:rFonts w:ascii="宋体" w:eastAsia="宋体" w:hAnsi="宋体" w:hint="eastAsia"/>
          <w:color w:val="C00000"/>
          <w:sz w:val="18"/>
          <w:szCs w:val="18"/>
        </w:rPr>
        <w:t>患有严重疾病无法出庭，中止审理超过六个月</w:t>
      </w:r>
      <w:r>
        <w:rPr>
          <w:rFonts w:ascii="宋体" w:eastAsia="宋体" w:hAnsi="宋体" w:hint="eastAsia"/>
          <w:sz w:val="18"/>
          <w:szCs w:val="18"/>
        </w:rPr>
        <w:t>，被告人仍无法出庭，被告人及其法定代理人、近亲属申请或者</w:t>
      </w:r>
      <w:r>
        <w:rPr>
          <w:rFonts w:ascii="宋体" w:eastAsia="宋体" w:hAnsi="宋体" w:hint="eastAsia"/>
          <w:color w:val="C00000"/>
          <w:sz w:val="18"/>
          <w:szCs w:val="18"/>
        </w:rPr>
        <w:t>同意恢复审理</w:t>
      </w:r>
      <w:r>
        <w:rPr>
          <w:rFonts w:ascii="宋体" w:eastAsia="宋体" w:hAnsi="宋体" w:hint="eastAsia"/>
          <w:sz w:val="18"/>
          <w:szCs w:val="18"/>
        </w:rPr>
        <w:t>的，人民法院可以在被告人不出庭的情况下缺席审理，依法作出判决。</w:t>
      </w:r>
      <w:r>
        <w:rPr>
          <w:rFonts w:ascii="宋体" w:eastAsia="宋体" w:hAnsi="宋体" w:hint="eastAsia"/>
          <w:color w:val="C00000"/>
          <w:sz w:val="18"/>
          <w:szCs w:val="18"/>
        </w:rPr>
        <w:t>被告人无法表达意愿的，其法定代理人、近亲属可以代为申请或者同意恢复审理。</w:t>
      </w:r>
    </w:p>
    <w:p w14:paraId="5A484AE4"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被告人死亡的，人民法院应当裁定终止审理，</w:t>
      </w:r>
      <w:r>
        <w:rPr>
          <w:rFonts w:ascii="宋体" w:eastAsia="宋体" w:hAnsi="宋体" w:hint="eastAsia"/>
          <w:color w:val="C00000"/>
          <w:sz w:val="18"/>
          <w:szCs w:val="18"/>
        </w:rPr>
        <w:t>但有证据证明被告人无罪，人民法院经缺席审理确认无罪的，应当依法作出判决。</w:t>
      </w:r>
    </w:p>
    <w:p w14:paraId="226DF488"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人民法院按照审判监督程序重新审判的案件，被告人死亡的，可以缺席审理。</w:t>
      </w:r>
      <w:r>
        <w:rPr>
          <w:rFonts w:ascii="宋体" w:eastAsia="宋体" w:hAnsi="宋体" w:hint="eastAsia"/>
          <w:color w:val="C00000"/>
          <w:sz w:val="18"/>
          <w:szCs w:val="18"/>
        </w:rPr>
        <w:t>有证据证明被告人无罪，经缺席审理确认被告人无罪的，应当判决宣告被告人无罪；虽然构成犯罪，但原判量刑畸重的，应当依法作出判决。</w:t>
      </w:r>
    </w:p>
    <w:p w14:paraId="6F4AC7DD" w14:textId="77777777" w:rsidR="00464ADF" w:rsidRDefault="00000000">
      <w:pPr>
        <w:pStyle w:val="3"/>
        <w:spacing w:line="240" w:lineRule="auto"/>
        <w:ind w:firstLineChars="200" w:firstLine="360"/>
        <w:rPr>
          <w:rFonts w:eastAsia="宋体" w:hint="eastAsia"/>
          <w:spacing w:val="-3"/>
          <w:sz w:val="18"/>
          <w:szCs w:val="18"/>
        </w:rPr>
      </w:pPr>
      <w:r>
        <w:rPr>
          <w:rFonts w:eastAsia="宋体" w:hint="eastAsia"/>
          <w:sz w:val="18"/>
          <w:szCs w:val="18"/>
        </w:rPr>
        <w:t>二、管辖：</w:t>
      </w:r>
      <w:r>
        <w:rPr>
          <w:rFonts w:eastAsia="宋体" w:hint="eastAsia"/>
          <w:spacing w:val="-3"/>
          <w:sz w:val="18"/>
          <w:szCs w:val="18"/>
        </w:rPr>
        <w:t>由</w:t>
      </w:r>
      <w:r>
        <w:rPr>
          <w:rFonts w:eastAsia="宋体" w:hint="eastAsia"/>
          <w:color w:val="B00824"/>
          <w:spacing w:val="-3"/>
          <w:sz w:val="18"/>
          <w:szCs w:val="18"/>
        </w:rPr>
        <w:t>犯罪地、被告人离境前居住地或者最高人民法院指定的中级人民法院</w:t>
      </w:r>
      <w:r>
        <w:rPr>
          <w:rFonts w:eastAsia="宋体" w:hint="eastAsia"/>
          <w:spacing w:val="-3"/>
          <w:sz w:val="18"/>
          <w:szCs w:val="18"/>
        </w:rPr>
        <w:t>组成合议庭进行审理。</w:t>
      </w:r>
    </w:p>
    <w:p w14:paraId="22E26DE9" w14:textId="77777777" w:rsidR="00464ADF" w:rsidRDefault="00000000">
      <w:pPr>
        <w:pStyle w:val="3"/>
        <w:spacing w:line="240" w:lineRule="auto"/>
        <w:ind w:firstLineChars="200" w:firstLine="360"/>
        <w:rPr>
          <w:rFonts w:eastAsia="宋体" w:hint="eastAsia"/>
          <w:b/>
          <w:sz w:val="18"/>
          <w:szCs w:val="18"/>
        </w:rPr>
      </w:pPr>
      <w:r>
        <w:rPr>
          <w:rFonts w:eastAsia="宋体" w:hint="eastAsia"/>
          <w:sz w:val="18"/>
          <w:szCs w:val="18"/>
        </w:rPr>
        <w:t>三、庭前审查：不属于可以适用缺席审判程序的案件范围、不属于本院管辖或者不符合缺席审判程序的其他适用条件的，</w:t>
      </w:r>
      <w:r>
        <w:rPr>
          <w:rFonts w:eastAsia="宋体" w:hint="eastAsia"/>
          <w:b/>
          <w:bCs/>
          <w:color w:val="B00824"/>
          <w:sz w:val="18"/>
          <w:szCs w:val="18"/>
        </w:rPr>
        <w:t>应当退回人民检察院。</w:t>
      </w:r>
    </w:p>
    <w:p w14:paraId="639F4A9A"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四、委托辩护人：被告人及其近亲属</w:t>
      </w:r>
      <w:r>
        <w:rPr>
          <w:rFonts w:ascii="宋体" w:eastAsia="宋体" w:hAnsi="宋体" w:hint="eastAsia"/>
          <w:color w:val="C00000"/>
          <w:sz w:val="18"/>
          <w:szCs w:val="18"/>
        </w:rPr>
        <w:t>没有委托</w:t>
      </w:r>
      <w:r>
        <w:rPr>
          <w:rFonts w:ascii="宋体" w:eastAsia="宋体" w:hAnsi="宋体" w:hint="eastAsia"/>
          <w:sz w:val="18"/>
          <w:szCs w:val="18"/>
        </w:rPr>
        <w:t>辩护人的，</w:t>
      </w:r>
      <w:r>
        <w:rPr>
          <w:rFonts w:ascii="宋体" w:eastAsia="宋体" w:hAnsi="宋体" w:hint="eastAsia"/>
          <w:color w:val="C00000"/>
          <w:sz w:val="18"/>
          <w:szCs w:val="18"/>
        </w:rPr>
        <w:t>人民法院应当通知法律援助机构指派律师为其提供辩护</w:t>
      </w:r>
      <w:r>
        <w:rPr>
          <w:rFonts w:ascii="宋体" w:eastAsia="宋体" w:hAnsi="宋体" w:hint="eastAsia"/>
          <w:sz w:val="18"/>
          <w:szCs w:val="18"/>
        </w:rPr>
        <w:t>。被告人及其近亲属</w:t>
      </w:r>
      <w:r>
        <w:rPr>
          <w:rFonts w:ascii="宋体" w:eastAsia="宋体" w:hAnsi="宋体" w:hint="eastAsia"/>
          <w:color w:val="C00000"/>
          <w:sz w:val="18"/>
          <w:szCs w:val="18"/>
        </w:rPr>
        <w:t>拒绝</w:t>
      </w:r>
      <w:r>
        <w:rPr>
          <w:rFonts w:ascii="宋体" w:eastAsia="宋体" w:hAnsi="宋体" w:hint="eastAsia"/>
          <w:sz w:val="18"/>
          <w:szCs w:val="18"/>
        </w:rPr>
        <w:t>法律援助机构指派的律师辩护的，人民法院</w:t>
      </w:r>
      <w:r>
        <w:rPr>
          <w:rFonts w:ascii="宋体" w:eastAsia="宋体" w:hAnsi="宋体" w:hint="eastAsia"/>
          <w:color w:val="C00000"/>
          <w:sz w:val="18"/>
          <w:szCs w:val="18"/>
        </w:rPr>
        <w:t>应当查明原因</w:t>
      </w:r>
      <w:r>
        <w:rPr>
          <w:rFonts w:ascii="宋体" w:eastAsia="宋体" w:hAnsi="宋体" w:hint="eastAsia"/>
          <w:sz w:val="18"/>
          <w:szCs w:val="18"/>
        </w:rPr>
        <w:t>。</w:t>
      </w:r>
      <w:r>
        <w:rPr>
          <w:rFonts w:ascii="宋体" w:eastAsia="宋体" w:hAnsi="宋体" w:hint="eastAsia"/>
          <w:color w:val="C00000"/>
          <w:sz w:val="18"/>
          <w:szCs w:val="18"/>
        </w:rPr>
        <w:t>理由正当的，应当准许</w:t>
      </w:r>
      <w:r>
        <w:rPr>
          <w:rFonts w:ascii="宋体" w:eastAsia="宋体" w:hAnsi="宋体" w:hint="eastAsia"/>
          <w:sz w:val="18"/>
          <w:szCs w:val="18"/>
        </w:rPr>
        <w:t>，但被告人应当在五日以内另行委托辩护人；被告人</w:t>
      </w:r>
      <w:r>
        <w:rPr>
          <w:rFonts w:ascii="宋体" w:eastAsia="宋体" w:hAnsi="宋体" w:hint="eastAsia"/>
          <w:color w:val="C00000"/>
          <w:sz w:val="18"/>
          <w:szCs w:val="18"/>
        </w:rPr>
        <w:t>未另行委托</w:t>
      </w:r>
      <w:r>
        <w:rPr>
          <w:rFonts w:ascii="宋体" w:eastAsia="宋体" w:hAnsi="宋体" w:hint="eastAsia"/>
          <w:sz w:val="18"/>
          <w:szCs w:val="18"/>
        </w:rPr>
        <w:t>辩护人的，</w:t>
      </w:r>
      <w:r>
        <w:rPr>
          <w:rFonts w:ascii="宋体" w:eastAsia="宋体" w:hAnsi="宋体" w:hint="eastAsia"/>
          <w:color w:val="C00000"/>
          <w:sz w:val="18"/>
          <w:szCs w:val="18"/>
        </w:rPr>
        <w:t>人民法院应当在三日以内通知法律援助机构另行指派律师为其提供辩护</w:t>
      </w:r>
      <w:r>
        <w:rPr>
          <w:rFonts w:ascii="宋体" w:eastAsia="宋体" w:hAnsi="宋体" w:hint="eastAsia"/>
          <w:sz w:val="18"/>
          <w:szCs w:val="18"/>
        </w:rPr>
        <w:t>。</w:t>
      </w:r>
    </w:p>
    <w:p w14:paraId="70FDD04E"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lastRenderedPageBreak/>
        <w:t>五、裁判结果：作出有罪判决的，应当达到证据确实、充分的证明标准。</w:t>
      </w:r>
      <w:r>
        <w:rPr>
          <w:rFonts w:ascii="宋体" w:eastAsia="宋体" w:hAnsi="宋体" w:hint="eastAsia"/>
          <w:b/>
          <w:bCs/>
          <w:color w:val="C00000"/>
          <w:sz w:val="18"/>
          <w:szCs w:val="18"/>
        </w:rPr>
        <w:t>经审理认定的罪名不属于刑事诉讼法第二百九十一条第一款规定的罪名的，应当终止审理。</w:t>
      </w:r>
      <w:r>
        <w:rPr>
          <w:rFonts w:ascii="宋体" w:eastAsia="宋体" w:hAnsi="宋体" w:hint="eastAsia"/>
          <w:sz w:val="18"/>
          <w:szCs w:val="18"/>
        </w:rPr>
        <w:t>适用缺席审判程序审理案件，可以对违法所得及其他涉案财产一并作出处理。</w:t>
      </w:r>
    </w:p>
    <w:p w14:paraId="542D42C9" w14:textId="77777777" w:rsidR="00464ADF" w:rsidRDefault="00000000">
      <w:pPr>
        <w:ind w:firstLineChars="200" w:firstLine="360"/>
        <w:rPr>
          <w:rFonts w:ascii="宋体" w:eastAsia="宋体" w:hAnsi="宋体" w:hint="eastAsia"/>
          <w:b/>
          <w:bCs/>
          <w:color w:val="C00000"/>
          <w:sz w:val="18"/>
          <w:szCs w:val="18"/>
        </w:rPr>
      </w:pPr>
      <w:r>
        <w:rPr>
          <w:rFonts w:ascii="宋体" w:eastAsia="宋体" w:hAnsi="宋体" w:hint="eastAsia"/>
          <w:sz w:val="18"/>
          <w:szCs w:val="18"/>
        </w:rPr>
        <w:t>六、上诉和抗诉：</w:t>
      </w:r>
      <w:r>
        <w:rPr>
          <w:rFonts w:ascii="宋体" w:eastAsia="宋体" w:hAnsi="宋体" w:hint="eastAsia"/>
          <w:color w:val="B00824"/>
          <w:sz w:val="18"/>
          <w:szCs w:val="18"/>
        </w:rPr>
        <w:t>被告人或者其近亲属不服判决的，</w:t>
      </w:r>
      <w:r>
        <w:rPr>
          <w:rFonts w:ascii="宋体" w:eastAsia="宋体" w:hAnsi="宋体" w:hint="eastAsia"/>
          <w:sz w:val="18"/>
          <w:szCs w:val="18"/>
        </w:rPr>
        <w:t>有权向上一级人民法院上诉。</w:t>
      </w:r>
      <w:r>
        <w:rPr>
          <w:rFonts w:ascii="宋体" w:eastAsia="宋体" w:hAnsi="宋体" w:hint="eastAsia"/>
          <w:b/>
          <w:bCs/>
          <w:color w:val="C00000"/>
          <w:sz w:val="18"/>
          <w:szCs w:val="18"/>
        </w:rPr>
        <w:t>辩护人经被告人或者其近亲属同意，可以提出上诉。（缺席审判近亲属有独立上诉权）</w:t>
      </w:r>
    </w:p>
    <w:p w14:paraId="6767FBFF"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七、重新审理：在审理过程中，</w:t>
      </w:r>
      <w:r>
        <w:rPr>
          <w:rFonts w:ascii="宋体" w:eastAsia="宋体" w:hAnsi="宋体" w:hint="eastAsia"/>
          <w:color w:val="B00824"/>
          <w:sz w:val="18"/>
          <w:szCs w:val="18"/>
        </w:rPr>
        <w:t>被告人自动投案或者被抓获</w:t>
      </w:r>
      <w:r>
        <w:rPr>
          <w:rFonts w:ascii="宋体" w:eastAsia="宋体" w:hAnsi="宋体" w:hint="eastAsia"/>
          <w:sz w:val="18"/>
          <w:szCs w:val="18"/>
        </w:rPr>
        <w:t>的，人民法院</w:t>
      </w:r>
      <w:r>
        <w:rPr>
          <w:rFonts w:ascii="宋体" w:eastAsia="宋体" w:hAnsi="宋体" w:hint="eastAsia"/>
          <w:b/>
          <w:bCs/>
          <w:sz w:val="18"/>
          <w:szCs w:val="18"/>
        </w:rPr>
        <w:t>应当重新审理</w:t>
      </w:r>
      <w:r>
        <w:rPr>
          <w:rFonts w:ascii="宋体" w:eastAsia="宋体" w:hAnsi="宋体" w:hint="eastAsia"/>
          <w:sz w:val="18"/>
          <w:szCs w:val="18"/>
        </w:rPr>
        <w:t>。</w:t>
      </w:r>
    </w:p>
    <w:p w14:paraId="1B3B63D2" w14:textId="46BE6644" w:rsidR="00464ADF" w:rsidRDefault="00000000">
      <w:pPr>
        <w:pStyle w:val="1"/>
        <w:tabs>
          <w:tab w:val="left" w:pos="420"/>
        </w:tabs>
        <w:spacing w:before="0" w:after="0" w:line="240" w:lineRule="auto"/>
        <w:jc w:val="center"/>
        <w:rPr>
          <w:rFonts w:ascii="宋体" w:hAnsi="宋体" w:hint="eastAsia"/>
          <w:bCs w:val="0"/>
          <w:sz w:val="18"/>
          <w:szCs w:val="18"/>
        </w:rPr>
      </w:pPr>
      <w:bookmarkStart w:id="128" w:name="_Toc136521811"/>
      <w:bookmarkStart w:id="129" w:name="_Toc1462"/>
      <w:bookmarkStart w:id="130" w:name="_Toc4844164"/>
      <w:r>
        <w:rPr>
          <w:rFonts w:ascii="宋体" w:hAnsi="宋体" w:hint="eastAsia"/>
          <w:bCs w:val="0"/>
          <w:sz w:val="18"/>
          <w:szCs w:val="18"/>
        </w:rPr>
        <w:t>考点</w:t>
      </w:r>
      <w:r>
        <w:rPr>
          <w:rFonts w:ascii="宋体" w:hAnsi="宋体"/>
          <w:bCs w:val="0"/>
          <w:sz w:val="18"/>
          <w:szCs w:val="18"/>
        </w:rPr>
        <w:t>69</w:t>
      </w:r>
      <w:r>
        <w:rPr>
          <w:rFonts w:ascii="宋体" w:hAnsi="宋体" w:hint="eastAsia"/>
          <w:bCs w:val="0"/>
          <w:sz w:val="18"/>
          <w:szCs w:val="18"/>
        </w:rPr>
        <w:t xml:space="preserve">  违法所得没收程序</w:t>
      </w:r>
      <w:bookmarkEnd w:id="128"/>
      <w:bookmarkEnd w:id="129"/>
      <w:bookmarkEnd w:id="130"/>
      <w:r w:rsidR="00BC6500">
        <w:rPr>
          <w:rFonts w:ascii="宋体" w:hAnsi="宋体" w:cs="宋体" w:hint="eastAsia"/>
          <w:bCs w:val="0"/>
          <w:sz w:val="18"/>
          <w:szCs w:val="18"/>
        </w:rPr>
        <w:t>（</w:t>
      </w:r>
      <w:r w:rsidR="00DD24D0">
        <w:rPr>
          <w:rFonts w:ascii="宋体" w:hAnsi="宋体" w:cs="宋体" w:hint="eastAsia"/>
          <w:bCs w:val="0"/>
          <w:sz w:val="18"/>
          <w:szCs w:val="18"/>
        </w:rPr>
        <w:t>13</w:t>
      </w:r>
      <w:r w:rsidR="00BC6500">
        <w:rPr>
          <w:rFonts w:ascii="宋体" w:hAnsi="宋体" w:cs="宋体" w:hint="eastAsia"/>
          <w:bCs w:val="0"/>
          <w:sz w:val="18"/>
          <w:szCs w:val="18"/>
        </w:rPr>
        <w:t>:</w:t>
      </w:r>
      <w:r w:rsidR="00DD24D0">
        <w:rPr>
          <w:rFonts w:ascii="宋体" w:hAnsi="宋体" w:cs="宋体" w:hint="eastAsia"/>
          <w:bCs w:val="0"/>
          <w:sz w:val="18"/>
          <w:szCs w:val="18"/>
        </w:rPr>
        <w:t>20</w:t>
      </w:r>
      <w:r w:rsidR="00BC6500">
        <w:rPr>
          <w:rFonts w:ascii="宋体" w:hAnsi="宋体" w:cs="宋体" w:hint="eastAsia"/>
          <w:bCs w:val="0"/>
          <w:sz w:val="18"/>
          <w:szCs w:val="18"/>
        </w:rPr>
        <w:t>:00-</w:t>
      </w:r>
      <w:r w:rsidR="0072414A">
        <w:rPr>
          <w:rFonts w:ascii="宋体" w:hAnsi="宋体" w:cs="宋体" w:hint="eastAsia"/>
          <w:bCs w:val="0"/>
          <w:sz w:val="18"/>
          <w:szCs w:val="18"/>
        </w:rPr>
        <w:t>1</w:t>
      </w:r>
      <w:r w:rsidR="00DD24D0">
        <w:rPr>
          <w:rFonts w:ascii="宋体" w:hAnsi="宋体" w:cs="宋体" w:hint="eastAsia"/>
          <w:bCs w:val="0"/>
          <w:sz w:val="18"/>
          <w:szCs w:val="18"/>
        </w:rPr>
        <w:t>3</w:t>
      </w:r>
      <w:r w:rsidR="00BC6500">
        <w:rPr>
          <w:rFonts w:ascii="宋体" w:hAnsi="宋体" w:cs="宋体" w:hint="eastAsia"/>
          <w:bCs w:val="0"/>
          <w:sz w:val="18"/>
          <w:szCs w:val="18"/>
        </w:rPr>
        <w:t>:</w:t>
      </w:r>
      <w:r w:rsidR="0072414A">
        <w:rPr>
          <w:rFonts w:ascii="宋体" w:hAnsi="宋体" w:cs="宋体" w:hint="eastAsia"/>
          <w:bCs w:val="0"/>
          <w:sz w:val="18"/>
          <w:szCs w:val="18"/>
        </w:rPr>
        <w:t>26</w:t>
      </w:r>
      <w:r w:rsidR="00BC6500">
        <w:rPr>
          <w:rFonts w:ascii="宋体" w:hAnsi="宋体" w:cs="宋体" w:hint="eastAsia"/>
          <w:bCs w:val="0"/>
          <w:sz w:val="18"/>
          <w:szCs w:val="18"/>
        </w:rPr>
        <w:t>:00）</w:t>
      </w:r>
      <w:r>
        <w:rPr>
          <w:rFonts w:ascii="宋体" w:hAnsi="宋体" w:cs="宋体" w:hint="eastAsia"/>
          <w:bCs w:val="0"/>
          <w:color w:val="C00000"/>
          <w:sz w:val="18"/>
          <w:szCs w:val="18"/>
        </w:rPr>
        <w:t>（不解决刑事责任的问题</w:t>
      </w:r>
      <w:r>
        <w:rPr>
          <w:rFonts w:ascii="宋体" w:hAnsi="宋体" w:cs="宋体"/>
          <w:bCs w:val="0"/>
          <w:color w:val="C00000"/>
          <w:sz w:val="18"/>
          <w:szCs w:val="18"/>
        </w:rPr>
        <w:t>）</w:t>
      </w:r>
    </w:p>
    <w:p w14:paraId="50711E45" w14:textId="77777777" w:rsidR="00464ADF" w:rsidRDefault="00000000">
      <w:pPr>
        <w:pStyle w:val="3"/>
        <w:spacing w:line="240" w:lineRule="auto"/>
        <w:ind w:firstLineChars="200" w:firstLine="360"/>
        <w:rPr>
          <w:rFonts w:eastAsia="宋体" w:hint="eastAsia"/>
          <w:sz w:val="18"/>
          <w:szCs w:val="18"/>
        </w:rPr>
      </w:pPr>
      <w:bookmarkStart w:id="131" w:name="_Toc510879196"/>
      <w:r>
        <w:rPr>
          <w:rFonts w:eastAsia="宋体"/>
          <w:sz w:val="18"/>
          <w:szCs w:val="18"/>
        </w:rPr>
        <w:t>一</w:t>
      </w:r>
      <w:r>
        <w:rPr>
          <w:rFonts w:eastAsia="宋体" w:hint="eastAsia"/>
          <w:sz w:val="18"/>
          <w:szCs w:val="18"/>
        </w:rPr>
        <w:t>、</w:t>
      </w:r>
      <w:r>
        <w:rPr>
          <w:rFonts w:eastAsia="宋体"/>
          <w:sz w:val="18"/>
          <w:szCs w:val="18"/>
        </w:rPr>
        <w:t>违法所得没收程序的适用条件</w:t>
      </w:r>
      <w:bookmarkEnd w:id="131"/>
    </w:p>
    <w:p w14:paraId="1EA312A3" w14:textId="77777777" w:rsidR="00464ADF" w:rsidRDefault="00000000">
      <w:pPr>
        <w:widowControl/>
        <w:ind w:firstLine="420"/>
        <w:jc w:val="left"/>
        <w:outlineLvl w:val="0"/>
        <w:rPr>
          <w:rFonts w:ascii="宋体" w:eastAsia="宋体" w:hAnsi="宋体" w:hint="eastAsia"/>
          <w:b/>
          <w:bCs/>
          <w:color w:val="C00000"/>
          <w:kern w:val="0"/>
          <w:sz w:val="18"/>
          <w:szCs w:val="18"/>
        </w:rPr>
      </w:pPr>
      <w:r>
        <w:rPr>
          <w:rFonts w:ascii="宋体" w:eastAsia="宋体" w:hAnsi="宋体"/>
          <w:kern w:val="0"/>
          <w:sz w:val="18"/>
          <w:szCs w:val="18"/>
        </w:rPr>
        <w:t>对于</w:t>
      </w:r>
      <w:r>
        <w:rPr>
          <w:rFonts w:ascii="宋体" w:eastAsia="宋体" w:hAnsi="宋体"/>
          <w:color w:val="C00000"/>
          <w:kern w:val="0"/>
          <w:sz w:val="18"/>
          <w:szCs w:val="18"/>
        </w:rPr>
        <w:t>贪污贿赂犯罪、恐怖活动犯罪等重大犯罪案件</w:t>
      </w:r>
      <w:r>
        <w:rPr>
          <w:rFonts w:ascii="宋体" w:eastAsia="宋体" w:hAnsi="宋体"/>
          <w:kern w:val="0"/>
          <w:sz w:val="18"/>
          <w:szCs w:val="18"/>
        </w:rPr>
        <w:t>，犯罪嫌疑人、被告人逃匿，在通缉一年后不能到案，或者犯罪嫌疑人、被告人</w:t>
      </w:r>
      <w:r>
        <w:rPr>
          <w:rFonts w:ascii="宋体" w:eastAsia="宋体" w:hAnsi="宋体"/>
          <w:color w:val="C00000"/>
          <w:kern w:val="0"/>
          <w:sz w:val="18"/>
          <w:szCs w:val="18"/>
        </w:rPr>
        <w:t>死亡</w:t>
      </w:r>
      <w:r>
        <w:rPr>
          <w:rFonts w:ascii="宋体" w:eastAsia="宋体" w:hAnsi="宋体"/>
          <w:kern w:val="0"/>
          <w:sz w:val="18"/>
          <w:szCs w:val="18"/>
        </w:rPr>
        <w:t>，依照刑法规定应当追缴其违法所得及其他涉案财产的，人民检察院可以向人民法院提出没收违法所得的申请。</w:t>
      </w:r>
      <w:r>
        <w:rPr>
          <w:rFonts w:ascii="宋体" w:eastAsia="宋体" w:hAnsi="宋体" w:hint="eastAsia"/>
          <w:b/>
          <w:bCs/>
          <w:color w:val="0070C0"/>
          <w:kern w:val="0"/>
          <w:sz w:val="18"/>
          <w:szCs w:val="18"/>
        </w:rPr>
        <w:t>（死亡的不受罪名限制）（要是通缉，仅仅在逃不行）</w:t>
      </w:r>
    </w:p>
    <w:p w14:paraId="710EBB52" w14:textId="77777777" w:rsidR="00464ADF" w:rsidRDefault="00000000">
      <w:pPr>
        <w:ind w:firstLineChars="200" w:firstLine="360"/>
        <w:rPr>
          <w:rFonts w:ascii="宋体" w:eastAsia="宋体" w:hAnsi="宋体" w:hint="eastAsia"/>
          <w:sz w:val="18"/>
          <w:szCs w:val="18"/>
        </w:rPr>
      </w:pPr>
      <w:bookmarkStart w:id="132" w:name="_Toc510879198"/>
      <w:r>
        <w:rPr>
          <w:rFonts w:ascii="宋体" w:eastAsia="宋体" w:hAnsi="宋体" w:hint="eastAsia"/>
          <w:sz w:val="18"/>
          <w:szCs w:val="18"/>
        </w:rPr>
        <w:t>二、违法所得没收程序的程序</w:t>
      </w:r>
      <w:bookmarkEnd w:id="132"/>
    </w:p>
    <w:p w14:paraId="5D353D43"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（一）启动：</w:t>
      </w:r>
      <w:r>
        <w:rPr>
          <w:rFonts w:ascii="宋体" w:eastAsia="宋体" w:hAnsi="宋体" w:hint="eastAsia"/>
          <w:b w:val="0"/>
          <w:bCs w:val="0"/>
          <w:color w:val="C00000"/>
          <w:sz w:val="18"/>
          <w:szCs w:val="18"/>
        </w:rPr>
        <w:t>违法所得没收程序</w:t>
      </w:r>
      <w:r>
        <w:rPr>
          <w:rFonts w:ascii="宋体" w:eastAsia="宋体" w:hAnsi="宋体" w:hint="eastAsia"/>
          <w:color w:val="C00000"/>
          <w:sz w:val="18"/>
          <w:szCs w:val="18"/>
        </w:rPr>
        <w:t>只能依人民检察院的申请而启动，人民法院不能主动启动</w:t>
      </w:r>
      <w:r>
        <w:rPr>
          <w:rFonts w:ascii="宋体" w:eastAsia="宋体" w:hAnsi="宋体" w:hint="eastAsia"/>
          <w:b w:val="0"/>
          <w:bCs w:val="0"/>
          <w:color w:val="C00000"/>
          <w:sz w:val="18"/>
          <w:szCs w:val="18"/>
        </w:rPr>
        <w:t>违法所得没收程序。（强制医疗程序，法院可以主动启动）</w:t>
      </w:r>
    </w:p>
    <w:p w14:paraId="5E7C1292"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（二）管辖法院：</w:t>
      </w:r>
      <w:r>
        <w:rPr>
          <w:rFonts w:ascii="宋体" w:eastAsia="宋体" w:hAnsi="宋体" w:hint="eastAsia"/>
          <w:b w:val="0"/>
          <w:color w:val="C00000"/>
          <w:sz w:val="18"/>
          <w:szCs w:val="18"/>
        </w:rPr>
        <w:t>犯罪地或者犯罪嫌疑人、被告人居住地的中级人民法院</w:t>
      </w:r>
    </w:p>
    <w:p w14:paraId="58E16612"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（三）公告和利害关系人申请参加诉讼</w:t>
      </w:r>
    </w:p>
    <w:p w14:paraId="5A15A41E" w14:textId="77777777" w:rsidR="00464ADF" w:rsidRDefault="00000000">
      <w:pPr>
        <w:ind w:firstLineChars="200" w:firstLine="360"/>
        <w:rPr>
          <w:rFonts w:ascii="宋体" w:eastAsia="宋体" w:hAnsi="宋体" w:hint="eastAsia"/>
          <w:bCs/>
          <w:sz w:val="18"/>
          <w:szCs w:val="18"/>
        </w:rPr>
      </w:pPr>
      <w:r>
        <w:rPr>
          <w:rFonts w:ascii="宋体" w:eastAsia="宋体" w:hAnsi="宋体" w:hint="eastAsia"/>
          <w:bCs/>
          <w:sz w:val="18"/>
          <w:szCs w:val="18"/>
        </w:rPr>
        <w:t>1．</w:t>
      </w:r>
      <w:r>
        <w:rPr>
          <w:rFonts w:ascii="宋体" w:eastAsia="宋体" w:hAnsi="宋体" w:hint="eastAsia"/>
          <w:color w:val="B00824"/>
          <w:sz w:val="18"/>
          <w:szCs w:val="18"/>
        </w:rPr>
        <w:t>公告期：六个月，公告期间不适用中止、中断、延长的规定</w:t>
      </w:r>
    </w:p>
    <w:p w14:paraId="0B45FC1A" w14:textId="77777777" w:rsidR="00464ADF" w:rsidRDefault="00000000">
      <w:pPr>
        <w:ind w:firstLineChars="200" w:firstLine="360"/>
        <w:rPr>
          <w:rFonts w:ascii="宋体" w:eastAsia="宋体" w:hAnsi="宋体" w:hint="eastAsia"/>
          <w:bCs/>
          <w:sz w:val="18"/>
          <w:szCs w:val="18"/>
        </w:rPr>
      </w:pPr>
      <w:r>
        <w:rPr>
          <w:rFonts w:ascii="宋体" w:eastAsia="宋体" w:hAnsi="宋体" w:hint="eastAsia"/>
          <w:bCs/>
          <w:sz w:val="18"/>
          <w:szCs w:val="18"/>
        </w:rPr>
        <w:t>2．利害关系人申请参加诉讼（1）</w:t>
      </w:r>
      <w:r>
        <w:rPr>
          <w:rFonts w:ascii="宋体" w:eastAsia="宋体" w:hAnsi="宋体"/>
          <w:color w:val="B00824"/>
          <w:sz w:val="18"/>
          <w:szCs w:val="18"/>
        </w:rPr>
        <w:t>犯罪嫌疑人、被告人的</w:t>
      </w:r>
      <w:r>
        <w:rPr>
          <w:rFonts w:ascii="宋体" w:eastAsia="宋体" w:hAnsi="宋体"/>
          <w:b/>
          <w:bCs/>
          <w:color w:val="B00824"/>
          <w:sz w:val="18"/>
          <w:szCs w:val="18"/>
        </w:rPr>
        <w:t>近亲属</w:t>
      </w:r>
      <w:r>
        <w:rPr>
          <w:rFonts w:ascii="宋体" w:eastAsia="宋体" w:hAnsi="宋体"/>
          <w:color w:val="B00824"/>
          <w:sz w:val="18"/>
          <w:szCs w:val="18"/>
        </w:rPr>
        <w:t>和</w:t>
      </w:r>
      <w:r>
        <w:rPr>
          <w:rFonts w:ascii="宋体" w:eastAsia="宋体" w:hAnsi="宋体"/>
          <w:b/>
          <w:bCs/>
          <w:color w:val="B00824"/>
          <w:sz w:val="18"/>
          <w:szCs w:val="18"/>
        </w:rPr>
        <w:t>其他利害关系人</w:t>
      </w:r>
      <w:r>
        <w:rPr>
          <w:rFonts w:ascii="宋体" w:eastAsia="宋体" w:hAnsi="宋体"/>
          <w:color w:val="B00824"/>
          <w:sz w:val="18"/>
          <w:szCs w:val="18"/>
        </w:rPr>
        <w:t>有权申请参加诉讼</w:t>
      </w:r>
      <w:r>
        <w:rPr>
          <w:rFonts w:ascii="宋体" w:eastAsia="宋体" w:hAnsi="宋体"/>
          <w:sz w:val="18"/>
          <w:szCs w:val="18"/>
        </w:rPr>
        <w:t>，</w:t>
      </w:r>
      <w:r>
        <w:rPr>
          <w:rFonts w:ascii="宋体" w:eastAsia="宋体" w:hAnsi="宋体"/>
          <w:color w:val="B00824"/>
          <w:sz w:val="18"/>
          <w:szCs w:val="18"/>
        </w:rPr>
        <w:t>也可以</w:t>
      </w:r>
      <w:r>
        <w:rPr>
          <w:rFonts w:ascii="宋体" w:eastAsia="宋体" w:hAnsi="宋体"/>
          <w:b/>
          <w:bCs/>
          <w:color w:val="B00824"/>
          <w:sz w:val="18"/>
          <w:szCs w:val="18"/>
        </w:rPr>
        <w:t>委托诉讼代理人</w:t>
      </w:r>
      <w:r>
        <w:rPr>
          <w:rFonts w:ascii="宋体" w:eastAsia="宋体" w:hAnsi="宋体"/>
          <w:sz w:val="18"/>
          <w:szCs w:val="18"/>
        </w:rPr>
        <w:t>参加诉讼。</w:t>
      </w:r>
      <w:r>
        <w:rPr>
          <w:rFonts w:ascii="宋体" w:eastAsia="宋体" w:hAnsi="宋体" w:hint="eastAsia"/>
          <w:color w:val="B00824"/>
          <w:sz w:val="18"/>
          <w:szCs w:val="18"/>
        </w:rPr>
        <w:t>除犯罪嫌疑人、被告人的近亲属以外的，对申请没收的财产主张权利的自然人和单位</w:t>
      </w:r>
      <w:r>
        <w:rPr>
          <w:rFonts w:ascii="宋体" w:eastAsia="宋体" w:hAnsi="宋体"/>
          <w:color w:val="B00824"/>
          <w:sz w:val="18"/>
          <w:szCs w:val="18"/>
        </w:rPr>
        <w:t>应当认定为</w:t>
      </w:r>
      <w:r>
        <w:rPr>
          <w:rFonts w:ascii="宋体" w:eastAsia="宋体" w:hAnsi="宋体" w:hint="eastAsia"/>
          <w:color w:val="B00824"/>
          <w:sz w:val="18"/>
          <w:szCs w:val="18"/>
        </w:rPr>
        <w:t>“其他利害关系人”</w:t>
      </w:r>
      <w:r>
        <w:rPr>
          <w:rFonts w:ascii="宋体" w:eastAsia="宋体" w:hAnsi="宋体" w:hint="eastAsia"/>
          <w:sz w:val="18"/>
          <w:szCs w:val="18"/>
        </w:rPr>
        <w:t>。（</w:t>
      </w:r>
      <w:r>
        <w:rPr>
          <w:rFonts w:ascii="宋体" w:eastAsia="宋体" w:hAnsi="宋体"/>
          <w:sz w:val="18"/>
          <w:szCs w:val="18"/>
        </w:rPr>
        <w:t>2</w:t>
      </w:r>
      <w:r>
        <w:rPr>
          <w:rFonts w:ascii="宋体" w:eastAsia="宋体" w:hAnsi="宋体" w:hint="eastAsia"/>
          <w:sz w:val="18"/>
          <w:szCs w:val="18"/>
        </w:rPr>
        <w:t>）利害关系人在</w:t>
      </w:r>
      <w:r>
        <w:rPr>
          <w:rFonts w:ascii="宋体" w:eastAsia="宋体" w:hAnsi="宋体" w:hint="eastAsia"/>
          <w:color w:val="B00824"/>
          <w:sz w:val="18"/>
          <w:szCs w:val="18"/>
        </w:rPr>
        <w:t>公告期满后申请参加诉讼，</w:t>
      </w:r>
      <w:r>
        <w:rPr>
          <w:rFonts w:ascii="宋体" w:eastAsia="宋体" w:hAnsi="宋体" w:hint="eastAsia"/>
          <w:b/>
          <w:bCs/>
          <w:color w:val="B00824"/>
          <w:sz w:val="18"/>
          <w:szCs w:val="18"/>
        </w:rPr>
        <w:t>能够合理说明理由的</w:t>
      </w:r>
      <w:r>
        <w:rPr>
          <w:rFonts w:ascii="宋体" w:eastAsia="宋体" w:hAnsi="宋体" w:hint="eastAsia"/>
          <w:color w:val="B00824"/>
          <w:sz w:val="18"/>
          <w:szCs w:val="18"/>
        </w:rPr>
        <w:t>，</w:t>
      </w:r>
      <w:r>
        <w:rPr>
          <w:rFonts w:ascii="宋体" w:eastAsia="宋体" w:hAnsi="宋体"/>
          <w:color w:val="B00824"/>
          <w:sz w:val="18"/>
          <w:szCs w:val="18"/>
        </w:rPr>
        <w:t>人民法院应当准许</w:t>
      </w:r>
      <w:r>
        <w:rPr>
          <w:rFonts w:ascii="宋体" w:eastAsia="宋体" w:hAnsi="宋体" w:hint="eastAsia"/>
          <w:color w:val="B00824"/>
          <w:sz w:val="18"/>
          <w:szCs w:val="18"/>
        </w:rPr>
        <w:t>。</w:t>
      </w:r>
    </w:p>
    <w:p w14:paraId="16E525D3"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（四）审理</w:t>
      </w:r>
    </w:p>
    <w:p w14:paraId="6FE8C1DA" w14:textId="77777777" w:rsidR="00464ADF" w:rsidRDefault="00000000">
      <w:pPr>
        <w:ind w:firstLineChars="200" w:firstLine="360"/>
        <w:rPr>
          <w:rFonts w:ascii="宋体" w:eastAsia="宋体" w:hAnsi="宋体" w:hint="eastAsia"/>
          <w:b/>
          <w:bCs/>
          <w:sz w:val="18"/>
          <w:szCs w:val="18"/>
        </w:rPr>
      </w:pPr>
      <w:r>
        <w:rPr>
          <w:rFonts w:ascii="宋体" w:eastAsia="宋体" w:hAnsi="宋体" w:hint="eastAsia"/>
          <w:bCs/>
          <w:sz w:val="18"/>
          <w:szCs w:val="18"/>
        </w:rPr>
        <w:t>1．方式</w:t>
      </w:r>
      <w:r>
        <w:rPr>
          <w:rFonts w:ascii="宋体" w:eastAsia="宋体" w:hAnsi="宋体" w:hint="eastAsia"/>
          <w:sz w:val="18"/>
          <w:szCs w:val="18"/>
        </w:rPr>
        <w:t>（1）</w:t>
      </w:r>
      <w:r>
        <w:rPr>
          <w:rFonts w:ascii="宋体" w:eastAsia="宋体" w:hAnsi="宋体"/>
          <w:b/>
          <w:bCs/>
          <w:color w:val="B00824"/>
          <w:sz w:val="18"/>
          <w:szCs w:val="18"/>
        </w:rPr>
        <w:t>利害关系人申请参加诉讼的，人民法院应当开庭审理</w:t>
      </w:r>
      <w:r>
        <w:rPr>
          <w:rFonts w:ascii="宋体" w:eastAsia="宋体" w:hAnsi="宋体" w:hint="eastAsia"/>
          <w:color w:val="B00824"/>
          <w:sz w:val="18"/>
          <w:szCs w:val="18"/>
        </w:rPr>
        <w:t>，</w:t>
      </w:r>
      <w:r>
        <w:rPr>
          <w:rFonts w:ascii="宋体" w:eastAsia="宋体" w:hAnsi="宋体"/>
          <w:color w:val="B00824"/>
          <w:kern w:val="0"/>
          <w:sz w:val="18"/>
          <w:szCs w:val="18"/>
        </w:rPr>
        <w:t>人民检察院应当派员出席法庭。</w:t>
      </w:r>
      <w:r>
        <w:rPr>
          <w:rFonts w:ascii="宋体" w:eastAsia="宋体" w:hAnsi="宋体" w:hint="eastAsia"/>
          <w:sz w:val="18"/>
          <w:szCs w:val="18"/>
        </w:rPr>
        <w:t>（2）</w:t>
      </w:r>
      <w:r>
        <w:rPr>
          <w:rFonts w:ascii="宋体" w:eastAsia="宋体" w:hAnsi="宋体"/>
          <w:color w:val="B00824"/>
          <w:sz w:val="18"/>
          <w:szCs w:val="18"/>
        </w:rPr>
        <w:t>没有利害关系人申请参加诉讼的，</w:t>
      </w:r>
      <w:r>
        <w:rPr>
          <w:rFonts w:ascii="宋体" w:eastAsia="宋体" w:hAnsi="宋体" w:hint="eastAsia"/>
          <w:color w:val="B00824"/>
          <w:sz w:val="18"/>
          <w:szCs w:val="18"/>
        </w:rPr>
        <w:t>或者利害关系人及其诉讼代理人无正当理由拒不到庭的，</w:t>
      </w:r>
      <w:r>
        <w:rPr>
          <w:rFonts w:ascii="宋体" w:eastAsia="宋体" w:hAnsi="宋体"/>
          <w:b/>
          <w:bCs/>
          <w:color w:val="B00824"/>
          <w:sz w:val="18"/>
          <w:szCs w:val="18"/>
        </w:rPr>
        <w:t>可以不开庭审理</w:t>
      </w:r>
      <w:r>
        <w:rPr>
          <w:rFonts w:ascii="宋体" w:eastAsia="宋体" w:hAnsi="宋体"/>
          <w:b/>
          <w:bCs/>
          <w:sz w:val="18"/>
          <w:szCs w:val="18"/>
        </w:rPr>
        <w:t>。</w:t>
      </w:r>
    </w:p>
    <w:p w14:paraId="4F61BCDC"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（五）终止：在审理过程中，</w:t>
      </w:r>
      <w:r>
        <w:rPr>
          <w:rFonts w:ascii="宋体" w:eastAsia="宋体" w:hAnsi="宋体" w:hint="eastAsia"/>
          <w:b w:val="0"/>
          <w:color w:val="C00000"/>
          <w:sz w:val="18"/>
          <w:szCs w:val="18"/>
        </w:rPr>
        <w:t>在逃的犯罪嫌疑人、被告人自动投案或者被抓获的</w:t>
      </w:r>
      <w:r>
        <w:rPr>
          <w:rFonts w:ascii="宋体" w:eastAsia="宋体" w:hAnsi="宋体" w:hint="eastAsia"/>
          <w:b w:val="0"/>
          <w:color w:val="000000" w:themeColor="text1"/>
          <w:sz w:val="18"/>
          <w:szCs w:val="18"/>
        </w:rPr>
        <w:t>，人民法院应当</w:t>
      </w:r>
      <w:r>
        <w:rPr>
          <w:rFonts w:ascii="宋体" w:eastAsia="宋体" w:hAnsi="宋体" w:hint="eastAsia"/>
          <w:b w:val="0"/>
          <w:color w:val="C00000"/>
          <w:sz w:val="18"/>
          <w:szCs w:val="18"/>
        </w:rPr>
        <w:t>终止审理</w:t>
      </w:r>
      <w:r>
        <w:rPr>
          <w:rFonts w:ascii="宋体" w:eastAsia="宋体" w:hAnsi="宋体" w:hint="eastAsia"/>
          <w:b w:val="0"/>
          <w:color w:val="000000" w:themeColor="text1"/>
          <w:sz w:val="18"/>
          <w:szCs w:val="18"/>
        </w:rPr>
        <w:t>，人民检察院应当将案件</w:t>
      </w:r>
      <w:r>
        <w:rPr>
          <w:rFonts w:ascii="宋体" w:eastAsia="宋体" w:hAnsi="宋体" w:hint="eastAsia"/>
          <w:b w:val="0"/>
          <w:color w:val="C00000"/>
          <w:sz w:val="18"/>
          <w:szCs w:val="18"/>
        </w:rPr>
        <w:t>退回</w:t>
      </w:r>
      <w:r>
        <w:rPr>
          <w:rFonts w:ascii="宋体" w:eastAsia="宋体" w:hAnsi="宋体" w:hint="eastAsia"/>
          <w:b w:val="0"/>
          <w:color w:val="000000" w:themeColor="text1"/>
          <w:sz w:val="18"/>
          <w:szCs w:val="18"/>
        </w:rPr>
        <w:t>公安机关处理。人民检察院向原受理申请的人民法院提起公诉的，</w:t>
      </w:r>
      <w:r>
        <w:rPr>
          <w:rFonts w:ascii="宋体" w:eastAsia="宋体" w:hAnsi="宋体" w:hint="eastAsia"/>
          <w:b w:val="0"/>
          <w:color w:val="C00000"/>
          <w:sz w:val="18"/>
          <w:szCs w:val="18"/>
        </w:rPr>
        <w:t>可以由同一审判组织审理</w:t>
      </w:r>
      <w:r>
        <w:rPr>
          <w:rFonts w:ascii="宋体" w:eastAsia="宋体" w:hAnsi="宋体" w:hint="eastAsia"/>
          <w:b w:val="0"/>
          <w:color w:val="000000" w:themeColor="text1"/>
          <w:sz w:val="18"/>
          <w:szCs w:val="18"/>
        </w:rPr>
        <w:t>。</w:t>
      </w:r>
    </w:p>
    <w:p w14:paraId="064F5FAC" w14:textId="13727E4C" w:rsidR="00464ADF" w:rsidRPr="00BC6500" w:rsidRDefault="00000000" w:rsidP="00BC6500">
      <w:pPr>
        <w:pStyle w:val="4"/>
        <w:tabs>
          <w:tab w:val="left" w:pos="420"/>
        </w:tabs>
        <w:spacing w:before="0" w:after="0" w:line="240" w:lineRule="auto"/>
        <w:ind w:firstLineChars="120" w:firstLine="216"/>
        <w:jc w:val="left"/>
        <w:rPr>
          <w:rFonts w:ascii="宋体" w:eastAsia="宋体" w:hAnsi="宋体" w:hint="eastAsia"/>
          <w:b w:val="0"/>
          <w:bCs w:val="0"/>
          <w:color w:val="C00000"/>
          <w:sz w:val="18"/>
          <w:szCs w:val="18"/>
        </w:rPr>
      </w:pPr>
      <w:r>
        <w:rPr>
          <w:rFonts w:ascii="宋体" w:eastAsia="宋体" w:hAnsi="宋体" w:hint="eastAsia"/>
          <w:b w:val="0"/>
          <w:color w:val="000000" w:themeColor="text1"/>
          <w:sz w:val="18"/>
          <w:szCs w:val="18"/>
        </w:rPr>
        <w:t>（六）救济措施：</w:t>
      </w:r>
      <w:r>
        <w:rPr>
          <w:rFonts w:ascii="宋体" w:eastAsia="宋体" w:hAnsi="宋体" w:cs="Times New Roman" w:hint="eastAsia"/>
          <w:b w:val="0"/>
          <w:bCs w:val="0"/>
          <w:sz w:val="18"/>
          <w:szCs w:val="18"/>
        </w:rPr>
        <w:t>犯罪嫌疑人、被告人到案并对生效的没收裁定提出异议，人民检察院向原作出裁定的人民法院提起公诉的，</w:t>
      </w:r>
      <w:r>
        <w:rPr>
          <w:rFonts w:ascii="宋体" w:eastAsia="宋体" w:hAnsi="宋体" w:cs="Times New Roman" w:hint="eastAsia"/>
          <w:b w:val="0"/>
          <w:bCs w:val="0"/>
          <w:color w:val="C00000"/>
          <w:sz w:val="18"/>
          <w:szCs w:val="18"/>
        </w:rPr>
        <w:t>可由同一审判组织审理</w:t>
      </w:r>
      <w:r>
        <w:rPr>
          <w:rFonts w:ascii="宋体" w:eastAsia="宋体" w:hAnsi="宋体" w:cs="Times New Roman" w:hint="eastAsia"/>
          <w:b w:val="0"/>
          <w:bCs w:val="0"/>
          <w:sz w:val="18"/>
          <w:szCs w:val="18"/>
        </w:rPr>
        <w:t>，原裁定正确的予以维持，不再对涉案财产作出判决；原裁定错误的，撤销原裁定，在判决中对有关涉案财产一并作出处理。</w:t>
      </w:r>
      <w:r>
        <w:rPr>
          <w:rFonts w:ascii="宋体" w:eastAsia="宋体" w:hAnsi="宋体" w:cs="Times New Roman" w:hint="eastAsia"/>
          <w:b w:val="0"/>
          <w:bCs w:val="0"/>
          <w:color w:val="C00000"/>
          <w:sz w:val="18"/>
          <w:szCs w:val="18"/>
        </w:rPr>
        <w:t>除上述情况外，生效没收裁定确有错误的，依照审判监督程序予以纠正。</w:t>
      </w:r>
    </w:p>
    <w:p w14:paraId="2E160042" w14:textId="6D6D5623" w:rsidR="00464ADF" w:rsidRDefault="00000000">
      <w:pPr>
        <w:pStyle w:val="1"/>
        <w:tabs>
          <w:tab w:val="left" w:pos="420"/>
        </w:tabs>
        <w:spacing w:before="0" w:after="0" w:line="240" w:lineRule="auto"/>
        <w:jc w:val="center"/>
        <w:rPr>
          <w:rFonts w:ascii="宋体" w:hAnsi="宋体" w:hint="eastAsia"/>
          <w:bCs w:val="0"/>
          <w:sz w:val="18"/>
          <w:szCs w:val="18"/>
        </w:rPr>
      </w:pPr>
      <w:bookmarkStart w:id="133" w:name="_Toc4844165"/>
      <w:bookmarkStart w:id="134" w:name="_Toc8604"/>
      <w:bookmarkStart w:id="135" w:name="_Toc136521812"/>
      <w:r>
        <w:rPr>
          <w:rFonts w:ascii="宋体" w:hAnsi="宋体" w:hint="eastAsia"/>
          <w:bCs w:val="0"/>
          <w:sz w:val="18"/>
          <w:szCs w:val="18"/>
        </w:rPr>
        <w:t>考点7</w:t>
      </w:r>
      <w:r>
        <w:rPr>
          <w:rFonts w:ascii="宋体" w:hAnsi="宋体"/>
          <w:bCs w:val="0"/>
          <w:sz w:val="18"/>
          <w:szCs w:val="18"/>
        </w:rPr>
        <w:t>0</w:t>
      </w:r>
      <w:r>
        <w:rPr>
          <w:rFonts w:ascii="宋体" w:hAnsi="宋体" w:hint="eastAsia"/>
          <w:bCs w:val="0"/>
          <w:sz w:val="18"/>
          <w:szCs w:val="18"/>
        </w:rPr>
        <w:t xml:space="preserve">  强制医疗程序</w:t>
      </w:r>
      <w:bookmarkEnd w:id="133"/>
      <w:bookmarkEnd w:id="134"/>
      <w:bookmarkEnd w:id="135"/>
      <w:r w:rsidR="00BC6500">
        <w:rPr>
          <w:rFonts w:ascii="宋体" w:hAnsi="宋体" w:cs="宋体" w:hint="eastAsia"/>
          <w:bCs w:val="0"/>
          <w:sz w:val="18"/>
          <w:szCs w:val="18"/>
        </w:rPr>
        <w:t>（</w:t>
      </w:r>
      <w:r w:rsidR="0072414A">
        <w:rPr>
          <w:rFonts w:ascii="宋体" w:hAnsi="宋体" w:cs="宋体" w:hint="eastAsia"/>
          <w:bCs w:val="0"/>
          <w:sz w:val="18"/>
          <w:szCs w:val="18"/>
        </w:rPr>
        <w:t>1</w:t>
      </w:r>
      <w:r w:rsidR="00DD24D0">
        <w:rPr>
          <w:rFonts w:ascii="宋体" w:hAnsi="宋体" w:cs="宋体" w:hint="eastAsia"/>
          <w:bCs w:val="0"/>
          <w:sz w:val="18"/>
          <w:szCs w:val="18"/>
        </w:rPr>
        <w:t>3</w:t>
      </w:r>
      <w:r w:rsidR="0072414A">
        <w:rPr>
          <w:rFonts w:ascii="宋体" w:hAnsi="宋体" w:cs="宋体" w:hint="eastAsia"/>
          <w:bCs w:val="0"/>
          <w:sz w:val="18"/>
          <w:szCs w:val="18"/>
        </w:rPr>
        <w:t>:26</w:t>
      </w:r>
      <w:r w:rsidR="00BC6500">
        <w:rPr>
          <w:rFonts w:ascii="宋体" w:hAnsi="宋体" w:cs="宋体" w:hint="eastAsia"/>
          <w:bCs w:val="0"/>
          <w:sz w:val="18"/>
          <w:szCs w:val="18"/>
        </w:rPr>
        <w:t>:00-</w:t>
      </w:r>
      <w:r w:rsidR="00FE6663">
        <w:rPr>
          <w:rFonts w:ascii="宋体" w:hAnsi="宋体" w:cs="宋体" w:hint="eastAsia"/>
          <w:bCs w:val="0"/>
          <w:sz w:val="18"/>
          <w:szCs w:val="18"/>
        </w:rPr>
        <w:t>13</w:t>
      </w:r>
      <w:r w:rsidR="00BC6500">
        <w:rPr>
          <w:rFonts w:ascii="宋体" w:hAnsi="宋体" w:cs="宋体" w:hint="eastAsia"/>
          <w:bCs w:val="0"/>
          <w:sz w:val="18"/>
          <w:szCs w:val="18"/>
        </w:rPr>
        <w:t>:</w:t>
      </w:r>
      <w:r w:rsidR="00213B22">
        <w:rPr>
          <w:rFonts w:ascii="宋体" w:hAnsi="宋体" w:cs="宋体" w:hint="eastAsia"/>
          <w:bCs w:val="0"/>
          <w:sz w:val="18"/>
          <w:szCs w:val="18"/>
        </w:rPr>
        <w:t>44</w:t>
      </w:r>
      <w:r w:rsidR="00BC6500">
        <w:rPr>
          <w:rFonts w:ascii="宋体" w:hAnsi="宋体" w:cs="宋体" w:hint="eastAsia"/>
          <w:bCs w:val="0"/>
          <w:sz w:val="18"/>
          <w:szCs w:val="18"/>
        </w:rPr>
        <w:t>:00）</w:t>
      </w:r>
    </w:p>
    <w:p w14:paraId="1D14B55A" w14:textId="77777777" w:rsidR="00464ADF" w:rsidRDefault="00000000">
      <w:pPr>
        <w:pStyle w:val="3"/>
        <w:spacing w:line="240" w:lineRule="auto"/>
        <w:ind w:firstLineChars="200" w:firstLine="360"/>
        <w:rPr>
          <w:rFonts w:eastAsia="宋体" w:hint="eastAsia"/>
          <w:sz w:val="18"/>
          <w:szCs w:val="18"/>
        </w:rPr>
      </w:pPr>
      <w:bookmarkStart w:id="136" w:name="_Toc510879201"/>
      <w:r>
        <w:rPr>
          <w:rFonts w:eastAsia="宋体" w:hint="eastAsia"/>
          <w:sz w:val="18"/>
          <w:szCs w:val="18"/>
        </w:rPr>
        <w:t>一、强制医疗程序</w:t>
      </w:r>
      <w:bookmarkEnd w:id="136"/>
      <w:r>
        <w:rPr>
          <w:rFonts w:eastAsia="宋体" w:hint="eastAsia"/>
          <w:sz w:val="18"/>
          <w:szCs w:val="18"/>
        </w:rPr>
        <w:t>的适用条件：</w:t>
      </w:r>
    </w:p>
    <w:p w14:paraId="3E7DFB36" w14:textId="77777777" w:rsidR="00464ADF" w:rsidRDefault="00000000">
      <w:pPr>
        <w:ind w:firstLine="420"/>
        <w:rPr>
          <w:rFonts w:ascii="宋体" w:eastAsia="宋体" w:hAnsi="宋体" w:cs="宋体" w:hint="eastAsia"/>
          <w:color w:val="000000" w:themeColor="text1"/>
          <w:sz w:val="18"/>
          <w:szCs w:val="18"/>
        </w:rPr>
      </w:pPr>
      <w:r>
        <w:rPr>
          <w:rFonts w:ascii="宋体" w:eastAsia="宋体" w:hAnsi="宋体" w:cs="宋体" w:hint="eastAsia"/>
          <w:color w:val="000000" w:themeColor="text1"/>
          <w:sz w:val="18"/>
          <w:szCs w:val="18"/>
        </w:rPr>
        <w:t>刑事诉讼法第三百零二条：实施暴力行为，</w:t>
      </w:r>
      <w:r>
        <w:rPr>
          <w:rFonts w:ascii="宋体" w:eastAsia="宋体" w:hAnsi="宋体" w:cs="宋体" w:hint="eastAsia"/>
          <w:color w:val="C00000"/>
          <w:sz w:val="18"/>
          <w:szCs w:val="18"/>
        </w:rPr>
        <w:t>危害公共安全或者严重危害公民人身安全</w:t>
      </w:r>
      <w:r>
        <w:rPr>
          <w:rFonts w:ascii="宋体" w:eastAsia="宋体" w:hAnsi="宋体" w:cs="宋体" w:hint="eastAsia"/>
          <w:color w:val="000000" w:themeColor="text1"/>
          <w:sz w:val="18"/>
          <w:szCs w:val="18"/>
        </w:rPr>
        <w:t>，经法定程序鉴定依法不负刑事责任的精神病人，</w:t>
      </w:r>
      <w:r>
        <w:rPr>
          <w:rFonts w:ascii="宋体" w:eastAsia="宋体" w:hAnsi="宋体" w:cs="宋体" w:hint="eastAsia"/>
          <w:color w:val="C00000"/>
          <w:sz w:val="18"/>
          <w:szCs w:val="18"/>
        </w:rPr>
        <w:t>有继续危害社会可能的，</w:t>
      </w:r>
      <w:r>
        <w:rPr>
          <w:rFonts w:ascii="宋体" w:eastAsia="宋体" w:hAnsi="宋体" w:cs="宋体" w:hint="eastAsia"/>
          <w:color w:val="000000" w:themeColor="text1"/>
          <w:sz w:val="18"/>
          <w:szCs w:val="18"/>
        </w:rPr>
        <w:t>可以予以强制医疗。</w:t>
      </w:r>
    </w:p>
    <w:p w14:paraId="021B2555" w14:textId="77777777" w:rsidR="00464ADF" w:rsidRDefault="00000000">
      <w:pPr>
        <w:pStyle w:val="3"/>
        <w:spacing w:line="240" w:lineRule="auto"/>
        <w:ind w:firstLineChars="200" w:firstLine="360"/>
        <w:rPr>
          <w:rFonts w:eastAsia="宋体" w:hint="eastAsia"/>
          <w:sz w:val="18"/>
          <w:szCs w:val="18"/>
        </w:rPr>
      </w:pPr>
      <w:bookmarkStart w:id="137" w:name="_Toc510879202"/>
      <w:r>
        <w:rPr>
          <w:rFonts w:eastAsia="宋体" w:hint="eastAsia"/>
          <w:sz w:val="18"/>
          <w:szCs w:val="18"/>
        </w:rPr>
        <w:t>二、启动程序：</w:t>
      </w:r>
      <w:r>
        <w:rPr>
          <w:rFonts w:eastAsia="宋体" w:hint="eastAsia"/>
          <w:b/>
          <w:bCs/>
          <w:color w:val="C00000"/>
          <w:sz w:val="18"/>
          <w:szCs w:val="18"/>
        </w:rPr>
        <w:t>法院可以主动启动</w:t>
      </w:r>
    </w:p>
    <w:p w14:paraId="6673D1C4" w14:textId="77777777" w:rsidR="00464ADF" w:rsidRDefault="00000000">
      <w:pPr>
        <w:pStyle w:val="3"/>
        <w:spacing w:line="240" w:lineRule="auto"/>
        <w:ind w:firstLineChars="200" w:firstLine="360"/>
        <w:rPr>
          <w:rFonts w:eastAsia="宋体" w:hint="eastAsia"/>
          <w:b/>
          <w:sz w:val="18"/>
          <w:szCs w:val="18"/>
        </w:rPr>
      </w:pPr>
      <w:r>
        <w:rPr>
          <w:rFonts w:eastAsia="宋体" w:hint="eastAsia"/>
          <w:sz w:val="18"/>
          <w:szCs w:val="18"/>
        </w:rPr>
        <w:t>三、强制医疗的决定程序</w:t>
      </w:r>
      <w:bookmarkEnd w:id="137"/>
    </w:p>
    <w:p w14:paraId="04434CA3"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（一）人民检察院申请强制医疗案件的管辖</w:t>
      </w:r>
    </w:p>
    <w:p w14:paraId="24DFBA12" w14:textId="77777777" w:rsidR="00464ADF" w:rsidRDefault="00000000">
      <w:pPr>
        <w:ind w:firstLineChars="200" w:firstLine="360"/>
        <w:rPr>
          <w:rFonts w:ascii="宋体" w:eastAsia="宋体" w:hAnsi="宋体" w:hint="eastAsia"/>
          <w:sz w:val="18"/>
          <w:szCs w:val="18"/>
        </w:rPr>
      </w:pPr>
      <w:r>
        <w:rPr>
          <w:rFonts w:ascii="宋体" w:eastAsia="宋体" w:hAnsi="宋体"/>
          <w:sz w:val="18"/>
          <w:szCs w:val="18"/>
        </w:rPr>
        <w:t>由</w:t>
      </w:r>
      <w:r>
        <w:rPr>
          <w:rFonts w:ascii="宋体" w:eastAsia="宋体" w:hAnsi="宋体"/>
          <w:color w:val="B00824"/>
          <w:sz w:val="18"/>
          <w:szCs w:val="18"/>
        </w:rPr>
        <w:t>被申请人实施暴力行为所在地的</w:t>
      </w:r>
      <w:r>
        <w:rPr>
          <w:rFonts w:ascii="宋体" w:eastAsia="宋体" w:hAnsi="宋体"/>
          <w:b/>
          <w:bCs/>
          <w:color w:val="B00824"/>
          <w:sz w:val="18"/>
          <w:szCs w:val="18"/>
        </w:rPr>
        <w:t>基层人民法院</w:t>
      </w:r>
      <w:r>
        <w:rPr>
          <w:rFonts w:ascii="宋体" w:eastAsia="宋体" w:hAnsi="宋体"/>
          <w:sz w:val="18"/>
          <w:szCs w:val="18"/>
        </w:rPr>
        <w:t>管辖；由被申请人居住地的人民法院审判更为适宜的，可以由</w:t>
      </w:r>
      <w:r>
        <w:rPr>
          <w:rFonts w:ascii="宋体" w:eastAsia="宋体" w:hAnsi="宋体"/>
          <w:color w:val="B00824"/>
          <w:sz w:val="18"/>
          <w:szCs w:val="18"/>
        </w:rPr>
        <w:t>被申请人居住地的基层人民法院</w:t>
      </w:r>
      <w:r>
        <w:rPr>
          <w:rFonts w:ascii="宋体" w:eastAsia="宋体" w:hAnsi="宋体"/>
          <w:sz w:val="18"/>
          <w:szCs w:val="18"/>
        </w:rPr>
        <w:t>管辖。</w:t>
      </w:r>
    </w:p>
    <w:p w14:paraId="35F20880" w14:textId="77777777" w:rsidR="00464ADF" w:rsidRDefault="00000000">
      <w:pPr>
        <w:ind w:firstLineChars="200" w:firstLine="361"/>
        <w:rPr>
          <w:rFonts w:ascii="宋体" w:eastAsia="宋体" w:hAnsi="宋体" w:hint="eastAsia"/>
          <w:b/>
          <w:bCs/>
          <w:color w:val="C00000"/>
          <w:sz w:val="18"/>
          <w:szCs w:val="18"/>
        </w:rPr>
      </w:pPr>
      <w:r>
        <w:rPr>
          <w:rFonts w:ascii="宋体" w:eastAsia="宋体" w:hAnsi="宋体" w:hint="eastAsia"/>
          <w:b/>
          <w:bCs/>
          <w:color w:val="C00000"/>
          <w:sz w:val="18"/>
          <w:szCs w:val="18"/>
        </w:rPr>
        <w:t>（二）审理——注意特殊规定</w:t>
      </w:r>
    </w:p>
    <w:p w14:paraId="213CE6AD"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1．</w:t>
      </w:r>
      <w:r>
        <w:rPr>
          <w:rFonts w:ascii="宋体" w:eastAsia="宋体" w:hAnsi="宋体"/>
          <w:sz w:val="18"/>
          <w:szCs w:val="18"/>
        </w:rPr>
        <w:t>应当组成</w:t>
      </w:r>
      <w:r>
        <w:rPr>
          <w:rFonts w:ascii="宋体" w:eastAsia="宋体" w:hAnsi="宋体"/>
          <w:color w:val="B00824"/>
          <w:sz w:val="18"/>
          <w:szCs w:val="18"/>
        </w:rPr>
        <w:t>合议庭</w:t>
      </w:r>
      <w:r>
        <w:rPr>
          <w:rFonts w:ascii="宋体" w:eastAsia="宋体" w:hAnsi="宋体"/>
          <w:sz w:val="18"/>
          <w:szCs w:val="18"/>
        </w:rPr>
        <w:t>进行审理。</w:t>
      </w:r>
      <w:r>
        <w:rPr>
          <w:rFonts w:ascii="宋体" w:eastAsia="宋体" w:hAnsi="宋体" w:hint="eastAsia"/>
          <w:sz w:val="18"/>
          <w:szCs w:val="18"/>
        </w:rPr>
        <w:t>2．</w:t>
      </w:r>
      <w:r>
        <w:rPr>
          <w:rFonts w:ascii="宋体" w:eastAsia="宋体" w:hAnsi="宋体"/>
          <w:b/>
          <w:bCs/>
          <w:color w:val="B00824"/>
          <w:sz w:val="18"/>
          <w:szCs w:val="18"/>
        </w:rPr>
        <w:t>一般应当</w:t>
      </w:r>
      <w:r>
        <w:rPr>
          <w:rFonts w:ascii="宋体" w:eastAsia="宋体" w:hAnsi="宋体"/>
          <w:color w:val="B00824"/>
          <w:sz w:val="18"/>
          <w:szCs w:val="18"/>
        </w:rPr>
        <w:t>开庭审理</w:t>
      </w:r>
      <w:r>
        <w:rPr>
          <w:rFonts w:ascii="宋体" w:eastAsia="宋体" w:hAnsi="宋体"/>
          <w:sz w:val="18"/>
          <w:szCs w:val="18"/>
        </w:rPr>
        <w:t>。但是，</w:t>
      </w:r>
      <w:r>
        <w:rPr>
          <w:rFonts w:ascii="宋体" w:eastAsia="宋体" w:hAnsi="宋体"/>
          <w:color w:val="B00824"/>
          <w:sz w:val="18"/>
          <w:szCs w:val="18"/>
        </w:rPr>
        <w:t>被申请人、被告人的法定代理人请求不开庭审理，并经人民法院审查同意的除外</w:t>
      </w:r>
      <w:r>
        <w:rPr>
          <w:rFonts w:ascii="宋体" w:eastAsia="宋体" w:hAnsi="宋体"/>
          <w:sz w:val="18"/>
          <w:szCs w:val="18"/>
        </w:rPr>
        <w:t>。</w:t>
      </w:r>
      <w:r>
        <w:rPr>
          <w:rFonts w:ascii="宋体" w:eastAsia="宋体" w:hAnsi="宋体" w:hint="eastAsia"/>
          <w:sz w:val="18"/>
          <w:szCs w:val="18"/>
        </w:rPr>
        <w:t>3．</w:t>
      </w:r>
      <w:r>
        <w:rPr>
          <w:rFonts w:ascii="宋体" w:eastAsia="宋体" w:hAnsi="宋体"/>
          <w:b/>
          <w:bCs/>
          <w:color w:val="B00824"/>
          <w:sz w:val="18"/>
          <w:szCs w:val="18"/>
        </w:rPr>
        <w:t>应当</w:t>
      </w:r>
      <w:r>
        <w:rPr>
          <w:rFonts w:ascii="宋体" w:eastAsia="宋体" w:hAnsi="宋体"/>
          <w:color w:val="B00824"/>
          <w:sz w:val="18"/>
          <w:szCs w:val="18"/>
        </w:rPr>
        <w:t>会见被申请人</w:t>
      </w:r>
      <w:r>
        <w:rPr>
          <w:rFonts w:ascii="宋体" w:eastAsia="宋体" w:hAnsi="宋体" w:hint="eastAsia"/>
          <w:color w:val="B00824"/>
          <w:sz w:val="18"/>
          <w:szCs w:val="18"/>
        </w:rPr>
        <w:t>，听取被害人及其法定代理人的意见</w:t>
      </w:r>
      <w:r>
        <w:rPr>
          <w:rFonts w:ascii="宋体" w:eastAsia="宋体" w:hAnsi="宋体" w:hint="eastAsia"/>
          <w:sz w:val="18"/>
          <w:szCs w:val="18"/>
        </w:rPr>
        <w:t>。4．</w:t>
      </w:r>
      <w:r>
        <w:rPr>
          <w:rFonts w:ascii="宋体" w:eastAsia="宋体" w:hAnsi="宋体"/>
          <w:b/>
          <w:bCs/>
          <w:color w:val="B00824"/>
          <w:sz w:val="18"/>
          <w:szCs w:val="18"/>
        </w:rPr>
        <w:t>应当</w:t>
      </w:r>
      <w:r>
        <w:rPr>
          <w:rFonts w:ascii="宋体" w:eastAsia="宋体" w:hAnsi="宋体"/>
          <w:color w:val="B00824"/>
          <w:sz w:val="18"/>
          <w:szCs w:val="18"/>
        </w:rPr>
        <w:t>通知被申请人或者被告人的法定代理人到场</w:t>
      </w:r>
      <w:r>
        <w:rPr>
          <w:rFonts w:ascii="宋体" w:eastAsia="宋体" w:hAnsi="宋体"/>
          <w:sz w:val="18"/>
          <w:szCs w:val="18"/>
        </w:rPr>
        <w:t>。</w:t>
      </w:r>
      <w:r>
        <w:rPr>
          <w:rFonts w:ascii="宋体" w:eastAsia="宋体" w:hAnsi="宋体" w:hint="eastAsia"/>
          <w:sz w:val="18"/>
          <w:szCs w:val="18"/>
        </w:rPr>
        <w:t>被申请人或者被告人的法定代理人经通知未到场的，可以通知被</w:t>
      </w:r>
      <w:r>
        <w:rPr>
          <w:rFonts w:ascii="宋体" w:eastAsia="宋体" w:hAnsi="宋体" w:hint="eastAsia"/>
          <w:sz w:val="18"/>
          <w:szCs w:val="18"/>
        </w:rPr>
        <w:lastRenderedPageBreak/>
        <w:t>申请人或者被告人的</w:t>
      </w:r>
      <w:r>
        <w:rPr>
          <w:rFonts w:ascii="宋体" w:eastAsia="宋体" w:hAnsi="宋体" w:hint="eastAsia"/>
          <w:color w:val="B00824"/>
          <w:sz w:val="18"/>
          <w:szCs w:val="18"/>
        </w:rPr>
        <w:t>其他近亲属</w:t>
      </w:r>
      <w:r>
        <w:rPr>
          <w:rFonts w:ascii="宋体" w:eastAsia="宋体" w:hAnsi="宋体" w:hint="eastAsia"/>
          <w:sz w:val="18"/>
          <w:szCs w:val="18"/>
        </w:rPr>
        <w:t>到场。5．被申请人或者被告人没有委托</w:t>
      </w:r>
      <w:r>
        <w:rPr>
          <w:rFonts w:ascii="宋体" w:eastAsia="宋体" w:hAnsi="宋体" w:hint="eastAsia"/>
          <w:b/>
          <w:bCs/>
          <w:color w:val="C00000"/>
          <w:sz w:val="18"/>
          <w:szCs w:val="18"/>
        </w:rPr>
        <w:t>诉讼代理人</w:t>
      </w:r>
      <w:r>
        <w:rPr>
          <w:rFonts w:ascii="宋体" w:eastAsia="宋体" w:hAnsi="宋体" w:hint="eastAsia"/>
          <w:sz w:val="18"/>
          <w:szCs w:val="18"/>
        </w:rPr>
        <w:t>的，</w:t>
      </w:r>
      <w:r>
        <w:rPr>
          <w:rFonts w:ascii="宋体" w:eastAsia="宋体" w:hAnsi="宋体" w:hint="eastAsia"/>
          <w:color w:val="B00824"/>
          <w:sz w:val="18"/>
          <w:szCs w:val="18"/>
        </w:rPr>
        <w:t>应当自受理强制医疗申请或者发现被告人符合强制医疗条件之日起三日以内，通知法律援助机构指派律师担任其诉讼代理人，为其提供法律帮助</w:t>
      </w:r>
      <w:r>
        <w:rPr>
          <w:rFonts w:ascii="宋体" w:eastAsia="宋体" w:hAnsi="宋体" w:hint="eastAsia"/>
          <w:sz w:val="18"/>
          <w:szCs w:val="18"/>
        </w:rPr>
        <w:t>。</w:t>
      </w:r>
      <w:r>
        <w:rPr>
          <w:rFonts w:ascii="宋体" w:eastAsia="宋体" w:hAnsi="宋体" w:hint="eastAsia"/>
          <w:b/>
          <w:bCs/>
          <w:color w:val="0070C0"/>
          <w:sz w:val="18"/>
          <w:szCs w:val="18"/>
        </w:rPr>
        <w:t>（指定代理）</w:t>
      </w:r>
    </w:p>
    <w:tbl>
      <w:tblPr>
        <w:tblW w:w="8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260"/>
        <w:gridCol w:w="3542"/>
      </w:tblGrid>
      <w:tr w:rsidR="00464ADF" w14:paraId="1A627B25" w14:textId="77777777">
        <w:trPr>
          <w:trHeight w:val="294"/>
          <w:jc w:val="center"/>
        </w:trPr>
        <w:tc>
          <w:tcPr>
            <w:tcW w:w="2348" w:type="dxa"/>
            <w:vMerge w:val="restart"/>
            <w:tcBorders>
              <w:top w:val="single" w:sz="8" w:space="0" w:color="FF0000"/>
              <w:left w:val="single" w:sz="8" w:space="0" w:color="FF0000"/>
              <w:bottom w:val="single" w:sz="8" w:space="0" w:color="FF0000"/>
              <w:right w:val="single" w:sz="8" w:space="0" w:color="FF0000"/>
            </w:tcBorders>
            <w:vAlign w:val="center"/>
          </w:tcPr>
          <w:p w14:paraId="386A3BF6" w14:textId="77777777" w:rsidR="00464ADF" w:rsidRPr="00E6207A" w:rsidRDefault="00000000" w:rsidP="00467AE9">
            <w:pPr>
              <w:spacing w:beforeLines="20" w:before="62" w:afterLines="30" w:after="93" w:line="200" w:lineRule="exact"/>
              <w:jc w:val="center"/>
              <w:rPr>
                <w:rFonts w:ascii="宋体" w:eastAsia="宋体" w:hAnsi="宋体" w:hint="eastAsia"/>
                <w:bCs/>
                <w:sz w:val="13"/>
                <w:szCs w:val="13"/>
              </w:rPr>
            </w:pPr>
            <w:r w:rsidRPr="00E6207A">
              <w:rPr>
                <w:rFonts w:ascii="宋体" w:eastAsia="宋体" w:hAnsi="宋体" w:hint="eastAsia"/>
                <w:bCs/>
                <w:sz w:val="13"/>
                <w:szCs w:val="13"/>
              </w:rPr>
              <w:t>条件</w:t>
            </w:r>
          </w:p>
        </w:tc>
        <w:tc>
          <w:tcPr>
            <w:tcW w:w="5802" w:type="dxa"/>
            <w:gridSpan w:val="2"/>
            <w:tcBorders>
              <w:top w:val="single" w:sz="8" w:space="0" w:color="FF0000"/>
              <w:left w:val="single" w:sz="8" w:space="0" w:color="FF0000"/>
              <w:bottom w:val="single" w:sz="8" w:space="0" w:color="FF0000"/>
              <w:right w:val="single" w:sz="8" w:space="0" w:color="FF0000"/>
            </w:tcBorders>
            <w:vAlign w:val="center"/>
          </w:tcPr>
          <w:p w14:paraId="5E8B2049" w14:textId="77777777" w:rsidR="00464ADF" w:rsidRPr="00E6207A" w:rsidRDefault="00000000" w:rsidP="00467AE9">
            <w:pPr>
              <w:spacing w:beforeLines="20" w:before="62" w:afterLines="30" w:after="93" w:line="200" w:lineRule="exact"/>
              <w:jc w:val="center"/>
              <w:rPr>
                <w:rFonts w:ascii="宋体" w:eastAsia="宋体" w:hAnsi="宋体" w:hint="eastAsia"/>
                <w:bCs/>
                <w:sz w:val="13"/>
                <w:szCs w:val="13"/>
              </w:rPr>
            </w:pPr>
            <w:r w:rsidRPr="00E6207A">
              <w:rPr>
                <w:rFonts w:ascii="宋体" w:eastAsia="宋体" w:hAnsi="宋体" w:hint="eastAsia"/>
                <w:bCs/>
                <w:sz w:val="13"/>
                <w:szCs w:val="13"/>
              </w:rPr>
              <w:t>处理</w:t>
            </w:r>
          </w:p>
        </w:tc>
      </w:tr>
      <w:tr w:rsidR="00464ADF" w14:paraId="29B49A77" w14:textId="77777777">
        <w:trPr>
          <w:trHeight w:val="294"/>
          <w:jc w:val="center"/>
        </w:trPr>
        <w:tc>
          <w:tcPr>
            <w:tcW w:w="2348" w:type="dxa"/>
            <w:vMerge/>
            <w:tcBorders>
              <w:top w:val="single" w:sz="8" w:space="0" w:color="FF0000"/>
              <w:left w:val="single" w:sz="8" w:space="0" w:color="FF0000"/>
              <w:bottom w:val="single" w:sz="8" w:space="0" w:color="FF0000"/>
              <w:right w:val="single" w:sz="8" w:space="0" w:color="FF0000"/>
            </w:tcBorders>
            <w:vAlign w:val="center"/>
          </w:tcPr>
          <w:p w14:paraId="4F1B0020" w14:textId="77777777" w:rsidR="00464ADF" w:rsidRPr="00E6207A" w:rsidRDefault="00464ADF" w:rsidP="00467AE9">
            <w:pPr>
              <w:spacing w:beforeLines="20" w:before="62" w:afterLines="30" w:after="93" w:line="200" w:lineRule="exact"/>
              <w:jc w:val="center"/>
              <w:rPr>
                <w:rFonts w:ascii="宋体" w:eastAsia="宋体" w:hAnsi="宋体" w:cs="Times New Roman" w:hint="eastAsia"/>
                <w:b/>
                <w:kern w:val="0"/>
                <w:sz w:val="13"/>
                <w:szCs w:val="13"/>
              </w:rPr>
            </w:pPr>
          </w:p>
        </w:tc>
        <w:tc>
          <w:tcPr>
            <w:tcW w:w="2260" w:type="dxa"/>
            <w:tcBorders>
              <w:top w:val="single" w:sz="8" w:space="0" w:color="FF0000"/>
              <w:left w:val="single" w:sz="8" w:space="0" w:color="FF0000"/>
              <w:bottom w:val="single" w:sz="8" w:space="0" w:color="FF0000"/>
              <w:right w:val="single" w:sz="8" w:space="0" w:color="FF0000"/>
            </w:tcBorders>
            <w:vAlign w:val="center"/>
          </w:tcPr>
          <w:p w14:paraId="59E0A29E" w14:textId="77777777" w:rsidR="00464ADF" w:rsidRPr="00E6207A" w:rsidRDefault="00000000" w:rsidP="00467AE9">
            <w:pPr>
              <w:spacing w:beforeLines="20" w:before="62" w:afterLines="30" w:after="93" w:line="200" w:lineRule="exact"/>
              <w:jc w:val="center"/>
              <w:rPr>
                <w:rFonts w:ascii="宋体" w:eastAsia="宋体" w:hAnsi="宋体" w:hint="eastAsia"/>
                <w:bCs/>
                <w:color w:val="FF0000"/>
                <w:sz w:val="13"/>
                <w:szCs w:val="13"/>
              </w:rPr>
            </w:pPr>
            <w:r w:rsidRPr="00E6207A">
              <w:rPr>
                <w:rFonts w:ascii="宋体" w:eastAsia="宋体" w:hAnsi="宋体" w:hint="eastAsia"/>
                <w:bCs/>
                <w:color w:val="FF0000"/>
                <w:sz w:val="13"/>
                <w:szCs w:val="13"/>
              </w:rPr>
              <w:t>检察院申请强制医疗的</w:t>
            </w:r>
          </w:p>
        </w:tc>
        <w:tc>
          <w:tcPr>
            <w:tcW w:w="3542" w:type="dxa"/>
            <w:tcBorders>
              <w:top w:val="single" w:sz="8" w:space="0" w:color="FF0000"/>
              <w:left w:val="single" w:sz="8" w:space="0" w:color="FF0000"/>
              <w:bottom w:val="single" w:sz="8" w:space="0" w:color="FF0000"/>
              <w:right w:val="single" w:sz="8" w:space="0" w:color="FF0000"/>
            </w:tcBorders>
            <w:vAlign w:val="center"/>
          </w:tcPr>
          <w:p w14:paraId="19CB5CD2" w14:textId="77777777" w:rsidR="00464ADF" w:rsidRPr="00E6207A" w:rsidRDefault="00000000" w:rsidP="00467AE9">
            <w:pPr>
              <w:spacing w:beforeLines="20" w:before="62" w:afterLines="30" w:after="93" w:line="200" w:lineRule="exact"/>
              <w:jc w:val="center"/>
              <w:rPr>
                <w:rFonts w:ascii="宋体" w:eastAsia="宋体" w:hAnsi="宋体" w:hint="eastAsia"/>
                <w:bCs/>
                <w:color w:val="FF0000"/>
                <w:sz w:val="13"/>
                <w:szCs w:val="13"/>
              </w:rPr>
            </w:pPr>
            <w:r w:rsidRPr="00E6207A">
              <w:rPr>
                <w:rFonts w:ascii="宋体" w:eastAsia="宋体" w:hAnsi="宋体" w:hint="eastAsia"/>
                <w:bCs/>
                <w:color w:val="FF0000"/>
                <w:sz w:val="13"/>
                <w:szCs w:val="13"/>
              </w:rPr>
              <w:t>法院在审理中启动强制医疗程序的</w:t>
            </w:r>
          </w:p>
        </w:tc>
      </w:tr>
      <w:tr w:rsidR="00464ADF" w14:paraId="7EF25AFE" w14:textId="77777777">
        <w:trPr>
          <w:trHeight w:val="474"/>
          <w:jc w:val="center"/>
        </w:trPr>
        <w:tc>
          <w:tcPr>
            <w:tcW w:w="2348" w:type="dxa"/>
            <w:tcBorders>
              <w:top w:val="single" w:sz="8" w:space="0" w:color="FF0000"/>
              <w:left w:val="single" w:sz="8" w:space="0" w:color="FF0000"/>
              <w:bottom w:val="single" w:sz="8" w:space="0" w:color="FF0000"/>
              <w:right w:val="single" w:sz="8" w:space="0" w:color="FF0000"/>
            </w:tcBorders>
            <w:vAlign w:val="center"/>
          </w:tcPr>
          <w:p w14:paraId="10968739" w14:textId="77777777" w:rsidR="00464ADF" w:rsidRPr="00E6207A" w:rsidRDefault="00000000" w:rsidP="00467AE9">
            <w:pPr>
              <w:spacing w:beforeLines="20" w:before="62" w:afterLines="30" w:after="93" w:line="200" w:lineRule="exact"/>
              <w:rPr>
                <w:rFonts w:ascii="宋体" w:eastAsia="宋体" w:hAnsi="宋体" w:cs="Times New Roman" w:hint="eastAsia"/>
                <w:kern w:val="0"/>
                <w:sz w:val="13"/>
                <w:szCs w:val="13"/>
              </w:rPr>
            </w:pPr>
            <w:r w:rsidRPr="00E6207A">
              <w:rPr>
                <w:rFonts w:ascii="宋体" w:eastAsia="宋体" w:hAnsi="宋体" w:cs="Times New Roman" w:hint="eastAsia"/>
                <w:kern w:val="0"/>
                <w:sz w:val="13"/>
                <w:szCs w:val="13"/>
              </w:rPr>
              <w:t>符合强制医疗条件</w:t>
            </w:r>
          </w:p>
        </w:tc>
        <w:tc>
          <w:tcPr>
            <w:tcW w:w="2260" w:type="dxa"/>
            <w:tcBorders>
              <w:top w:val="single" w:sz="8" w:space="0" w:color="FF0000"/>
              <w:left w:val="single" w:sz="8" w:space="0" w:color="FF0000"/>
              <w:bottom w:val="single" w:sz="8" w:space="0" w:color="FF0000"/>
              <w:right w:val="single" w:sz="8" w:space="0" w:color="FF0000"/>
            </w:tcBorders>
            <w:vAlign w:val="center"/>
          </w:tcPr>
          <w:p w14:paraId="79CE4DD3" w14:textId="77777777" w:rsidR="00464ADF" w:rsidRPr="00E6207A" w:rsidRDefault="00000000" w:rsidP="00467AE9">
            <w:pPr>
              <w:spacing w:beforeLines="20" w:before="62" w:afterLines="30" w:after="93" w:line="200" w:lineRule="exact"/>
              <w:rPr>
                <w:rFonts w:ascii="宋体" w:eastAsia="宋体" w:hAnsi="宋体" w:cs="Times New Roman" w:hint="eastAsia"/>
                <w:kern w:val="0"/>
                <w:sz w:val="13"/>
                <w:szCs w:val="13"/>
              </w:rPr>
            </w:pPr>
            <w:r w:rsidRPr="00E6207A">
              <w:rPr>
                <w:rFonts w:ascii="宋体" w:eastAsia="宋体" w:hAnsi="宋体" w:cs="Times New Roman" w:hint="eastAsia"/>
                <w:kern w:val="0"/>
                <w:sz w:val="13"/>
                <w:szCs w:val="13"/>
              </w:rPr>
              <w:t>作出对被申请人强制医疗的决定</w:t>
            </w:r>
          </w:p>
        </w:tc>
        <w:tc>
          <w:tcPr>
            <w:tcW w:w="3542" w:type="dxa"/>
            <w:tcBorders>
              <w:top w:val="single" w:sz="8" w:space="0" w:color="FF0000"/>
              <w:left w:val="single" w:sz="8" w:space="0" w:color="FF0000"/>
              <w:bottom w:val="single" w:sz="8" w:space="0" w:color="FF0000"/>
              <w:right w:val="single" w:sz="8" w:space="0" w:color="FF0000"/>
            </w:tcBorders>
            <w:vAlign w:val="center"/>
          </w:tcPr>
          <w:p w14:paraId="7A8C99B9" w14:textId="77777777" w:rsidR="00464ADF" w:rsidRPr="00E6207A" w:rsidRDefault="00000000" w:rsidP="00467AE9">
            <w:pPr>
              <w:spacing w:beforeLines="20" w:before="62" w:afterLines="30" w:after="93" w:line="200" w:lineRule="exact"/>
              <w:rPr>
                <w:rFonts w:ascii="宋体" w:eastAsia="宋体" w:hAnsi="宋体" w:cs="Times New Roman" w:hint="eastAsia"/>
                <w:kern w:val="0"/>
                <w:sz w:val="13"/>
                <w:szCs w:val="13"/>
              </w:rPr>
            </w:pPr>
            <w:r w:rsidRPr="00E6207A">
              <w:rPr>
                <w:rFonts w:ascii="宋体" w:eastAsia="宋体" w:hAnsi="宋体" w:cs="Times New Roman" w:hint="eastAsia"/>
                <w:kern w:val="0"/>
                <w:sz w:val="13"/>
                <w:szCs w:val="13"/>
              </w:rPr>
              <w:t>判决宣告被告人不负刑事责任，同时作出对被告人强制医疗的决定</w:t>
            </w:r>
          </w:p>
        </w:tc>
      </w:tr>
      <w:tr w:rsidR="00464ADF" w14:paraId="6672A181" w14:textId="77777777">
        <w:trPr>
          <w:trHeight w:val="332"/>
          <w:jc w:val="center"/>
        </w:trPr>
        <w:tc>
          <w:tcPr>
            <w:tcW w:w="2348" w:type="dxa"/>
            <w:vMerge w:val="restart"/>
            <w:tcBorders>
              <w:top w:val="single" w:sz="8" w:space="0" w:color="FF0000"/>
              <w:left w:val="single" w:sz="8" w:space="0" w:color="FF0000"/>
              <w:bottom w:val="single" w:sz="8" w:space="0" w:color="FF0000"/>
              <w:right w:val="single" w:sz="8" w:space="0" w:color="FF0000"/>
            </w:tcBorders>
            <w:vAlign w:val="center"/>
          </w:tcPr>
          <w:p w14:paraId="3299CE2A" w14:textId="77777777" w:rsidR="00464ADF" w:rsidRPr="00E6207A" w:rsidRDefault="00000000" w:rsidP="00467AE9">
            <w:pPr>
              <w:spacing w:beforeLines="20" w:before="62" w:afterLines="30" w:after="93" w:line="200" w:lineRule="exact"/>
              <w:rPr>
                <w:rFonts w:ascii="宋体" w:eastAsia="宋体" w:hAnsi="宋体" w:cs="Times New Roman" w:hint="eastAsia"/>
                <w:kern w:val="0"/>
                <w:sz w:val="13"/>
                <w:szCs w:val="13"/>
              </w:rPr>
            </w:pPr>
            <w:r w:rsidRPr="00E6207A">
              <w:rPr>
                <w:rFonts w:ascii="宋体" w:eastAsia="宋体" w:hAnsi="宋体" w:cs="Times New Roman" w:hint="eastAsia"/>
                <w:kern w:val="0"/>
                <w:sz w:val="13"/>
                <w:szCs w:val="13"/>
              </w:rPr>
              <w:t>属于依法不负刑事责任的精神病人，但不符合强制医疗条件</w:t>
            </w:r>
          </w:p>
        </w:tc>
        <w:tc>
          <w:tcPr>
            <w:tcW w:w="2260" w:type="dxa"/>
            <w:tcBorders>
              <w:top w:val="single" w:sz="8" w:space="0" w:color="FF0000"/>
              <w:left w:val="single" w:sz="8" w:space="0" w:color="FF0000"/>
              <w:bottom w:val="single" w:sz="8" w:space="0" w:color="FF0000"/>
              <w:right w:val="single" w:sz="8" w:space="0" w:color="FF0000"/>
            </w:tcBorders>
            <w:vAlign w:val="center"/>
          </w:tcPr>
          <w:p w14:paraId="5186FFE4" w14:textId="77777777" w:rsidR="00464ADF" w:rsidRPr="00E6207A" w:rsidRDefault="00000000" w:rsidP="00467AE9">
            <w:pPr>
              <w:spacing w:beforeLines="20" w:before="62" w:afterLines="30" w:after="93" w:line="200" w:lineRule="exact"/>
              <w:rPr>
                <w:rFonts w:ascii="宋体" w:eastAsia="宋体" w:hAnsi="宋体" w:cs="Times New Roman" w:hint="eastAsia"/>
                <w:kern w:val="0"/>
                <w:sz w:val="13"/>
                <w:szCs w:val="13"/>
              </w:rPr>
            </w:pPr>
            <w:r w:rsidRPr="00E6207A">
              <w:rPr>
                <w:rFonts w:ascii="宋体" w:eastAsia="宋体" w:hAnsi="宋体" w:cs="Times New Roman" w:hint="eastAsia"/>
                <w:kern w:val="0"/>
                <w:sz w:val="13"/>
                <w:szCs w:val="13"/>
              </w:rPr>
              <w:t>作出驳回强制医疗申请的决定</w:t>
            </w:r>
          </w:p>
        </w:tc>
        <w:tc>
          <w:tcPr>
            <w:tcW w:w="3542" w:type="dxa"/>
            <w:tcBorders>
              <w:top w:val="single" w:sz="8" w:space="0" w:color="FF0000"/>
              <w:left w:val="single" w:sz="8" w:space="0" w:color="FF0000"/>
              <w:bottom w:val="single" w:sz="8" w:space="0" w:color="FF0000"/>
              <w:right w:val="single" w:sz="8" w:space="0" w:color="FF0000"/>
            </w:tcBorders>
            <w:vAlign w:val="center"/>
          </w:tcPr>
          <w:p w14:paraId="4313B77A" w14:textId="77777777" w:rsidR="00464ADF" w:rsidRPr="00E6207A" w:rsidRDefault="00000000" w:rsidP="00467AE9">
            <w:pPr>
              <w:spacing w:beforeLines="20" w:before="62" w:afterLines="30" w:after="93" w:line="200" w:lineRule="exact"/>
              <w:rPr>
                <w:rFonts w:ascii="宋体" w:eastAsia="宋体" w:hAnsi="宋体" w:cs="Times New Roman" w:hint="eastAsia"/>
                <w:kern w:val="0"/>
                <w:sz w:val="13"/>
                <w:szCs w:val="13"/>
              </w:rPr>
            </w:pPr>
            <w:r w:rsidRPr="00E6207A">
              <w:rPr>
                <w:rFonts w:ascii="宋体" w:eastAsia="宋体" w:hAnsi="宋体" w:cs="Times New Roman" w:hint="eastAsia"/>
                <w:kern w:val="0"/>
                <w:sz w:val="13"/>
                <w:szCs w:val="13"/>
              </w:rPr>
              <w:t>判决宣告被告人无罪或者不负刑事责任</w:t>
            </w:r>
          </w:p>
        </w:tc>
      </w:tr>
      <w:tr w:rsidR="00464ADF" w14:paraId="1547812A" w14:textId="77777777">
        <w:trPr>
          <w:trHeight w:val="322"/>
          <w:jc w:val="center"/>
        </w:trPr>
        <w:tc>
          <w:tcPr>
            <w:tcW w:w="2348" w:type="dxa"/>
            <w:vMerge/>
            <w:tcBorders>
              <w:top w:val="single" w:sz="8" w:space="0" w:color="FF0000"/>
              <w:left w:val="single" w:sz="8" w:space="0" w:color="FF0000"/>
              <w:bottom w:val="single" w:sz="8" w:space="0" w:color="FF0000"/>
              <w:right w:val="single" w:sz="8" w:space="0" w:color="FF0000"/>
            </w:tcBorders>
            <w:vAlign w:val="center"/>
          </w:tcPr>
          <w:p w14:paraId="56AAB810" w14:textId="77777777" w:rsidR="00464ADF" w:rsidRPr="00E6207A" w:rsidRDefault="00464ADF" w:rsidP="00467AE9">
            <w:pPr>
              <w:spacing w:beforeLines="20" w:before="62" w:afterLines="30" w:after="93" w:line="200" w:lineRule="exact"/>
              <w:rPr>
                <w:rFonts w:ascii="宋体" w:eastAsia="宋体" w:hAnsi="宋体" w:cs="Times New Roman" w:hint="eastAsia"/>
                <w:kern w:val="0"/>
                <w:sz w:val="13"/>
                <w:szCs w:val="13"/>
              </w:rPr>
            </w:pPr>
          </w:p>
        </w:tc>
        <w:tc>
          <w:tcPr>
            <w:tcW w:w="5802" w:type="dxa"/>
            <w:gridSpan w:val="2"/>
            <w:tcBorders>
              <w:top w:val="single" w:sz="8" w:space="0" w:color="FF0000"/>
              <w:left w:val="single" w:sz="8" w:space="0" w:color="FF0000"/>
              <w:bottom w:val="single" w:sz="8" w:space="0" w:color="FF0000"/>
              <w:right w:val="single" w:sz="8" w:space="0" w:color="FF0000"/>
            </w:tcBorders>
            <w:vAlign w:val="center"/>
          </w:tcPr>
          <w:p w14:paraId="6E6434B9" w14:textId="77777777" w:rsidR="00464ADF" w:rsidRPr="00E6207A" w:rsidRDefault="00000000" w:rsidP="00467AE9">
            <w:pPr>
              <w:spacing w:beforeLines="20" w:before="62" w:afterLines="30" w:after="93" w:line="200" w:lineRule="exact"/>
              <w:rPr>
                <w:rFonts w:ascii="宋体" w:eastAsia="宋体" w:hAnsi="宋体" w:cs="Times New Roman" w:hint="eastAsia"/>
                <w:kern w:val="0"/>
                <w:sz w:val="13"/>
                <w:szCs w:val="13"/>
              </w:rPr>
            </w:pPr>
            <w:r w:rsidRPr="00E6207A">
              <w:rPr>
                <w:rFonts w:ascii="宋体" w:eastAsia="宋体" w:hAnsi="宋体" w:cs="Times New Roman" w:hint="eastAsia"/>
                <w:kern w:val="0"/>
                <w:sz w:val="13"/>
                <w:szCs w:val="13"/>
              </w:rPr>
              <w:t>已造成危害结果的，应同时责令家属或监护人严加看管和医疗</w:t>
            </w:r>
          </w:p>
        </w:tc>
      </w:tr>
      <w:tr w:rsidR="00464ADF" w14:paraId="4D824675" w14:textId="77777777">
        <w:trPr>
          <w:trHeight w:val="487"/>
          <w:jc w:val="center"/>
        </w:trPr>
        <w:tc>
          <w:tcPr>
            <w:tcW w:w="2348" w:type="dxa"/>
            <w:tcBorders>
              <w:top w:val="single" w:sz="8" w:space="0" w:color="FF0000"/>
              <w:left w:val="single" w:sz="8" w:space="0" w:color="FF0000"/>
              <w:bottom w:val="single" w:sz="8" w:space="0" w:color="FF0000"/>
              <w:right w:val="single" w:sz="8" w:space="0" w:color="FF0000"/>
            </w:tcBorders>
            <w:vAlign w:val="center"/>
          </w:tcPr>
          <w:p w14:paraId="7332E7B8" w14:textId="77777777" w:rsidR="00464ADF" w:rsidRPr="00E6207A" w:rsidRDefault="00000000" w:rsidP="00467AE9">
            <w:pPr>
              <w:spacing w:beforeLines="20" w:before="62" w:afterLines="30" w:after="93" w:line="200" w:lineRule="exact"/>
              <w:rPr>
                <w:rFonts w:ascii="宋体" w:eastAsia="宋体" w:hAnsi="宋体" w:cs="Times New Roman" w:hint="eastAsia"/>
                <w:kern w:val="0"/>
                <w:sz w:val="13"/>
                <w:szCs w:val="13"/>
              </w:rPr>
            </w:pPr>
            <w:r w:rsidRPr="00E6207A">
              <w:rPr>
                <w:rFonts w:ascii="宋体" w:eastAsia="宋体" w:hAnsi="宋体" w:cs="Times New Roman" w:hint="eastAsia"/>
                <w:kern w:val="0"/>
                <w:sz w:val="13"/>
                <w:szCs w:val="13"/>
              </w:rPr>
              <w:t>具有完全或部分刑事责任能力，依法应追究刑事责任的</w:t>
            </w:r>
          </w:p>
        </w:tc>
        <w:tc>
          <w:tcPr>
            <w:tcW w:w="2260" w:type="dxa"/>
            <w:tcBorders>
              <w:top w:val="single" w:sz="8" w:space="0" w:color="FF0000"/>
              <w:left w:val="single" w:sz="8" w:space="0" w:color="FF0000"/>
              <w:bottom w:val="single" w:sz="8" w:space="0" w:color="FF0000"/>
              <w:right w:val="single" w:sz="8" w:space="0" w:color="FF0000"/>
            </w:tcBorders>
            <w:vAlign w:val="center"/>
          </w:tcPr>
          <w:p w14:paraId="02F07848" w14:textId="77777777" w:rsidR="00464ADF" w:rsidRPr="00E6207A" w:rsidRDefault="00000000" w:rsidP="00467AE9">
            <w:pPr>
              <w:spacing w:beforeLines="20" w:before="62" w:afterLines="30" w:after="93" w:line="200" w:lineRule="exact"/>
              <w:rPr>
                <w:rFonts w:ascii="宋体" w:eastAsia="宋体" w:hAnsi="宋体" w:cs="Times New Roman" w:hint="eastAsia"/>
                <w:kern w:val="0"/>
                <w:sz w:val="13"/>
                <w:szCs w:val="13"/>
              </w:rPr>
            </w:pPr>
            <w:r w:rsidRPr="00E6207A">
              <w:rPr>
                <w:rFonts w:ascii="宋体" w:eastAsia="宋体" w:hAnsi="宋体" w:cs="Times New Roman" w:hint="eastAsia"/>
                <w:kern w:val="0"/>
                <w:sz w:val="13"/>
                <w:szCs w:val="13"/>
              </w:rPr>
              <w:t>作出驳回强制医疗申请的决定，并退回检察院依法处理</w:t>
            </w:r>
          </w:p>
        </w:tc>
        <w:tc>
          <w:tcPr>
            <w:tcW w:w="3542" w:type="dxa"/>
            <w:tcBorders>
              <w:top w:val="single" w:sz="8" w:space="0" w:color="FF0000"/>
              <w:left w:val="single" w:sz="8" w:space="0" w:color="FF0000"/>
              <w:bottom w:val="single" w:sz="8" w:space="0" w:color="FF0000"/>
              <w:right w:val="single" w:sz="8" w:space="0" w:color="FF0000"/>
            </w:tcBorders>
            <w:vAlign w:val="center"/>
          </w:tcPr>
          <w:p w14:paraId="5E430E23" w14:textId="77777777" w:rsidR="00464ADF" w:rsidRPr="00E6207A" w:rsidRDefault="00000000" w:rsidP="00467AE9">
            <w:pPr>
              <w:spacing w:beforeLines="20" w:before="62" w:afterLines="30" w:after="93" w:line="200" w:lineRule="exact"/>
              <w:rPr>
                <w:rFonts w:ascii="宋体" w:eastAsia="宋体" w:hAnsi="宋体" w:cs="Times New Roman" w:hint="eastAsia"/>
                <w:kern w:val="0"/>
                <w:sz w:val="13"/>
                <w:szCs w:val="13"/>
              </w:rPr>
            </w:pPr>
            <w:r w:rsidRPr="00E6207A">
              <w:rPr>
                <w:rFonts w:ascii="宋体" w:eastAsia="宋体" w:hAnsi="宋体" w:cs="Times New Roman" w:hint="eastAsia"/>
                <w:kern w:val="0"/>
                <w:sz w:val="13"/>
                <w:szCs w:val="13"/>
              </w:rPr>
              <w:t>依照普通程序继续审理</w:t>
            </w:r>
          </w:p>
        </w:tc>
      </w:tr>
    </w:tbl>
    <w:p w14:paraId="19D5DD02" w14:textId="77777777" w:rsidR="00464ADF" w:rsidRDefault="00000000">
      <w:pPr>
        <w:pStyle w:val="3"/>
        <w:spacing w:line="240" w:lineRule="auto"/>
        <w:ind w:firstLineChars="200" w:firstLine="360"/>
        <w:rPr>
          <w:rFonts w:eastAsia="宋体" w:hint="eastAsia"/>
          <w:b/>
          <w:sz w:val="18"/>
          <w:szCs w:val="18"/>
        </w:rPr>
      </w:pPr>
      <w:r>
        <w:rPr>
          <w:rFonts w:eastAsia="宋体" w:hint="eastAsia"/>
          <w:sz w:val="18"/>
          <w:szCs w:val="18"/>
        </w:rPr>
        <w:t>四、临时的保护性约束措施和强制医疗的执行——</w:t>
      </w:r>
      <w:r>
        <w:rPr>
          <w:rFonts w:eastAsia="宋体" w:hint="eastAsia"/>
          <w:color w:val="C00000"/>
          <w:sz w:val="18"/>
          <w:szCs w:val="18"/>
        </w:rPr>
        <w:t>公安机关</w:t>
      </w:r>
      <w:r>
        <w:rPr>
          <w:rFonts w:eastAsia="宋体" w:hint="eastAsia"/>
          <w:sz w:val="18"/>
          <w:szCs w:val="18"/>
        </w:rPr>
        <w:t>可以采取临时的保护性约束措施；</w:t>
      </w:r>
      <w:r>
        <w:rPr>
          <w:rFonts w:eastAsia="宋体" w:hint="eastAsia"/>
          <w:color w:val="C00000"/>
          <w:sz w:val="18"/>
          <w:szCs w:val="18"/>
        </w:rPr>
        <w:t>公安机关</w:t>
      </w:r>
      <w:r>
        <w:rPr>
          <w:rFonts w:eastAsia="宋体" w:hint="eastAsia"/>
          <w:sz w:val="18"/>
          <w:szCs w:val="18"/>
        </w:rPr>
        <w:t>将被决定强制医疗的人送交强制医疗</w:t>
      </w:r>
    </w:p>
    <w:p w14:paraId="3C8C5BC9" w14:textId="77777777" w:rsidR="00464ADF" w:rsidRDefault="00000000">
      <w:pPr>
        <w:pStyle w:val="3"/>
        <w:spacing w:line="240" w:lineRule="auto"/>
        <w:ind w:firstLineChars="200" w:firstLine="360"/>
        <w:rPr>
          <w:rFonts w:eastAsia="宋体" w:hint="eastAsia"/>
          <w:b/>
          <w:sz w:val="18"/>
          <w:szCs w:val="18"/>
        </w:rPr>
      </w:pPr>
      <w:r>
        <w:rPr>
          <w:rFonts w:eastAsia="宋体" w:hint="eastAsia"/>
          <w:sz w:val="18"/>
          <w:szCs w:val="18"/>
        </w:rPr>
        <w:t>五、救济程序</w:t>
      </w:r>
    </w:p>
    <w:p w14:paraId="6FAA017D"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（一）强制医疗的复议程序</w:t>
      </w:r>
    </w:p>
    <w:p w14:paraId="6807FF96"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1．</w:t>
      </w:r>
      <w:r>
        <w:rPr>
          <w:rFonts w:ascii="宋体" w:eastAsia="宋体" w:hAnsi="宋体"/>
          <w:color w:val="B00824"/>
          <w:sz w:val="18"/>
          <w:szCs w:val="18"/>
        </w:rPr>
        <w:t>被决定强制医疗的人、被害人及其法定代理人、近亲属</w:t>
      </w:r>
      <w:r>
        <w:rPr>
          <w:rFonts w:ascii="宋体" w:eastAsia="宋体" w:hAnsi="宋体"/>
          <w:sz w:val="18"/>
          <w:szCs w:val="18"/>
        </w:rPr>
        <w:t>对强制医疗决定不服的，</w:t>
      </w:r>
      <w:r>
        <w:rPr>
          <w:rFonts w:ascii="宋体" w:eastAsia="宋体" w:hAnsi="宋体" w:hint="eastAsia"/>
          <w:color w:val="B00824"/>
          <w:sz w:val="18"/>
          <w:szCs w:val="18"/>
        </w:rPr>
        <w:t>可以自收到决定书第二日起五日以内向上一级法院申请</w:t>
      </w:r>
      <w:r>
        <w:rPr>
          <w:rFonts w:ascii="宋体" w:eastAsia="宋体" w:hAnsi="宋体" w:hint="eastAsia"/>
          <w:b/>
          <w:bCs/>
          <w:color w:val="B00824"/>
          <w:sz w:val="18"/>
          <w:szCs w:val="18"/>
        </w:rPr>
        <w:t>复议</w:t>
      </w:r>
      <w:r>
        <w:rPr>
          <w:rFonts w:ascii="宋体" w:eastAsia="宋体" w:hAnsi="宋体" w:hint="eastAsia"/>
          <w:color w:val="B00824"/>
          <w:sz w:val="18"/>
          <w:szCs w:val="18"/>
        </w:rPr>
        <w:t>。</w:t>
      </w:r>
    </w:p>
    <w:p w14:paraId="15E4FBFB" w14:textId="77777777" w:rsidR="00464ADF" w:rsidRDefault="00000000">
      <w:pPr>
        <w:ind w:firstLineChars="200" w:firstLine="360"/>
        <w:rPr>
          <w:rFonts w:ascii="宋体" w:eastAsia="宋体" w:hAnsi="宋体" w:hint="eastAsia"/>
          <w:color w:val="C00000"/>
          <w:sz w:val="18"/>
          <w:szCs w:val="18"/>
        </w:rPr>
      </w:pPr>
      <w:r>
        <w:rPr>
          <w:rFonts w:ascii="宋体" w:eastAsia="宋体" w:hAnsi="宋体" w:hint="eastAsia"/>
          <w:sz w:val="18"/>
          <w:szCs w:val="18"/>
        </w:rPr>
        <w:t>2．</w:t>
      </w:r>
      <w:r>
        <w:rPr>
          <w:rFonts w:ascii="宋体" w:eastAsia="宋体" w:hAnsi="宋体"/>
          <w:b/>
          <w:bCs/>
          <w:color w:val="C00000"/>
          <w:sz w:val="18"/>
          <w:szCs w:val="18"/>
        </w:rPr>
        <w:t>复议期间不停止执行强制医疗的决定。</w:t>
      </w:r>
    </w:p>
    <w:p w14:paraId="0CA38189" w14:textId="77777777" w:rsidR="00464ADF" w:rsidRDefault="00000000">
      <w:pPr>
        <w:ind w:firstLineChars="200" w:firstLine="360"/>
        <w:rPr>
          <w:rFonts w:ascii="宋体" w:eastAsia="宋体" w:hAnsi="宋体" w:hint="eastAsia"/>
          <w:b/>
          <w:bCs/>
          <w:sz w:val="18"/>
          <w:szCs w:val="18"/>
        </w:rPr>
      </w:pPr>
      <w:r>
        <w:rPr>
          <w:rFonts w:ascii="宋体" w:eastAsia="宋体" w:hAnsi="宋体"/>
          <w:sz w:val="18"/>
          <w:szCs w:val="18"/>
        </w:rPr>
        <w:t>3</w:t>
      </w:r>
      <w:r>
        <w:rPr>
          <w:rFonts w:ascii="宋体" w:eastAsia="宋体" w:hAnsi="宋体" w:hint="eastAsia"/>
          <w:sz w:val="18"/>
          <w:szCs w:val="18"/>
        </w:rPr>
        <w:t>．</w:t>
      </w:r>
      <w:r>
        <w:rPr>
          <w:rFonts w:ascii="宋体" w:eastAsia="宋体" w:hAnsi="宋体" w:hint="eastAsia"/>
          <w:color w:val="B00824"/>
          <w:sz w:val="18"/>
          <w:szCs w:val="18"/>
        </w:rPr>
        <w:t>对</w:t>
      </w:r>
      <w:r>
        <w:rPr>
          <w:rFonts w:ascii="宋体" w:eastAsia="宋体" w:hAnsi="宋体"/>
          <w:color w:val="B00824"/>
          <w:sz w:val="18"/>
          <w:szCs w:val="18"/>
        </w:rPr>
        <w:t>判决宣告被告人不负刑事责任，同时作出对被告人强制医疗的决定</w:t>
      </w:r>
      <w:r>
        <w:rPr>
          <w:rFonts w:ascii="宋体" w:eastAsia="宋体" w:hAnsi="宋体" w:hint="eastAsia"/>
          <w:color w:val="B00824"/>
          <w:sz w:val="18"/>
          <w:szCs w:val="18"/>
        </w:rPr>
        <w:t>，</w:t>
      </w:r>
      <w:r>
        <w:rPr>
          <w:rFonts w:ascii="宋体" w:eastAsia="宋体" w:hAnsi="宋体"/>
          <w:color w:val="B00824"/>
          <w:sz w:val="18"/>
          <w:szCs w:val="18"/>
        </w:rPr>
        <w:t>人民检察院提出抗诉</w:t>
      </w:r>
      <w:r>
        <w:rPr>
          <w:rFonts w:ascii="宋体" w:eastAsia="宋体" w:hAnsi="宋体" w:hint="eastAsia"/>
          <w:color w:val="B00824"/>
          <w:sz w:val="18"/>
          <w:szCs w:val="18"/>
        </w:rPr>
        <w:t>，</w:t>
      </w:r>
      <w:r>
        <w:rPr>
          <w:rFonts w:ascii="宋体" w:eastAsia="宋体" w:hAnsi="宋体"/>
          <w:color w:val="B00824"/>
          <w:sz w:val="18"/>
          <w:szCs w:val="18"/>
        </w:rPr>
        <w:t>同时被决定强制医疗的人、被害人及其法定代理人、近亲属申请复议的，</w:t>
      </w:r>
      <w:r>
        <w:rPr>
          <w:rFonts w:ascii="宋体" w:eastAsia="宋体" w:hAnsi="宋体"/>
          <w:b/>
          <w:bCs/>
          <w:color w:val="B00824"/>
          <w:sz w:val="18"/>
          <w:szCs w:val="18"/>
        </w:rPr>
        <w:t>上一级人民法院应当依照第二审程序一并处理</w:t>
      </w:r>
      <w:r>
        <w:rPr>
          <w:rFonts w:ascii="宋体" w:eastAsia="宋体" w:hAnsi="宋体"/>
          <w:b/>
          <w:bCs/>
          <w:sz w:val="18"/>
          <w:szCs w:val="18"/>
        </w:rPr>
        <w:t>。</w:t>
      </w:r>
    </w:p>
    <w:p w14:paraId="77AD24D5"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hint="eastAsia"/>
          <w:b w:val="0"/>
          <w:color w:val="000000" w:themeColor="text1"/>
          <w:sz w:val="18"/>
          <w:szCs w:val="18"/>
        </w:rPr>
        <w:t>（二）强制医疗的解除制度</w:t>
      </w:r>
    </w:p>
    <w:p w14:paraId="486AE4D5" w14:textId="77777777" w:rsidR="00464ADF" w:rsidRDefault="00000000">
      <w:pPr>
        <w:ind w:firstLineChars="200" w:firstLine="360"/>
        <w:rPr>
          <w:rFonts w:ascii="宋体" w:eastAsia="宋体" w:hAnsi="宋体" w:hint="eastAsia"/>
          <w:sz w:val="18"/>
          <w:szCs w:val="18"/>
        </w:rPr>
      </w:pPr>
      <w:r>
        <w:rPr>
          <w:rFonts w:ascii="宋体" w:eastAsia="宋体" w:hAnsi="宋体" w:hint="eastAsia"/>
          <w:bCs/>
          <w:sz w:val="18"/>
          <w:szCs w:val="18"/>
        </w:rPr>
        <w:t>启动：</w:t>
      </w:r>
      <w:r>
        <w:rPr>
          <w:rFonts w:ascii="宋体" w:eastAsia="宋体" w:hAnsi="宋体" w:hint="eastAsia"/>
          <w:sz w:val="18"/>
          <w:szCs w:val="18"/>
        </w:rPr>
        <w:t>（1）</w:t>
      </w:r>
      <w:r>
        <w:rPr>
          <w:rFonts w:ascii="宋体" w:eastAsia="宋体" w:hAnsi="宋体"/>
          <w:color w:val="B00824"/>
          <w:sz w:val="18"/>
          <w:szCs w:val="18"/>
        </w:rPr>
        <w:t>强制医疗机构应当定期对被强制医疗的人进行诊断评估</w:t>
      </w:r>
      <w:r>
        <w:rPr>
          <w:rFonts w:ascii="宋体" w:eastAsia="宋体" w:hAnsi="宋体"/>
          <w:sz w:val="18"/>
          <w:szCs w:val="18"/>
        </w:rPr>
        <w:t>。对于已不具有人身危险性，不需要继续强制医疗的，应当及时</w:t>
      </w:r>
      <w:r>
        <w:rPr>
          <w:rFonts w:ascii="宋体" w:eastAsia="宋体" w:hAnsi="宋体"/>
          <w:color w:val="B00824"/>
          <w:sz w:val="18"/>
          <w:szCs w:val="18"/>
        </w:rPr>
        <w:t>提出解除意见，报决定强制医疗的人民法院批准</w:t>
      </w:r>
      <w:r>
        <w:rPr>
          <w:rFonts w:ascii="宋体" w:eastAsia="宋体" w:hAnsi="宋体"/>
          <w:sz w:val="18"/>
          <w:szCs w:val="18"/>
        </w:rPr>
        <w:t>。</w:t>
      </w:r>
      <w:r>
        <w:rPr>
          <w:rFonts w:ascii="宋体" w:eastAsia="宋体" w:hAnsi="宋体" w:hint="eastAsia"/>
          <w:sz w:val="18"/>
          <w:szCs w:val="18"/>
        </w:rPr>
        <w:t>（2）</w:t>
      </w:r>
      <w:r>
        <w:rPr>
          <w:rFonts w:ascii="宋体" w:eastAsia="宋体" w:hAnsi="宋体"/>
          <w:color w:val="B00824"/>
          <w:sz w:val="18"/>
          <w:szCs w:val="18"/>
        </w:rPr>
        <w:t>被强制医疗的人及其近亲属有权向决定强制医疗的人民法院申请解除强制医疗</w:t>
      </w:r>
      <w:r>
        <w:rPr>
          <w:rFonts w:ascii="宋体" w:eastAsia="宋体" w:hAnsi="宋体"/>
          <w:sz w:val="18"/>
          <w:szCs w:val="18"/>
        </w:rPr>
        <w:t>。被强制医疗的人及其近亲属提出的解除强制医疗申请被人民法院驳回，</w:t>
      </w:r>
      <w:r>
        <w:rPr>
          <w:rFonts w:ascii="宋体" w:eastAsia="宋体" w:hAnsi="宋体"/>
          <w:color w:val="B00824"/>
          <w:sz w:val="18"/>
          <w:szCs w:val="18"/>
        </w:rPr>
        <w:t>六个月后再次提出申请的，人民法院应当受理</w:t>
      </w:r>
      <w:r>
        <w:rPr>
          <w:rFonts w:ascii="宋体" w:eastAsia="宋体" w:hAnsi="宋体"/>
          <w:sz w:val="18"/>
          <w:szCs w:val="18"/>
        </w:rPr>
        <w:t>。</w:t>
      </w:r>
    </w:p>
    <w:p w14:paraId="47D9971F" w14:textId="77777777" w:rsidR="00464ADF" w:rsidRDefault="00000000">
      <w:pPr>
        <w:pStyle w:val="3"/>
        <w:spacing w:line="240" w:lineRule="auto"/>
        <w:ind w:firstLineChars="200" w:firstLine="361"/>
        <w:rPr>
          <w:rFonts w:eastAsia="宋体" w:hint="eastAsia"/>
          <w:b/>
          <w:bCs/>
          <w:sz w:val="18"/>
          <w:szCs w:val="18"/>
        </w:rPr>
      </w:pPr>
      <w:bookmarkStart w:id="138" w:name="_Toc510879203"/>
      <w:r>
        <w:rPr>
          <w:rFonts w:eastAsia="宋体" w:hint="eastAsia"/>
          <w:b/>
          <w:bCs/>
          <w:sz w:val="18"/>
          <w:szCs w:val="18"/>
        </w:rPr>
        <w:t>六、对强制医疗的监督</w:t>
      </w:r>
      <w:bookmarkEnd w:id="138"/>
    </w:p>
    <w:p w14:paraId="01874EA4" w14:textId="77777777" w:rsidR="00464ADF" w:rsidRDefault="00000000">
      <w:pPr>
        <w:ind w:firstLineChars="200" w:firstLine="360"/>
        <w:rPr>
          <w:rFonts w:ascii="宋体" w:eastAsia="宋体" w:hAnsi="宋体" w:hint="eastAsia"/>
          <w:sz w:val="18"/>
          <w:szCs w:val="18"/>
        </w:rPr>
      </w:pPr>
      <w:r>
        <w:rPr>
          <w:rFonts w:ascii="宋体" w:eastAsia="宋体" w:hAnsi="宋体"/>
          <w:sz w:val="18"/>
          <w:szCs w:val="18"/>
        </w:rPr>
        <w:t>人民检察院对强制医疗的决定和执行实行监督。</w:t>
      </w:r>
    </w:p>
    <w:p w14:paraId="3EE09CE8" w14:textId="77777777" w:rsidR="00464ADF" w:rsidRDefault="00000000">
      <w:pPr>
        <w:pStyle w:val="4"/>
        <w:tabs>
          <w:tab w:val="left" w:pos="420"/>
        </w:tabs>
        <w:spacing w:before="0" w:after="0" w:line="240" w:lineRule="auto"/>
        <w:ind w:firstLineChars="120" w:firstLine="217"/>
        <w:jc w:val="left"/>
        <w:rPr>
          <w:rFonts w:ascii="宋体" w:eastAsia="宋体" w:hAnsi="宋体" w:hint="eastAsia"/>
          <w:bCs w:val="0"/>
          <w:color w:val="C00000"/>
          <w:sz w:val="18"/>
          <w:szCs w:val="18"/>
        </w:rPr>
      </w:pPr>
      <w:r>
        <w:rPr>
          <w:rFonts w:ascii="宋体" w:eastAsia="宋体" w:hAnsi="宋体"/>
          <w:bCs w:val="0"/>
          <w:color w:val="000000" w:themeColor="text1"/>
          <w:sz w:val="18"/>
          <w:szCs w:val="18"/>
        </w:rPr>
        <w:t>（一）对公安机关</w:t>
      </w:r>
    </w:p>
    <w:p w14:paraId="49F03404" w14:textId="77777777" w:rsidR="00464ADF" w:rsidRDefault="00000000">
      <w:pPr>
        <w:ind w:firstLineChars="200" w:firstLine="360"/>
        <w:rPr>
          <w:rFonts w:ascii="宋体" w:eastAsia="宋体" w:hAnsi="宋体" w:hint="eastAsia"/>
          <w:sz w:val="18"/>
          <w:szCs w:val="18"/>
        </w:rPr>
      </w:pPr>
      <w:r>
        <w:rPr>
          <w:rFonts w:ascii="宋体" w:eastAsia="宋体" w:hAnsi="宋体" w:hint="eastAsia"/>
          <w:sz w:val="18"/>
          <w:szCs w:val="18"/>
        </w:rPr>
        <w:t>1</w:t>
      </w:r>
      <w:r>
        <w:rPr>
          <w:rFonts w:ascii="宋体" w:eastAsia="宋体" w:hAnsi="宋体"/>
          <w:sz w:val="18"/>
          <w:szCs w:val="18"/>
        </w:rPr>
        <w:t>．发现公安机关应当启动强制医疗程序而不启动的，可以要求公安机关在七日以内书面说明不启动的理由。经审查，认为公安机关不启动理由不能成立的，</w:t>
      </w:r>
      <w:r>
        <w:rPr>
          <w:rFonts w:ascii="宋体" w:eastAsia="宋体" w:hAnsi="宋体"/>
          <w:color w:val="B00824"/>
          <w:sz w:val="18"/>
          <w:szCs w:val="18"/>
        </w:rPr>
        <w:t>应当通知</w:t>
      </w:r>
      <w:r>
        <w:rPr>
          <w:rFonts w:ascii="宋体" w:eastAsia="宋体" w:hAnsi="宋体"/>
          <w:sz w:val="18"/>
          <w:szCs w:val="18"/>
        </w:rPr>
        <w:t>公安机关</w:t>
      </w:r>
      <w:r>
        <w:rPr>
          <w:rFonts w:ascii="宋体" w:eastAsia="宋体" w:hAnsi="宋体"/>
          <w:color w:val="B00824"/>
          <w:sz w:val="18"/>
          <w:szCs w:val="18"/>
        </w:rPr>
        <w:t>启动</w:t>
      </w:r>
      <w:r>
        <w:rPr>
          <w:rFonts w:ascii="宋体" w:eastAsia="宋体" w:hAnsi="宋体"/>
          <w:sz w:val="18"/>
          <w:szCs w:val="18"/>
        </w:rPr>
        <w:t>强制医疗程序。公安机关收到启动强制医疗程序通知书后，未按要求启动强制医疗程序的，人民检察院</w:t>
      </w:r>
      <w:r>
        <w:rPr>
          <w:rFonts w:ascii="宋体" w:eastAsia="宋体" w:hAnsi="宋体"/>
          <w:color w:val="B00824"/>
          <w:sz w:val="18"/>
          <w:szCs w:val="18"/>
        </w:rPr>
        <w:t>应当提出纠正意见</w:t>
      </w:r>
      <w:r>
        <w:rPr>
          <w:rFonts w:ascii="宋体" w:eastAsia="宋体" w:hAnsi="宋体"/>
          <w:sz w:val="18"/>
          <w:szCs w:val="18"/>
        </w:rPr>
        <w:t>。2．发现公安机关对涉案精神病人不应当采取临时保护性约束措施而采取的，应当提出纠正意见。认为公安机关应当采取临时保护性约束措施而未采取的，</w:t>
      </w:r>
      <w:r>
        <w:rPr>
          <w:rFonts w:ascii="宋体" w:eastAsia="宋体" w:hAnsi="宋体"/>
          <w:color w:val="B00824"/>
          <w:sz w:val="18"/>
          <w:szCs w:val="18"/>
        </w:rPr>
        <w:t>应当建议</w:t>
      </w:r>
      <w:r>
        <w:rPr>
          <w:rFonts w:ascii="宋体" w:eastAsia="宋体" w:hAnsi="宋体"/>
          <w:sz w:val="18"/>
          <w:szCs w:val="18"/>
        </w:rPr>
        <w:t>公安机关采取临时保护性约束措施。</w:t>
      </w:r>
    </w:p>
    <w:p w14:paraId="1F086A8D" w14:textId="77777777" w:rsidR="00464ADF" w:rsidRDefault="00000000">
      <w:pPr>
        <w:pStyle w:val="4"/>
        <w:tabs>
          <w:tab w:val="left" w:pos="420"/>
        </w:tabs>
        <w:spacing w:before="0" w:after="0" w:line="240" w:lineRule="auto"/>
        <w:ind w:firstLineChars="120" w:firstLine="216"/>
        <w:jc w:val="left"/>
        <w:rPr>
          <w:rFonts w:ascii="宋体" w:eastAsia="宋体" w:hAnsi="宋体" w:hint="eastAsia"/>
          <w:b w:val="0"/>
          <w:color w:val="000000" w:themeColor="text1"/>
          <w:sz w:val="18"/>
          <w:szCs w:val="18"/>
        </w:rPr>
      </w:pPr>
      <w:r>
        <w:rPr>
          <w:rFonts w:ascii="宋体" w:eastAsia="宋体" w:hAnsi="宋体"/>
          <w:b w:val="0"/>
          <w:color w:val="000000" w:themeColor="text1"/>
          <w:sz w:val="18"/>
          <w:szCs w:val="18"/>
        </w:rPr>
        <w:t>（二）对法院</w:t>
      </w:r>
    </w:p>
    <w:p w14:paraId="20EC68AF" w14:textId="77777777" w:rsidR="00464ADF" w:rsidRDefault="00000000">
      <w:pPr>
        <w:ind w:firstLineChars="200" w:firstLine="360"/>
        <w:rPr>
          <w:rFonts w:ascii="宋体" w:eastAsia="宋体" w:hAnsi="宋体" w:hint="eastAsia"/>
          <w:sz w:val="18"/>
          <w:szCs w:val="18"/>
        </w:rPr>
      </w:pPr>
      <w:r>
        <w:rPr>
          <w:rFonts w:ascii="宋体" w:eastAsia="宋体" w:hAnsi="宋体"/>
          <w:sz w:val="18"/>
          <w:szCs w:val="18"/>
        </w:rPr>
        <w:t>发现法院审理强制医疗案件程序不合法的，</w:t>
      </w:r>
      <w:r>
        <w:rPr>
          <w:rFonts w:ascii="宋体" w:eastAsia="宋体" w:hAnsi="宋体"/>
          <w:color w:val="B00824"/>
          <w:sz w:val="18"/>
          <w:szCs w:val="18"/>
        </w:rPr>
        <w:t>应当提出纠正意见</w:t>
      </w:r>
      <w:r>
        <w:rPr>
          <w:rFonts w:ascii="宋体" w:eastAsia="宋体" w:hAnsi="宋体"/>
          <w:sz w:val="18"/>
          <w:szCs w:val="18"/>
        </w:rPr>
        <w:t>。</w:t>
      </w:r>
    </w:p>
    <w:sectPr w:rsidR="00464ADF">
      <w:footerReference w:type="default" r:id="rId10"/>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08C94" w14:textId="77777777" w:rsidR="007C7E2F" w:rsidRDefault="007C7E2F">
      <w:pPr>
        <w:rPr>
          <w:rFonts w:hint="eastAsia"/>
        </w:rPr>
      </w:pPr>
      <w:r>
        <w:separator/>
      </w:r>
    </w:p>
  </w:endnote>
  <w:endnote w:type="continuationSeparator" w:id="0">
    <w:p w14:paraId="365C3537" w14:textId="77777777" w:rsidR="007C7E2F" w:rsidRDefault="007C7E2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汉仪大宋简">
    <w:altName w:val="微软雅黑"/>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ACADEMY ENGRAVED LET PLAIN:1.0">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汉仪书宋二简">
    <w:altName w:val="华文宋体"/>
    <w:charset w:val="86"/>
    <w:family w:val="modern"/>
    <w:pitch w:val="fixed"/>
    <w:sig w:usb0="00000001" w:usb1="080E0800" w:usb2="00000012" w:usb3="00000000" w:csb0="00040000" w:csb1="00000000"/>
  </w:font>
  <w:font w:name="仿宋_GB2312">
    <w:altName w:val="微软雅黑"/>
    <w:charset w:val="86"/>
    <w:family w:val="modern"/>
    <w:pitch w:val="fixed"/>
    <w:sig w:usb0="00000001" w:usb1="080E0000" w:usb2="00000010" w:usb3="00000000" w:csb0="00040000" w:csb1="00000000"/>
  </w:font>
  <w:font w:name="汉仪中黑简">
    <w:altName w:val="微软雅黑"/>
    <w:charset w:val="86"/>
    <w:family w:val="modern"/>
    <w:pitch w:val="fixed"/>
    <w:sig w:usb0="00000001" w:usb1="080E0800" w:usb2="00000012" w:usb3="00000000" w:csb0="00040000" w:csb1="00000000"/>
  </w:font>
  <w:font w:name="汉仪书宋一简">
    <w:altName w:val="宋体"/>
    <w:charset w:val="86"/>
    <w:family w:val="modern"/>
    <w:pitch w:val="fixed"/>
    <w:sig w:usb0="00000001" w:usb1="080E0800" w:usb2="00000012" w:usb3="00000000" w:csb0="00040000" w:csb1="00000000"/>
  </w:font>
  <w:font w:name="汉仪粗黑简">
    <w:altName w:val="微软雅黑"/>
    <w:charset w:val="86"/>
    <w:family w:val="modern"/>
    <w:pitch w:val="fixed"/>
    <w:sig w:usb0="00000001" w:usb1="080E0800" w:usb2="00000012"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4FA7" w14:textId="77777777" w:rsidR="00464ADF" w:rsidRDefault="00000000">
    <w:pPr>
      <w:pStyle w:val="af"/>
      <w:rPr>
        <w:rFonts w:hint="eastAsia"/>
      </w:rPr>
    </w:pPr>
    <w:r>
      <w:rPr>
        <w:noProof/>
      </w:rPr>
      <mc:AlternateContent>
        <mc:Choice Requires="wps">
          <w:drawing>
            <wp:anchor distT="0" distB="0" distL="114300" distR="114300" simplePos="0" relativeHeight="251659264" behindDoc="0" locked="0" layoutInCell="1" allowOverlap="1" wp14:anchorId="2625EA8B" wp14:editId="17A39E9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76390" w14:textId="77777777" w:rsidR="00464ADF" w:rsidRDefault="00000000">
                          <w:pPr>
                            <w:pStyle w:val="af"/>
                            <w:rPr>
                              <w:rFonts w:hint="eastAsia"/>
                            </w:rPr>
                          </w:pPr>
                          <w:r>
                            <w:fldChar w:fldCharType="begin"/>
                          </w:r>
                          <w:r>
                            <w:instrText xml:space="preserve"> PAGE  \* MERGEFORMAT </w:instrText>
                          </w:r>
                          <w:r>
                            <w:fldChar w:fldCharType="separate"/>
                          </w:r>
                          <w:r>
                            <w:t>1</w:t>
                          </w:r>
                          <w:r>
                            <w:fldChar w:fldCharType="end"/>
                          </w:r>
                          <w:r>
                            <w:t xml:space="preserve"> / </w:t>
                          </w:r>
                          <w:fldSimple w:instr=" NUMPAGES  \* MERGEFORMAT ">
                            <w:r w:rsidR="00464ADF">
                              <w:t>17</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25EA8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B076390" w14:textId="77777777" w:rsidR="00464ADF" w:rsidRDefault="00000000">
                    <w:pPr>
                      <w:pStyle w:val="af"/>
                      <w:rPr>
                        <w:rFonts w:hint="eastAsia"/>
                      </w:rPr>
                    </w:pPr>
                    <w:r>
                      <w:fldChar w:fldCharType="begin"/>
                    </w:r>
                    <w:r>
                      <w:instrText xml:space="preserve"> PAGE  \* MERGEFORMAT </w:instrText>
                    </w:r>
                    <w:r>
                      <w:fldChar w:fldCharType="separate"/>
                    </w:r>
                    <w:r>
                      <w:t>1</w:t>
                    </w:r>
                    <w:r>
                      <w:fldChar w:fldCharType="end"/>
                    </w:r>
                    <w:r>
                      <w:t xml:space="preserve"> / </w:t>
                    </w:r>
                    <w:fldSimple w:instr=" NUMPAGES  \* MERGEFORMAT ">
                      <w:r w:rsidR="00464ADF">
                        <w:t>17</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3E28B" w14:textId="77777777" w:rsidR="007C7E2F" w:rsidRDefault="007C7E2F">
      <w:pPr>
        <w:rPr>
          <w:rFonts w:hint="eastAsia"/>
        </w:rPr>
      </w:pPr>
      <w:r>
        <w:separator/>
      </w:r>
    </w:p>
  </w:footnote>
  <w:footnote w:type="continuationSeparator" w:id="0">
    <w:p w14:paraId="6B3399F4" w14:textId="77777777" w:rsidR="007C7E2F" w:rsidRDefault="007C7E2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3E6BA1"/>
    <w:multiLevelType w:val="singleLevel"/>
    <w:tmpl w:val="B03E6BA1"/>
    <w:lvl w:ilvl="0">
      <w:start w:val="2"/>
      <w:numFmt w:val="chineseCounting"/>
      <w:suff w:val="nothing"/>
      <w:lvlText w:val="%1、"/>
      <w:lvlJc w:val="left"/>
      <w:rPr>
        <w:rFonts w:hint="eastAsia"/>
      </w:rPr>
    </w:lvl>
  </w:abstractNum>
  <w:num w:numId="1" w16cid:durableId="1546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VhNGJiMWVmZTg4ZjFhYWZhYWFiMzBkODkwYWRkZmUifQ=="/>
  </w:docVars>
  <w:rsids>
    <w:rsidRoot w:val="004947D4"/>
    <w:rsid w:val="00005E96"/>
    <w:rsid w:val="000113B5"/>
    <w:rsid w:val="00014540"/>
    <w:rsid w:val="00015021"/>
    <w:rsid w:val="00020054"/>
    <w:rsid w:val="00031A34"/>
    <w:rsid w:val="00037C2C"/>
    <w:rsid w:val="0005093E"/>
    <w:rsid w:val="000612DA"/>
    <w:rsid w:val="00067708"/>
    <w:rsid w:val="00077A6A"/>
    <w:rsid w:val="00080592"/>
    <w:rsid w:val="00092261"/>
    <w:rsid w:val="000978F0"/>
    <w:rsid w:val="000A70B7"/>
    <w:rsid w:val="000C58DF"/>
    <w:rsid w:val="000C6AA4"/>
    <w:rsid w:val="000C7675"/>
    <w:rsid w:val="000D2A58"/>
    <w:rsid w:val="000D4AD7"/>
    <w:rsid w:val="000D593E"/>
    <w:rsid w:val="000E44AD"/>
    <w:rsid w:val="00101B0F"/>
    <w:rsid w:val="001032AA"/>
    <w:rsid w:val="00104C82"/>
    <w:rsid w:val="00104E88"/>
    <w:rsid w:val="00106DB1"/>
    <w:rsid w:val="00106E12"/>
    <w:rsid w:val="0010798E"/>
    <w:rsid w:val="0011528D"/>
    <w:rsid w:val="0011627E"/>
    <w:rsid w:val="00117B40"/>
    <w:rsid w:val="00123701"/>
    <w:rsid w:val="001459ED"/>
    <w:rsid w:val="001516C3"/>
    <w:rsid w:val="00155B9B"/>
    <w:rsid w:val="0016016C"/>
    <w:rsid w:val="0016176D"/>
    <w:rsid w:val="001845A2"/>
    <w:rsid w:val="001900D8"/>
    <w:rsid w:val="001954F9"/>
    <w:rsid w:val="00197FBF"/>
    <w:rsid w:val="001A3966"/>
    <w:rsid w:val="001C7DAC"/>
    <w:rsid w:val="001D1C68"/>
    <w:rsid w:val="001D62E4"/>
    <w:rsid w:val="001E7875"/>
    <w:rsid w:val="001F0181"/>
    <w:rsid w:val="001F23B2"/>
    <w:rsid w:val="0021199C"/>
    <w:rsid w:val="00212FC6"/>
    <w:rsid w:val="00213B22"/>
    <w:rsid w:val="002205A0"/>
    <w:rsid w:val="002208C4"/>
    <w:rsid w:val="002323BA"/>
    <w:rsid w:val="00244100"/>
    <w:rsid w:val="00250109"/>
    <w:rsid w:val="0025557F"/>
    <w:rsid w:val="002722A5"/>
    <w:rsid w:val="002764F4"/>
    <w:rsid w:val="00276DBB"/>
    <w:rsid w:val="00280487"/>
    <w:rsid w:val="00280BE0"/>
    <w:rsid w:val="00285F33"/>
    <w:rsid w:val="00286223"/>
    <w:rsid w:val="0028622E"/>
    <w:rsid w:val="00286E79"/>
    <w:rsid w:val="00292031"/>
    <w:rsid w:val="002A0F37"/>
    <w:rsid w:val="002A4AAF"/>
    <w:rsid w:val="002C2BDB"/>
    <w:rsid w:val="002E37B3"/>
    <w:rsid w:val="002E4B09"/>
    <w:rsid w:val="002E4B2A"/>
    <w:rsid w:val="002F088B"/>
    <w:rsid w:val="002F60E3"/>
    <w:rsid w:val="00302D89"/>
    <w:rsid w:val="00311C36"/>
    <w:rsid w:val="0031551A"/>
    <w:rsid w:val="00317F3A"/>
    <w:rsid w:val="0032215B"/>
    <w:rsid w:val="003333C3"/>
    <w:rsid w:val="00351B38"/>
    <w:rsid w:val="003665FD"/>
    <w:rsid w:val="00376AD6"/>
    <w:rsid w:val="003776CC"/>
    <w:rsid w:val="00387A07"/>
    <w:rsid w:val="00391921"/>
    <w:rsid w:val="003935E1"/>
    <w:rsid w:val="00395B54"/>
    <w:rsid w:val="003A496B"/>
    <w:rsid w:val="003D5E9B"/>
    <w:rsid w:val="003D6311"/>
    <w:rsid w:val="003D6786"/>
    <w:rsid w:val="003E560F"/>
    <w:rsid w:val="003F3277"/>
    <w:rsid w:val="003F5745"/>
    <w:rsid w:val="00402393"/>
    <w:rsid w:val="004367DD"/>
    <w:rsid w:val="00464ADF"/>
    <w:rsid w:val="00464D01"/>
    <w:rsid w:val="00467AE9"/>
    <w:rsid w:val="00471D73"/>
    <w:rsid w:val="00477281"/>
    <w:rsid w:val="00482986"/>
    <w:rsid w:val="004947D4"/>
    <w:rsid w:val="004951D3"/>
    <w:rsid w:val="00497240"/>
    <w:rsid w:val="004A3723"/>
    <w:rsid w:val="004D0175"/>
    <w:rsid w:val="004E2EEB"/>
    <w:rsid w:val="004E53C1"/>
    <w:rsid w:val="004F42D8"/>
    <w:rsid w:val="004F6FC4"/>
    <w:rsid w:val="00505AC7"/>
    <w:rsid w:val="00506D12"/>
    <w:rsid w:val="0051749F"/>
    <w:rsid w:val="0052252F"/>
    <w:rsid w:val="00522FAE"/>
    <w:rsid w:val="00527648"/>
    <w:rsid w:val="0054067D"/>
    <w:rsid w:val="0054471C"/>
    <w:rsid w:val="005544E6"/>
    <w:rsid w:val="0056519D"/>
    <w:rsid w:val="00574429"/>
    <w:rsid w:val="005745F1"/>
    <w:rsid w:val="005770ED"/>
    <w:rsid w:val="00587141"/>
    <w:rsid w:val="00587555"/>
    <w:rsid w:val="00594FEE"/>
    <w:rsid w:val="0059548E"/>
    <w:rsid w:val="005B19CC"/>
    <w:rsid w:val="005B314C"/>
    <w:rsid w:val="005C15C1"/>
    <w:rsid w:val="005C179A"/>
    <w:rsid w:val="005E0304"/>
    <w:rsid w:val="005E3D6C"/>
    <w:rsid w:val="005F5AAE"/>
    <w:rsid w:val="00622946"/>
    <w:rsid w:val="00632FE5"/>
    <w:rsid w:val="00637CAD"/>
    <w:rsid w:val="00655396"/>
    <w:rsid w:val="00657DBC"/>
    <w:rsid w:val="00660542"/>
    <w:rsid w:val="00670CF3"/>
    <w:rsid w:val="00675182"/>
    <w:rsid w:val="00690274"/>
    <w:rsid w:val="00693646"/>
    <w:rsid w:val="006A330B"/>
    <w:rsid w:val="006A6316"/>
    <w:rsid w:val="006B6D38"/>
    <w:rsid w:val="006C4261"/>
    <w:rsid w:val="006C696B"/>
    <w:rsid w:val="006D3169"/>
    <w:rsid w:val="006F0E20"/>
    <w:rsid w:val="006F177D"/>
    <w:rsid w:val="00711187"/>
    <w:rsid w:val="007112E8"/>
    <w:rsid w:val="007164EE"/>
    <w:rsid w:val="00716E5F"/>
    <w:rsid w:val="0072414A"/>
    <w:rsid w:val="0074608F"/>
    <w:rsid w:val="00755E4D"/>
    <w:rsid w:val="007759E6"/>
    <w:rsid w:val="00777DDB"/>
    <w:rsid w:val="00786067"/>
    <w:rsid w:val="0079585A"/>
    <w:rsid w:val="007A1801"/>
    <w:rsid w:val="007A2EE3"/>
    <w:rsid w:val="007A6CF1"/>
    <w:rsid w:val="007B038F"/>
    <w:rsid w:val="007B2315"/>
    <w:rsid w:val="007C1A15"/>
    <w:rsid w:val="007C7E2F"/>
    <w:rsid w:val="007D67D3"/>
    <w:rsid w:val="007D7CC3"/>
    <w:rsid w:val="007E3049"/>
    <w:rsid w:val="007E53E7"/>
    <w:rsid w:val="007F1471"/>
    <w:rsid w:val="007F6FB0"/>
    <w:rsid w:val="007F7C79"/>
    <w:rsid w:val="00802B10"/>
    <w:rsid w:val="00807B3E"/>
    <w:rsid w:val="00811793"/>
    <w:rsid w:val="00821726"/>
    <w:rsid w:val="00821A1B"/>
    <w:rsid w:val="00823949"/>
    <w:rsid w:val="00825985"/>
    <w:rsid w:val="00827455"/>
    <w:rsid w:val="00827FAB"/>
    <w:rsid w:val="0086518D"/>
    <w:rsid w:val="00865EBB"/>
    <w:rsid w:val="00881C8E"/>
    <w:rsid w:val="0089538E"/>
    <w:rsid w:val="008C0542"/>
    <w:rsid w:val="008C1631"/>
    <w:rsid w:val="008C19AB"/>
    <w:rsid w:val="008C37AE"/>
    <w:rsid w:val="008C7292"/>
    <w:rsid w:val="008D0955"/>
    <w:rsid w:val="008D6B7B"/>
    <w:rsid w:val="008E5181"/>
    <w:rsid w:val="00911FBD"/>
    <w:rsid w:val="0091394F"/>
    <w:rsid w:val="009252C6"/>
    <w:rsid w:val="009458BA"/>
    <w:rsid w:val="0094665A"/>
    <w:rsid w:val="00946CA1"/>
    <w:rsid w:val="0098757F"/>
    <w:rsid w:val="009A3AE9"/>
    <w:rsid w:val="009A6DB9"/>
    <w:rsid w:val="009B4EA8"/>
    <w:rsid w:val="009B51B4"/>
    <w:rsid w:val="009B66F4"/>
    <w:rsid w:val="009C0832"/>
    <w:rsid w:val="009D0B5A"/>
    <w:rsid w:val="009D6884"/>
    <w:rsid w:val="009D7C90"/>
    <w:rsid w:val="009E0B1E"/>
    <w:rsid w:val="009F72E1"/>
    <w:rsid w:val="00A05FB4"/>
    <w:rsid w:val="00A12F14"/>
    <w:rsid w:val="00A169B9"/>
    <w:rsid w:val="00A36F49"/>
    <w:rsid w:val="00A447D0"/>
    <w:rsid w:val="00A63795"/>
    <w:rsid w:val="00A676A8"/>
    <w:rsid w:val="00A67A85"/>
    <w:rsid w:val="00A767E1"/>
    <w:rsid w:val="00A80FA0"/>
    <w:rsid w:val="00A81DE0"/>
    <w:rsid w:val="00A92A4E"/>
    <w:rsid w:val="00A9595E"/>
    <w:rsid w:val="00A97EF9"/>
    <w:rsid w:val="00AA4433"/>
    <w:rsid w:val="00AA6573"/>
    <w:rsid w:val="00AB65C7"/>
    <w:rsid w:val="00AC420C"/>
    <w:rsid w:val="00AC4410"/>
    <w:rsid w:val="00AC7936"/>
    <w:rsid w:val="00AD1D6F"/>
    <w:rsid w:val="00AD2475"/>
    <w:rsid w:val="00AF0EA8"/>
    <w:rsid w:val="00AF40D2"/>
    <w:rsid w:val="00AF554D"/>
    <w:rsid w:val="00B06555"/>
    <w:rsid w:val="00B07603"/>
    <w:rsid w:val="00B40AA0"/>
    <w:rsid w:val="00B57BEC"/>
    <w:rsid w:val="00B61338"/>
    <w:rsid w:val="00B622C8"/>
    <w:rsid w:val="00B72AC1"/>
    <w:rsid w:val="00B73F4B"/>
    <w:rsid w:val="00B742DA"/>
    <w:rsid w:val="00B803D2"/>
    <w:rsid w:val="00B808AF"/>
    <w:rsid w:val="00B82D3A"/>
    <w:rsid w:val="00B86D12"/>
    <w:rsid w:val="00B94D4A"/>
    <w:rsid w:val="00B96497"/>
    <w:rsid w:val="00BA11C6"/>
    <w:rsid w:val="00BA4A96"/>
    <w:rsid w:val="00BA7134"/>
    <w:rsid w:val="00BB28D2"/>
    <w:rsid w:val="00BC4FA1"/>
    <w:rsid w:val="00BC6500"/>
    <w:rsid w:val="00BD1FE8"/>
    <w:rsid w:val="00BD497C"/>
    <w:rsid w:val="00C020E0"/>
    <w:rsid w:val="00C14CC2"/>
    <w:rsid w:val="00C23A41"/>
    <w:rsid w:val="00C24833"/>
    <w:rsid w:val="00C306CC"/>
    <w:rsid w:val="00C33D2D"/>
    <w:rsid w:val="00C85E2D"/>
    <w:rsid w:val="00C86359"/>
    <w:rsid w:val="00CA041B"/>
    <w:rsid w:val="00CA5262"/>
    <w:rsid w:val="00CB1AC1"/>
    <w:rsid w:val="00CB4E8F"/>
    <w:rsid w:val="00CB4F7C"/>
    <w:rsid w:val="00CB555C"/>
    <w:rsid w:val="00CC3D82"/>
    <w:rsid w:val="00CD16D3"/>
    <w:rsid w:val="00CD2AEC"/>
    <w:rsid w:val="00CF2CEF"/>
    <w:rsid w:val="00CF61B6"/>
    <w:rsid w:val="00D03359"/>
    <w:rsid w:val="00D15B3E"/>
    <w:rsid w:val="00D21592"/>
    <w:rsid w:val="00D2546A"/>
    <w:rsid w:val="00D50077"/>
    <w:rsid w:val="00D50CCC"/>
    <w:rsid w:val="00D558EE"/>
    <w:rsid w:val="00D7467C"/>
    <w:rsid w:val="00D76E8A"/>
    <w:rsid w:val="00D932D7"/>
    <w:rsid w:val="00DB79D0"/>
    <w:rsid w:val="00DC7753"/>
    <w:rsid w:val="00DD24D0"/>
    <w:rsid w:val="00DE7A89"/>
    <w:rsid w:val="00DF3F96"/>
    <w:rsid w:val="00E1753C"/>
    <w:rsid w:val="00E35023"/>
    <w:rsid w:val="00E4596F"/>
    <w:rsid w:val="00E6207A"/>
    <w:rsid w:val="00E64FF0"/>
    <w:rsid w:val="00E70ADF"/>
    <w:rsid w:val="00E74A1D"/>
    <w:rsid w:val="00E803EF"/>
    <w:rsid w:val="00E81612"/>
    <w:rsid w:val="00E85FEC"/>
    <w:rsid w:val="00E86F45"/>
    <w:rsid w:val="00E93ABB"/>
    <w:rsid w:val="00EA3A6C"/>
    <w:rsid w:val="00EA6A46"/>
    <w:rsid w:val="00ED1473"/>
    <w:rsid w:val="00EE32EE"/>
    <w:rsid w:val="00F047C2"/>
    <w:rsid w:val="00F340E0"/>
    <w:rsid w:val="00F4789B"/>
    <w:rsid w:val="00F52AC8"/>
    <w:rsid w:val="00F56E1B"/>
    <w:rsid w:val="00F57CAC"/>
    <w:rsid w:val="00F6011D"/>
    <w:rsid w:val="00F65C60"/>
    <w:rsid w:val="00F66B9D"/>
    <w:rsid w:val="00F813F3"/>
    <w:rsid w:val="00F8476E"/>
    <w:rsid w:val="00F856D9"/>
    <w:rsid w:val="00FA6E88"/>
    <w:rsid w:val="00FB7A39"/>
    <w:rsid w:val="00FB7E6B"/>
    <w:rsid w:val="00FC2C76"/>
    <w:rsid w:val="00FC42B1"/>
    <w:rsid w:val="00FE6663"/>
    <w:rsid w:val="00FE6E6E"/>
    <w:rsid w:val="00FF240F"/>
    <w:rsid w:val="00FF2B16"/>
    <w:rsid w:val="129D01DE"/>
    <w:rsid w:val="13161971"/>
    <w:rsid w:val="19870D16"/>
    <w:rsid w:val="1ADD03C2"/>
    <w:rsid w:val="2080016D"/>
    <w:rsid w:val="2F000ED6"/>
    <w:rsid w:val="2FAE7724"/>
    <w:rsid w:val="411C7B2A"/>
    <w:rsid w:val="44271EE1"/>
    <w:rsid w:val="4A153528"/>
    <w:rsid w:val="55087BE8"/>
    <w:rsid w:val="5A174890"/>
    <w:rsid w:val="5CF56286"/>
    <w:rsid w:val="67C30030"/>
    <w:rsid w:val="70820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CB57"/>
  <w15:docId w15:val="{6953D3C4-6460-4A32-BB64-C6C23DB1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nhideWhenUsed="1"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color w:val="000000" w:themeColor="text1"/>
      <w:sz w:val="32"/>
      <w:szCs w:val="32"/>
    </w:rPr>
  </w:style>
  <w:style w:type="paragraph" w:styleId="3">
    <w:name w:val="heading 3"/>
    <w:basedOn w:val="a"/>
    <w:next w:val="a"/>
    <w:link w:val="30"/>
    <w:uiPriority w:val="9"/>
    <w:unhideWhenUsed/>
    <w:qFormat/>
    <w:pPr>
      <w:keepNext/>
      <w:keepLines/>
      <w:tabs>
        <w:tab w:val="left" w:pos="420"/>
      </w:tabs>
      <w:spacing w:line="384" w:lineRule="exact"/>
      <w:jc w:val="left"/>
      <w:outlineLvl w:val="2"/>
    </w:pPr>
    <w:rPr>
      <w:rFonts w:ascii="宋体" w:eastAsia="汉仪大宋简" w:hAnsi="宋体" w:cs="宋体"/>
      <w:color w:val="000000" w:themeColor="text1"/>
      <w:sz w:val="26"/>
      <w:szCs w:val="21"/>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260"/>
    </w:pPr>
    <w:rPr>
      <w:rFonts w:ascii="宋体" w:eastAsia="宋体" w:hAnsi="宋体" w:cs="宋体"/>
      <w:color w:val="000000" w:themeColor="text1"/>
      <w:szCs w:val="21"/>
    </w:rPr>
  </w:style>
  <w:style w:type="paragraph" w:styleId="a3">
    <w:name w:val="Document Map"/>
    <w:basedOn w:val="a"/>
    <w:link w:val="a4"/>
    <w:unhideWhenUsed/>
    <w:qFormat/>
    <w:rPr>
      <w:rFonts w:ascii="宋体" w:eastAsia="宋体" w:hAnsi="宋体" w:cs="宋体"/>
      <w:color w:val="000000" w:themeColor="text1"/>
      <w:sz w:val="24"/>
      <w:szCs w:val="24"/>
    </w:rPr>
  </w:style>
  <w:style w:type="paragraph" w:styleId="a5">
    <w:name w:val="annotation text"/>
    <w:basedOn w:val="a"/>
    <w:link w:val="a6"/>
    <w:uiPriority w:val="99"/>
    <w:unhideWhenUsed/>
    <w:qFormat/>
    <w:pPr>
      <w:jc w:val="left"/>
    </w:pPr>
    <w:rPr>
      <w:rFonts w:ascii="宋体" w:eastAsia="宋体" w:hAnsi="宋体" w:cs="宋体"/>
      <w:color w:val="000000" w:themeColor="text1"/>
      <w:szCs w:val="21"/>
    </w:rPr>
  </w:style>
  <w:style w:type="paragraph" w:styleId="a7">
    <w:name w:val="Body Text"/>
    <w:basedOn w:val="a"/>
    <w:link w:val="a8"/>
    <w:uiPriority w:val="1"/>
    <w:qFormat/>
    <w:pPr>
      <w:autoSpaceDE w:val="0"/>
      <w:autoSpaceDN w:val="0"/>
      <w:jc w:val="left"/>
    </w:pPr>
    <w:rPr>
      <w:rFonts w:ascii="宋体" w:eastAsia="宋体" w:hAnsi="宋体" w:cs="宋体"/>
      <w:kern w:val="0"/>
      <w:szCs w:val="21"/>
      <w:lang w:val="zh-CN" w:bidi="zh-CN"/>
    </w:rPr>
  </w:style>
  <w:style w:type="paragraph" w:styleId="TOC5">
    <w:name w:val="toc 5"/>
    <w:basedOn w:val="a"/>
    <w:next w:val="a"/>
    <w:uiPriority w:val="39"/>
    <w:unhideWhenUsed/>
    <w:qFormat/>
    <w:pPr>
      <w:ind w:left="840"/>
    </w:pPr>
    <w:rPr>
      <w:rFonts w:ascii="宋体" w:eastAsia="宋体" w:hAnsi="宋体" w:cs="宋体"/>
      <w:color w:val="000000" w:themeColor="text1"/>
      <w:szCs w:val="21"/>
    </w:rPr>
  </w:style>
  <w:style w:type="paragraph" w:styleId="TOC3">
    <w:name w:val="toc 3"/>
    <w:basedOn w:val="a"/>
    <w:next w:val="a"/>
    <w:uiPriority w:val="39"/>
    <w:unhideWhenUsed/>
    <w:qFormat/>
    <w:pPr>
      <w:ind w:left="420"/>
    </w:pPr>
    <w:rPr>
      <w:rFonts w:ascii="宋体" w:eastAsia="宋体" w:hAnsi="宋体" w:cs="宋体"/>
      <w:color w:val="000000" w:themeColor="text1"/>
      <w:szCs w:val="21"/>
    </w:rPr>
  </w:style>
  <w:style w:type="paragraph" w:styleId="a9">
    <w:name w:val="Plain Text"/>
    <w:basedOn w:val="a"/>
    <w:link w:val="aa"/>
    <w:uiPriority w:val="99"/>
    <w:unhideWhenUsed/>
    <w:qFormat/>
    <w:pPr>
      <w:spacing w:beforeLines="10" w:afterLines="10" w:line="240" w:lineRule="exact"/>
    </w:pPr>
    <w:rPr>
      <w:rFonts w:ascii="宋体" w:eastAsia="宋体" w:hAnsi="Courier New" w:cs="Courier New"/>
      <w:szCs w:val="21"/>
    </w:rPr>
  </w:style>
  <w:style w:type="paragraph" w:styleId="TOC8">
    <w:name w:val="toc 8"/>
    <w:basedOn w:val="a"/>
    <w:next w:val="a"/>
    <w:uiPriority w:val="39"/>
    <w:unhideWhenUsed/>
    <w:qFormat/>
    <w:pPr>
      <w:ind w:left="1470"/>
    </w:pPr>
    <w:rPr>
      <w:rFonts w:ascii="宋体" w:eastAsia="宋体" w:hAnsi="宋体" w:cs="宋体"/>
      <w:color w:val="000000" w:themeColor="text1"/>
      <w:szCs w:val="21"/>
    </w:rPr>
  </w:style>
  <w:style w:type="paragraph" w:styleId="ab">
    <w:name w:val="endnote text"/>
    <w:basedOn w:val="a"/>
    <w:link w:val="ac"/>
    <w:uiPriority w:val="99"/>
    <w:unhideWhenUsed/>
    <w:qFormat/>
    <w:pPr>
      <w:snapToGrid w:val="0"/>
      <w:jc w:val="left"/>
    </w:pPr>
  </w:style>
  <w:style w:type="paragraph" w:styleId="ad">
    <w:name w:val="Balloon Text"/>
    <w:basedOn w:val="a"/>
    <w:link w:val="ae"/>
    <w:uiPriority w:val="99"/>
    <w:unhideWhenUsed/>
    <w:qFormat/>
    <w:rPr>
      <w:rFonts w:ascii="宋体" w:eastAsia="宋体" w:hAnsi="宋体" w:cs="宋体"/>
      <w:color w:val="000000" w:themeColor="text1"/>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宋体" w:eastAsia="宋体" w:hAnsi="宋体" w:cs="宋体"/>
      <w:color w:val="000000" w:themeColor="text1"/>
      <w:szCs w:val="21"/>
    </w:rPr>
  </w:style>
  <w:style w:type="paragraph" w:styleId="TOC4">
    <w:name w:val="toc 4"/>
    <w:basedOn w:val="a"/>
    <w:next w:val="a"/>
    <w:uiPriority w:val="39"/>
    <w:unhideWhenUsed/>
    <w:qFormat/>
    <w:pPr>
      <w:ind w:left="630"/>
    </w:pPr>
    <w:rPr>
      <w:rFonts w:ascii="宋体" w:eastAsia="宋体" w:hAnsi="宋体" w:cs="宋体"/>
      <w:color w:val="000000" w:themeColor="text1"/>
      <w:szCs w:val="21"/>
    </w:rPr>
  </w:style>
  <w:style w:type="paragraph" w:styleId="af3">
    <w:name w:val="footnote text"/>
    <w:basedOn w:val="a"/>
    <w:link w:val="af4"/>
    <w:uiPriority w:val="99"/>
    <w:unhideWhenUsed/>
    <w:qFormat/>
    <w:pPr>
      <w:snapToGrid w:val="0"/>
      <w:jc w:val="left"/>
    </w:pPr>
    <w:rPr>
      <w:rFonts w:ascii="宋体" w:eastAsia="宋体" w:hAnsi="宋体" w:cs="宋体"/>
      <w:color w:val="000000" w:themeColor="text1"/>
      <w:sz w:val="18"/>
      <w:szCs w:val="21"/>
    </w:rPr>
  </w:style>
  <w:style w:type="paragraph" w:styleId="TOC6">
    <w:name w:val="toc 6"/>
    <w:basedOn w:val="a"/>
    <w:next w:val="a"/>
    <w:uiPriority w:val="39"/>
    <w:unhideWhenUsed/>
    <w:qFormat/>
    <w:pPr>
      <w:ind w:left="1050"/>
    </w:pPr>
    <w:rPr>
      <w:rFonts w:ascii="宋体" w:eastAsia="宋体" w:hAnsi="宋体" w:cs="宋体"/>
      <w:color w:val="000000" w:themeColor="text1"/>
      <w:szCs w:val="21"/>
    </w:rPr>
  </w:style>
  <w:style w:type="paragraph" w:styleId="TOC2">
    <w:name w:val="toc 2"/>
    <w:basedOn w:val="a"/>
    <w:next w:val="a"/>
    <w:uiPriority w:val="39"/>
    <w:unhideWhenUsed/>
    <w:qFormat/>
    <w:pPr>
      <w:ind w:left="210"/>
    </w:pPr>
    <w:rPr>
      <w:rFonts w:ascii="宋体" w:eastAsia="宋体" w:hAnsi="宋体" w:cs="宋体"/>
      <w:color w:val="000000" w:themeColor="text1"/>
      <w:szCs w:val="21"/>
    </w:rPr>
  </w:style>
  <w:style w:type="paragraph" w:styleId="TOC9">
    <w:name w:val="toc 9"/>
    <w:basedOn w:val="a"/>
    <w:next w:val="a"/>
    <w:uiPriority w:val="39"/>
    <w:unhideWhenUsed/>
    <w:qFormat/>
    <w:pPr>
      <w:ind w:left="1680"/>
    </w:pPr>
    <w:rPr>
      <w:rFonts w:ascii="宋体" w:eastAsia="宋体" w:hAnsi="宋体" w:cs="宋体"/>
      <w:color w:val="000000" w:themeColor="text1"/>
      <w:szCs w:val="21"/>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6">
    <w:name w:val="Title"/>
    <w:basedOn w:val="a"/>
    <w:next w:val="a"/>
    <w:link w:val="af7"/>
    <w:qFormat/>
    <w:pPr>
      <w:spacing w:before="240" w:after="60"/>
      <w:jc w:val="center"/>
      <w:outlineLvl w:val="0"/>
    </w:pPr>
    <w:rPr>
      <w:rFonts w:asciiTheme="majorHAnsi" w:eastAsiaTheme="majorEastAsia" w:hAnsiTheme="majorHAnsi" w:cstheme="majorBidi"/>
      <w:b/>
      <w:bCs/>
      <w:color w:val="000000" w:themeColor="text1"/>
      <w:sz w:val="32"/>
      <w:szCs w:val="32"/>
    </w:rPr>
  </w:style>
  <w:style w:type="paragraph" w:styleId="af8">
    <w:name w:val="annotation subject"/>
    <w:basedOn w:val="a5"/>
    <w:next w:val="a5"/>
    <w:link w:val="af9"/>
    <w:uiPriority w:val="99"/>
    <w:unhideWhenUsed/>
    <w:qFormat/>
    <w:rPr>
      <w:b/>
      <w:bCs/>
    </w:rPr>
  </w:style>
  <w:style w:type="table" w:styleId="afa">
    <w:name w:val="Table Grid"/>
    <w:basedOn w:val="a1"/>
    <w:uiPriority w:val="59"/>
    <w:qFormat/>
    <w:pPr>
      <w:spacing w:beforeLines="10" w:afterLines="1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rPr>
  </w:style>
  <w:style w:type="character" w:styleId="afc">
    <w:name w:val="endnote reference"/>
    <w:basedOn w:val="a0"/>
    <w:uiPriority w:val="99"/>
    <w:unhideWhenUsed/>
    <w:qFormat/>
    <w:rPr>
      <w:vertAlign w:val="superscript"/>
    </w:rPr>
  </w:style>
  <w:style w:type="character" w:styleId="afd">
    <w:name w:val="page number"/>
    <w:basedOn w:val="a0"/>
    <w:uiPriority w:val="99"/>
    <w:unhideWhenUsed/>
    <w:qFormat/>
  </w:style>
  <w:style w:type="character" w:styleId="afe">
    <w:name w:val="FollowedHyperlink"/>
    <w:basedOn w:val="a0"/>
    <w:uiPriority w:val="99"/>
    <w:semiHidden/>
    <w:unhideWhenUsed/>
    <w:qFormat/>
    <w:rPr>
      <w:color w:val="954F72"/>
      <w:u w:val="single"/>
    </w:rPr>
  </w:style>
  <w:style w:type="character" w:styleId="aff">
    <w:name w:val="Hyperlink"/>
    <w:basedOn w:val="a0"/>
    <w:uiPriority w:val="99"/>
    <w:unhideWhenUsed/>
    <w:qFormat/>
    <w:rPr>
      <w:color w:val="0563C1" w:themeColor="hyperlink"/>
      <w:u w:val="single"/>
    </w:rPr>
  </w:style>
  <w:style w:type="character" w:styleId="aff0">
    <w:name w:val="annotation reference"/>
    <w:basedOn w:val="a0"/>
    <w:uiPriority w:val="99"/>
    <w:unhideWhenUsed/>
    <w:qFormat/>
    <w:rPr>
      <w:sz w:val="21"/>
      <w:szCs w:val="21"/>
    </w:rPr>
  </w:style>
  <w:style w:type="character" w:styleId="aff1">
    <w:name w:val="footnote reference"/>
    <w:basedOn w:val="a0"/>
    <w:uiPriority w:val="99"/>
    <w:unhideWhenUsed/>
    <w:qFormat/>
    <w:rPr>
      <w:vertAlign w:val="superscript"/>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30">
    <w:name w:val="标题 3 字符"/>
    <w:basedOn w:val="a0"/>
    <w:link w:val="3"/>
    <w:uiPriority w:val="9"/>
    <w:qFormat/>
    <w:rPr>
      <w:rFonts w:ascii="宋体" w:eastAsia="汉仪大宋简" w:hAnsi="宋体" w:cs="宋体"/>
      <w:color w:val="000000" w:themeColor="text1"/>
      <w:sz w:val="26"/>
      <w:szCs w:val="21"/>
    </w:rPr>
  </w:style>
  <w:style w:type="character" w:customStyle="1" w:styleId="af2">
    <w:name w:val="页眉 字符"/>
    <w:basedOn w:val="a0"/>
    <w:link w:val="af1"/>
    <w:qFormat/>
    <w:rPr>
      <w:sz w:val="18"/>
      <w:szCs w:val="18"/>
    </w:rPr>
  </w:style>
  <w:style w:type="character" w:customStyle="1" w:styleId="af0">
    <w:name w:val="页脚 字符"/>
    <w:basedOn w:val="a0"/>
    <w:link w:val="af"/>
    <w:uiPriority w:val="99"/>
    <w:qFormat/>
    <w:rPr>
      <w:sz w:val="18"/>
      <w:szCs w:val="18"/>
    </w:rPr>
  </w:style>
  <w:style w:type="character" w:customStyle="1" w:styleId="aa">
    <w:name w:val="纯文本 字符"/>
    <w:basedOn w:val="a0"/>
    <w:link w:val="a9"/>
    <w:uiPriority w:val="99"/>
    <w:qFormat/>
    <w:rPr>
      <w:rFonts w:ascii="宋体" w:eastAsia="宋体" w:hAnsi="Courier New" w:cs="Courier New"/>
      <w:szCs w:val="21"/>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20">
    <w:name w:val="标题 2 字符"/>
    <w:basedOn w:val="a0"/>
    <w:link w:val="2"/>
    <w:qFormat/>
    <w:rPr>
      <w:rFonts w:asciiTheme="majorHAnsi" w:eastAsiaTheme="majorEastAsia" w:hAnsiTheme="majorHAnsi" w:cstheme="majorBidi"/>
      <w:b/>
      <w:bCs/>
      <w:color w:val="000000" w:themeColor="text1"/>
      <w:sz w:val="32"/>
      <w:szCs w:val="32"/>
    </w:rPr>
  </w:style>
  <w:style w:type="character" w:customStyle="1" w:styleId="a4">
    <w:name w:val="文档结构图 字符"/>
    <w:basedOn w:val="a0"/>
    <w:link w:val="a3"/>
    <w:qFormat/>
    <w:rPr>
      <w:rFonts w:ascii="宋体" w:eastAsia="宋体" w:hAnsi="宋体" w:cs="宋体"/>
      <w:color w:val="000000" w:themeColor="text1"/>
      <w:sz w:val="24"/>
      <w:szCs w:val="24"/>
    </w:rPr>
  </w:style>
  <w:style w:type="character" w:customStyle="1" w:styleId="a6">
    <w:name w:val="批注文字 字符"/>
    <w:basedOn w:val="a0"/>
    <w:link w:val="a5"/>
    <w:uiPriority w:val="99"/>
    <w:qFormat/>
    <w:rPr>
      <w:rFonts w:ascii="宋体" w:eastAsia="宋体" w:hAnsi="宋体" w:cs="宋体"/>
      <w:color w:val="000000" w:themeColor="text1"/>
      <w:szCs w:val="21"/>
    </w:rPr>
  </w:style>
  <w:style w:type="character" w:customStyle="1" w:styleId="ae">
    <w:name w:val="批注框文本 字符"/>
    <w:basedOn w:val="a0"/>
    <w:link w:val="ad"/>
    <w:uiPriority w:val="99"/>
    <w:qFormat/>
    <w:rPr>
      <w:rFonts w:ascii="宋体" w:eastAsia="宋体" w:hAnsi="宋体" w:cs="宋体"/>
      <w:color w:val="000000" w:themeColor="text1"/>
      <w:sz w:val="18"/>
      <w:szCs w:val="18"/>
    </w:rPr>
  </w:style>
  <w:style w:type="character" w:customStyle="1" w:styleId="af4">
    <w:name w:val="脚注文本 字符"/>
    <w:basedOn w:val="a0"/>
    <w:link w:val="af3"/>
    <w:uiPriority w:val="99"/>
    <w:qFormat/>
    <w:rPr>
      <w:rFonts w:ascii="宋体" w:eastAsia="宋体" w:hAnsi="宋体" w:cs="宋体"/>
      <w:color w:val="000000" w:themeColor="text1"/>
      <w:sz w:val="18"/>
      <w:szCs w:val="21"/>
    </w:rPr>
  </w:style>
  <w:style w:type="character" w:customStyle="1" w:styleId="af7">
    <w:name w:val="标题 字符"/>
    <w:basedOn w:val="a0"/>
    <w:link w:val="af6"/>
    <w:qFormat/>
    <w:rPr>
      <w:rFonts w:asciiTheme="majorHAnsi" w:eastAsiaTheme="majorEastAsia" w:hAnsiTheme="majorHAnsi" w:cstheme="majorBidi"/>
      <w:b/>
      <w:bCs/>
      <w:color w:val="000000" w:themeColor="text1"/>
      <w:sz w:val="32"/>
      <w:szCs w:val="32"/>
    </w:rPr>
  </w:style>
  <w:style w:type="character" w:customStyle="1" w:styleId="af9">
    <w:name w:val="批注主题 字符"/>
    <w:basedOn w:val="a6"/>
    <w:link w:val="af8"/>
    <w:uiPriority w:val="99"/>
    <w:qFormat/>
    <w:rPr>
      <w:rFonts w:ascii="宋体" w:eastAsia="宋体" w:hAnsi="宋体" w:cs="宋体"/>
      <w:b/>
      <w:bCs/>
      <w:color w:val="000000" w:themeColor="text1"/>
      <w:szCs w:val="21"/>
    </w:rPr>
  </w:style>
  <w:style w:type="paragraph" w:styleId="aff2">
    <w:name w:val="List Paragraph"/>
    <w:basedOn w:val="a"/>
    <w:uiPriority w:val="99"/>
    <w:qFormat/>
    <w:pPr>
      <w:ind w:firstLineChars="200" w:firstLine="420"/>
    </w:pPr>
    <w:rPr>
      <w:rFonts w:ascii="宋体" w:eastAsia="宋体" w:hAnsi="宋体" w:cs="宋体"/>
      <w:color w:val="000000" w:themeColor="text1"/>
      <w:szCs w:val="21"/>
    </w:rPr>
  </w:style>
  <w:style w:type="table" w:customStyle="1" w:styleId="11">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qFormat/>
    <w:pPr>
      <w:ind w:firstLineChars="200" w:firstLine="420"/>
    </w:pPr>
    <w:rPr>
      <w:rFonts w:ascii="宋体" w:eastAsia="宋体" w:hAnsi="宋体" w:cs="Times New Roman" w:hint="eastAsia"/>
      <w:color w:val="000000" w:themeColor="text1"/>
      <w:sz w:val="24"/>
      <w:szCs w:val="24"/>
    </w:rPr>
  </w:style>
  <w:style w:type="character" w:customStyle="1" w:styleId="12">
    <w:name w:val="页脚 字符1"/>
    <w:basedOn w:val="a0"/>
    <w:uiPriority w:val="99"/>
    <w:semiHidden/>
    <w:qFormat/>
    <w:rPr>
      <w:rFonts w:ascii="Calibri" w:eastAsia="宋体" w:hAnsi="Calibri" w:cs="Times New Roman"/>
      <w:sz w:val="18"/>
      <w:szCs w:val="18"/>
    </w:rPr>
  </w:style>
  <w:style w:type="character" w:customStyle="1" w:styleId="13">
    <w:name w:val="批注框文本 字符1"/>
    <w:basedOn w:val="a0"/>
    <w:uiPriority w:val="99"/>
    <w:semiHidden/>
    <w:qFormat/>
    <w:rPr>
      <w:rFonts w:ascii="宋体" w:eastAsia="宋体" w:hAnsi="Calibri" w:cs="Times New Roman"/>
      <w:sz w:val="18"/>
      <w:szCs w:val="18"/>
    </w:rPr>
  </w:style>
  <w:style w:type="character" w:customStyle="1" w:styleId="14">
    <w:name w:val="文档结构图 字符1"/>
    <w:basedOn w:val="a0"/>
    <w:uiPriority w:val="99"/>
    <w:semiHidden/>
    <w:qFormat/>
    <w:rPr>
      <w:rFonts w:ascii="ACADEMY ENGRAVED LET PLAIN:1.0" w:eastAsia="宋体" w:hAnsi="ACADEMY ENGRAVED LET PLAIN:1.0" w:cs="Times New Roman"/>
      <w:sz w:val="26"/>
      <w:szCs w:val="26"/>
    </w:rPr>
  </w:style>
  <w:style w:type="character" w:customStyle="1" w:styleId="15">
    <w:name w:val="纯文本 字符1"/>
    <w:basedOn w:val="a0"/>
    <w:uiPriority w:val="99"/>
    <w:semiHidden/>
    <w:qFormat/>
    <w:rPr>
      <w:rFonts w:asciiTheme="minorEastAsia" w:hAnsi="Courier New" w:cs="Courier New"/>
      <w:sz w:val="21"/>
    </w:rPr>
  </w:style>
  <w:style w:type="character" w:customStyle="1" w:styleId="16">
    <w:name w:val="脚注文本 字符1"/>
    <w:basedOn w:val="a0"/>
    <w:uiPriority w:val="99"/>
    <w:semiHidden/>
    <w:qFormat/>
    <w:rPr>
      <w:rFonts w:ascii="Calibri" w:eastAsia="宋体" w:hAnsi="Calibri" w:cs="Times New Roman"/>
      <w:sz w:val="18"/>
      <w:szCs w:val="18"/>
    </w:rPr>
  </w:style>
  <w:style w:type="character" w:customStyle="1" w:styleId="17">
    <w:name w:val="页眉 字符1"/>
    <w:basedOn w:val="a0"/>
    <w:uiPriority w:val="99"/>
    <w:semiHidden/>
    <w:qFormat/>
    <w:rPr>
      <w:rFonts w:ascii="Calibri" w:eastAsia="宋体" w:hAnsi="Calibri" w:cs="Times New Roman"/>
      <w:sz w:val="18"/>
      <w:szCs w:val="18"/>
    </w:rPr>
  </w:style>
  <w:style w:type="paragraph" w:customStyle="1" w:styleId="18">
    <w:name w:val="列出段落1"/>
    <w:basedOn w:val="a"/>
    <w:uiPriority w:val="99"/>
    <w:qFormat/>
    <w:pPr>
      <w:ind w:firstLineChars="200" w:firstLine="420"/>
    </w:pPr>
    <w:rPr>
      <w:rFonts w:ascii="Calibri" w:eastAsia="宋体" w:hAnsi="Calibri" w:cs="Times New Roman"/>
      <w:szCs w:val="24"/>
    </w:rPr>
  </w:style>
  <w:style w:type="paragraph" w:customStyle="1" w:styleId="19">
    <w:name w:val="无间隔1"/>
    <w:uiPriority w:val="1"/>
    <w:qFormat/>
    <w:pPr>
      <w:widowControl w:val="0"/>
      <w:jc w:val="both"/>
    </w:pPr>
    <w:rPr>
      <w:rFonts w:ascii="Calibri" w:eastAsia="宋体" w:hAnsi="Calibri" w:cs="Times New Roman"/>
      <w:kern w:val="2"/>
      <w:sz w:val="21"/>
      <w:szCs w:val="24"/>
    </w:rPr>
  </w:style>
  <w:style w:type="paragraph" w:customStyle="1" w:styleId="110">
    <w:name w:val="列出段落11"/>
    <w:basedOn w:val="a"/>
    <w:uiPriority w:val="34"/>
    <w:qFormat/>
    <w:pPr>
      <w:ind w:firstLineChars="200" w:firstLine="420"/>
    </w:pPr>
    <w:rPr>
      <w:rFonts w:ascii="Calibri" w:eastAsia="宋体" w:hAnsi="Calibri" w:cs="Times New Roman"/>
      <w:szCs w:val="24"/>
    </w:rPr>
  </w:style>
  <w:style w:type="table" w:customStyle="1" w:styleId="TableNormal">
    <w:name w:val="Table Normal"/>
    <w:qFormat/>
    <w:rPr>
      <w:rFonts w:ascii="Times New Roman" w:eastAsia="等线" w:hAnsi="Times New Roman" w:cs="Times New Roman"/>
    </w:rPr>
    <w:tblPr>
      <w:tblCellMar>
        <w:top w:w="0" w:type="dxa"/>
        <w:left w:w="0" w:type="dxa"/>
        <w:bottom w:w="0" w:type="dxa"/>
        <w:right w:w="0" w:type="dxa"/>
      </w:tblCellMar>
    </w:tblPr>
  </w:style>
  <w:style w:type="character" w:customStyle="1" w:styleId="aff3">
    <w:name w:val="无"/>
    <w:qFormat/>
  </w:style>
  <w:style w:type="table" w:customStyle="1" w:styleId="TableNormal1">
    <w:name w:val="Table Normal1"/>
    <w:qFormat/>
    <w:rPr>
      <w:rFonts w:ascii="Times New Roman" w:hAnsi="Times New Roman" w:cs="Times New Roman"/>
    </w:rPr>
    <w:tblPr>
      <w:tblCellMar>
        <w:top w:w="0" w:type="dxa"/>
        <w:left w:w="0" w:type="dxa"/>
        <w:bottom w:w="0" w:type="dxa"/>
        <w:right w:w="0" w:type="dxa"/>
      </w:tblCellMar>
    </w:tblPr>
  </w:style>
  <w:style w:type="character" w:customStyle="1" w:styleId="Hyperlink1">
    <w:name w:val="Hyperlink.1"/>
    <w:basedOn w:val="aff3"/>
    <w:qFormat/>
    <w:rPr>
      <w:rFonts w:ascii="宋体" w:eastAsia="宋体" w:hAnsi="宋体" w:cs="宋体"/>
      <w:color w:val="000000"/>
      <w:u w:color="000000"/>
      <w:lang w:val="zh-TW" w:eastAsia="zh-TW"/>
    </w:rPr>
  </w:style>
  <w:style w:type="character" w:customStyle="1" w:styleId="Char">
    <w:name w:val="纯文本 Char"/>
    <w:uiPriority w:val="99"/>
    <w:qFormat/>
    <w:rPr>
      <w:rFonts w:ascii="宋体" w:eastAsia="宋体" w:hAnsi="Courier New" w:cs="Courier New"/>
      <w:szCs w:val="21"/>
    </w:rPr>
  </w:style>
  <w:style w:type="character" w:customStyle="1" w:styleId="Char1">
    <w:name w:val="纯文本 Char1"/>
    <w:qFormat/>
    <w:rPr>
      <w:rFonts w:ascii="宋体" w:eastAsia="宋体" w:hAnsi="Courier New" w:cs="Courier New"/>
      <w:szCs w:val="21"/>
    </w:rPr>
  </w:style>
  <w:style w:type="paragraph" w:customStyle="1" w:styleId="Other1">
    <w:name w:val="Other|1"/>
    <w:basedOn w:val="a"/>
    <w:qFormat/>
    <w:pPr>
      <w:spacing w:line="293" w:lineRule="exact"/>
    </w:pPr>
    <w:rPr>
      <w:rFonts w:ascii="宋体" w:eastAsia="宋体" w:hAnsi="宋体" w:cs="宋体"/>
      <w:color w:val="2C1B1C"/>
      <w:sz w:val="19"/>
      <w:szCs w:val="19"/>
      <w:lang w:val="zh-TW" w:eastAsia="zh-TW" w:bidi="zh-TW"/>
    </w:rPr>
  </w:style>
  <w:style w:type="paragraph" w:customStyle="1" w:styleId="-11">
    <w:name w:val="彩色列表 - 着色 11"/>
    <w:basedOn w:val="a"/>
    <w:uiPriority w:val="34"/>
    <w:unhideWhenUsed/>
    <w:qFormat/>
    <w:pPr>
      <w:ind w:firstLineChars="200" w:firstLine="420"/>
    </w:pPr>
    <w:rPr>
      <w:rFonts w:ascii="Calibri" w:eastAsia="宋体" w:hAnsi="Calibri" w:cs="Times New Roman"/>
      <w:szCs w:val="24"/>
    </w:rPr>
  </w:style>
  <w:style w:type="character" w:customStyle="1" w:styleId="a8">
    <w:name w:val="正文文本 字符"/>
    <w:basedOn w:val="a0"/>
    <w:link w:val="a7"/>
    <w:uiPriority w:val="1"/>
    <w:qFormat/>
    <w:rPr>
      <w:rFonts w:ascii="宋体" w:eastAsia="宋体" w:hAnsi="宋体" w:cs="宋体"/>
      <w:kern w:val="0"/>
      <w:szCs w:val="21"/>
      <w:lang w:val="zh-CN" w:bidi="zh-CN"/>
    </w:rPr>
  </w:style>
  <w:style w:type="character" w:customStyle="1" w:styleId="ac">
    <w:name w:val="尾注文本 字符"/>
    <w:basedOn w:val="a0"/>
    <w:link w:val="ab"/>
    <w:uiPriority w:val="99"/>
    <w:qFormat/>
  </w:style>
  <w:style w:type="character" w:customStyle="1" w:styleId="HTML0">
    <w:name w:val="HTML 预设格式 字符"/>
    <w:basedOn w:val="a0"/>
    <w:link w:val="HTML"/>
    <w:uiPriority w:val="99"/>
    <w:qFormat/>
    <w:rPr>
      <w:rFonts w:ascii="宋体" w:eastAsia="宋体" w:hAnsi="宋体" w:cs="宋体"/>
      <w:kern w:val="0"/>
      <w:sz w:val="24"/>
      <w:szCs w:val="24"/>
    </w:rPr>
  </w:style>
  <w:style w:type="character" w:customStyle="1" w:styleId="1Char">
    <w:name w:val="标题 1 Char"/>
    <w:basedOn w:val="a0"/>
    <w:uiPriority w:val="9"/>
    <w:qFormat/>
    <w:rPr>
      <w:b/>
      <w:bCs/>
      <w:kern w:val="44"/>
      <w:sz w:val="44"/>
      <w:szCs w:val="44"/>
    </w:r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3Char">
    <w:name w:val="标题 3 Char"/>
    <w:basedOn w:val="a0"/>
    <w:uiPriority w:val="9"/>
    <w:semiHidden/>
    <w:qFormat/>
    <w:rPr>
      <w:b/>
      <w:bCs/>
      <w:sz w:val="32"/>
      <w:szCs w:val="32"/>
    </w:rPr>
  </w:style>
  <w:style w:type="character" w:customStyle="1" w:styleId="description">
    <w:name w:val="description"/>
    <w:basedOn w:val="a0"/>
    <w:qFormat/>
  </w:style>
  <w:style w:type="character" w:customStyle="1" w:styleId="Char0">
    <w:name w:val="页眉 Char"/>
    <w:basedOn w:val="a0"/>
    <w:link w:val="1a"/>
    <w:uiPriority w:val="99"/>
    <w:qFormat/>
    <w:rPr>
      <w:sz w:val="18"/>
      <w:szCs w:val="18"/>
    </w:rPr>
  </w:style>
  <w:style w:type="paragraph" w:customStyle="1" w:styleId="1a">
    <w:name w:val="页眉1"/>
    <w:basedOn w:val="a"/>
    <w:next w:val="af1"/>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脚 Char"/>
    <w:basedOn w:val="a0"/>
    <w:link w:val="1b"/>
    <w:uiPriority w:val="99"/>
    <w:qFormat/>
    <w:rPr>
      <w:sz w:val="18"/>
      <w:szCs w:val="18"/>
    </w:rPr>
  </w:style>
  <w:style w:type="paragraph" w:customStyle="1" w:styleId="1b">
    <w:name w:val="页脚1"/>
    <w:basedOn w:val="a"/>
    <w:next w:val="af"/>
    <w:link w:val="Char2"/>
    <w:uiPriority w:val="99"/>
    <w:unhideWhenUsed/>
    <w:qFormat/>
    <w:pPr>
      <w:tabs>
        <w:tab w:val="center" w:pos="4153"/>
        <w:tab w:val="right" w:pos="8306"/>
      </w:tabs>
      <w:snapToGrid w:val="0"/>
      <w:jc w:val="left"/>
    </w:pPr>
    <w:rPr>
      <w:sz w:val="18"/>
      <w:szCs w:val="18"/>
    </w:rPr>
  </w:style>
  <w:style w:type="character" w:customStyle="1" w:styleId="Char3">
    <w:name w:val="文档结构图 Char"/>
    <w:basedOn w:val="a0"/>
    <w:uiPriority w:val="99"/>
    <w:semiHidden/>
    <w:qFormat/>
    <w:rPr>
      <w:rFonts w:ascii="宋体" w:eastAsia="宋体"/>
      <w:sz w:val="18"/>
      <w:szCs w:val="18"/>
    </w:rPr>
  </w:style>
  <w:style w:type="character" w:customStyle="1" w:styleId="Char4">
    <w:name w:val="脚注文本 Char"/>
    <w:basedOn w:val="a0"/>
    <w:uiPriority w:val="99"/>
    <w:semiHidden/>
    <w:qFormat/>
    <w:rPr>
      <w:sz w:val="18"/>
      <w:szCs w:val="18"/>
    </w:rPr>
  </w:style>
  <w:style w:type="character" w:customStyle="1" w:styleId="apple-converted-space">
    <w:name w:val="apple-converted-space"/>
    <w:basedOn w:val="a0"/>
    <w:qFormat/>
  </w:style>
  <w:style w:type="paragraph" w:customStyle="1" w:styleId="21">
    <w:name w:val="列出段落2"/>
    <w:basedOn w:val="a"/>
    <w:uiPriority w:val="99"/>
    <w:qFormat/>
    <w:pPr>
      <w:ind w:firstLineChars="200" w:firstLine="420"/>
    </w:pPr>
    <w:rPr>
      <w:rFonts w:ascii="Calibri" w:eastAsia="宋体" w:hAnsi="Calibri" w:cs="宋体"/>
    </w:rPr>
  </w:style>
  <w:style w:type="paragraph" w:customStyle="1" w:styleId="TableParagraph">
    <w:name w:val="Table Paragraph"/>
    <w:basedOn w:val="a"/>
    <w:uiPriority w:val="1"/>
    <w:qFormat/>
    <w:pPr>
      <w:autoSpaceDE w:val="0"/>
      <w:autoSpaceDN w:val="0"/>
      <w:ind w:left="113"/>
      <w:jc w:val="left"/>
    </w:pPr>
    <w:rPr>
      <w:rFonts w:ascii="宋体" w:eastAsia="宋体" w:hAnsi="宋体" w:cs="宋体"/>
      <w:kern w:val="0"/>
      <w:sz w:val="22"/>
      <w:lang w:val="zh-CN" w:bidi="zh-CN"/>
    </w:rPr>
  </w:style>
  <w:style w:type="character" w:customStyle="1" w:styleId="Bodytext1">
    <w:name w:val="Body text|1_"/>
    <w:link w:val="Bodytext10"/>
    <w:qFormat/>
    <w:rPr>
      <w:rFonts w:ascii="宋体" w:hAnsi="宋体" w:cs="宋体"/>
      <w:color w:val="2E2E2D"/>
      <w:sz w:val="18"/>
      <w:szCs w:val="18"/>
      <w:lang w:val="zh-TW" w:eastAsia="zh-TW" w:bidi="zh-TW"/>
    </w:rPr>
  </w:style>
  <w:style w:type="paragraph" w:customStyle="1" w:styleId="Bodytext10">
    <w:name w:val="Body text|1"/>
    <w:basedOn w:val="a"/>
    <w:link w:val="Bodytext1"/>
    <w:qFormat/>
    <w:pPr>
      <w:spacing w:line="360" w:lineRule="auto"/>
      <w:ind w:firstLine="400"/>
      <w:jc w:val="left"/>
    </w:pPr>
    <w:rPr>
      <w:rFonts w:ascii="宋体" w:hAnsi="宋体" w:cs="宋体"/>
      <w:color w:val="2E2E2D"/>
      <w:sz w:val="18"/>
      <w:szCs w:val="18"/>
      <w:lang w:val="zh-TW" w:eastAsia="zh-TW" w:bidi="zh-TW"/>
    </w:rPr>
  </w:style>
  <w:style w:type="character" w:customStyle="1" w:styleId="1c">
    <w:name w:val="正文文本 字符1"/>
    <w:basedOn w:val="a0"/>
    <w:uiPriority w:val="99"/>
    <w:semiHidden/>
    <w:qFormat/>
    <w:rPr>
      <w:kern w:val="2"/>
      <w:sz w:val="21"/>
      <w:szCs w:val="22"/>
    </w:rPr>
  </w:style>
  <w:style w:type="paragraph" w:customStyle="1" w:styleId="1d">
    <w:name w:val="彩色列表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hina.findlaw.cn/bianhu/xsssfzs/gongs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BD48E-A91D-49D2-9B11-38B8ADF2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18</Pages>
  <Words>13875</Words>
  <Characters>14153</Characters>
  <Application>Microsoft Office Word</Application>
  <DocSecurity>0</DocSecurity>
  <Lines>524</Lines>
  <Paragraphs>528</Paragraphs>
  <ScaleCrop>false</ScaleCrop>
  <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文琦</dc:creator>
  <cp:lastModifiedBy>文琦 刘</cp:lastModifiedBy>
  <cp:revision>323</cp:revision>
  <dcterms:created xsi:type="dcterms:W3CDTF">2023-06-01T10:50:00Z</dcterms:created>
  <dcterms:modified xsi:type="dcterms:W3CDTF">2025-07-05T05:44:00Z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16FF2C0840F7441D806A3C1F43BF12A1_12</vt:lpwstr>
  </property>
</Properties>
</file>