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0FA37">
      <w:pPr>
        <w:pStyle w:val="2"/>
        <w:spacing w:line="276" w:lineRule="auto"/>
        <w:rPr>
          <w:rFonts w:hint="eastAsia" w:eastAsia="宋体"/>
          <w:color w:val="auto"/>
          <w:sz w:val="36"/>
          <w:szCs w:val="36"/>
          <w:lang w:val="en-US" w:eastAsia="zh-CN"/>
        </w:rPr>
      </w:pPr>
      <w:bookmarkStart w:id="0" w:name="_Toc4856988"/>
      <w:bookmarkStart w:id="1" w:name="_Toc11480"/>
      <w:bookmarkStart w:id="2" w:name="_Toc33346103"/>
      <w:r>
        <w:rPr>
          <w:rFonts w:hint="eastAsia"/>
          <w:color w:val="auto"/>
          <w:sz w:val="36"/>
          <w:szCs w:val="36"/>
          <w:lang w:val="en-US" w:eastAsia="zh-CN"/>
        </w:rPr>
        <w:t>专题3</w:t>
      </w:r>
      <w:r>
        <w:rPr>
          <w:rFonts w:hint="eastAsia"/>
          <w:color w:val="auto"/>
          <w:sz w:val="36"/>
          <w:szCs w:val="36"/>
        </w:rPr>
        <w:t xml:space="preserve">  物权</w:t>
      </w:r>
      <w:bookmarkEnd w:id="0"/>
      <w:bookmarkEnd w:id="1"/>
      <w:bookmarkEnd w:id="2"/>
      <w:r>
        <w:rPr>
          <w:rFonts w:hint="eastAsia"/>
          <w:color w:val="auto"/>
          <w:sz w:val="36"/>
          <w:szCs w:val="36"/>
          <w:lang w:val="en-US" w:eastAsia="zh-CN"/>
        </w:rPr>
        <w:t>变动</w:t>
      </w:r>
    </w:p>
    <w:p w14:paraId="17931492">
      <w:pPr>
        <w:snapToGrid w:val="0"/>
        <w:spacing w:line="276" w:lineRule="auto"/>
        <w:jc w:val="left"/>
        <w:outlineLvl w:val="1"/>
        <w:rPr>
          <w:rFonts w:ascii="宋体" w:hAnsi="宋体"/>
          <w:b/>
          <w:szCs w:val="21"/>
        </w:rPr>
      </w:pPr>
      <w:r>
        <w:rPr>
          <w:rFonts w:hint="eastAsia" w:ascii="宋体" w:hAnsi="宋体"/>
          <w:b/>
          <w:szCs w:val="21"/>
        </w:rPr>
        <w:t xml:space="preserve">    一、物权变动</w:t>
      </w:r>
      <w:r>
        <w:rPr>
          <w:rFonts w:ascii="宋体" w:hAnsi="宋体"/>
          <w:b/>
          <w:szCs w:val="21"/>
        </w:rPr>
        <w:t>区分原则</w:t>
      </w:r>
    </w:p>
    <w:p w14:paraId="37982F64">
      <w:pPr>
        <w:snapToGrid w:val="0"/>
        <w:spacing w:line="276" w:lineRule="auto"/>
        <w:outlineLvl w:val="2"/>
        <w:rPr>
          <w:b/>
        </w:rPr>
      </w:pPr>
      <w:r>
        <w:rPr>
          <w:rFonts w:hint="eastAsia"/>
          <w:b/>
        </w:rPr>
        <w:t xml:space="preserve">    （一）区分原则</w:t>
      </w:r>
      <w:r>
        <w:rPr>
          <w:b/>
        </w:rPr>
        <w:t>的</w:t>
      </w:r>
      <w:r>
        <w:rPr>
          <w:rFonts w:hint="eastAsia"/>
          <w:b/>
        </w:rPr>
        <w:t>含义</w:t>
      </w:r>
    </w:p>
    <w:p w14:paraId="79B42787">
      <w:pPr>
        <w:spacing w:line="276" w:lineRule="auto"/>
        <w:ind w:firstLine="482"/>
        <w:rPr>
          <w:rFonts w:hint="default" w:eastAsia="宋体"/>
          <w:szCs w:val="21"/>
          <w:lang w:val="en-US" w:eastAsia="zh-CN"/>
        </w:rPr>
      </w:pPr>
      <w:r>
        <w:rPr>
          <w:rFonts w:hint="eastAsia"/>
          <w:szCs w:val="21"/>
        </w:rPr>
        <w:t>在物债二分的情况下，</w:t>
      </w:r>
      <w:r>
        <w:rPr>
          <w:rFonts w:hint="eastAsia"/>
          <w:szCs w:val="21"/>
          <w:u w:val="single"/>
        </w:rPr>
        <w:t>物权变动的要件并非债权发生的要件</w:t>
      </w:r>
      <w:r>
        <w:rPr>
          <w:rFonts w:hint="eastAsia"/>
          <w:szCs w:val="21"/>
          <w:u w:val="single"/>
          <w:lang w:eastAsia="zh-CN"/>
        </w:rPr>
        <w:t>，</w:t>
      </w:r>
      <w:r>
        <w:rPr>
          <w:rFonts w:hint="eastAsia"/>
          <w:szCs w:val="21"/>
          <w:u w:val="single"/>
          <w:lang w:val="en-US" w:eastAsia="zh-CN"/>
        </w:rPr>
        <w:t>合同成立原则即生效</w:t>
      </w:r>
    </w:p>
    <w:p w14:paraId="649EEFBC">
      <w:pPr>
        <w:spacing w:line="276" w:lineRule="auto"/>
        <w:ind w:firstLine="482"/>
        <w:rPr>
          <w:rFonts w:hint="default" w:eastAsia="宋体"/>
          <w:color w:val="FF0000"/>
          <w:szCs w:val="21"/>
          <w:lang w:val="en-US" w:eastAsia="zh-CN"/>
        </w:rPr>
      </w:pPr>
      <w:r>
        <w:rPr>
          <w:rFonts w:hint="eastAsia"/>
          <w:szCs w:val="21"/>
          <w:u w:val="single"/>
          <w:lang w:val="en-US" w:eastAsia="zh-CN"/>
        </w:rPr>
        <w:t>基于法律行为</w:t>
      </w:r>
      <w:r>
        <w:rPr>
          <w:rFonts w:hint="eastAsia"/>
          <w:szCs w:val="21"/>
          <w:u w:val="single"/>
        </w:rPr>
        <w:t>物权变动</w:t>
      </w:r>
      <w:r>
        <w:rPr>
          <w:rFonts w:hint="eastAsia"/>
          <w:szCs w:val="21"/>
          <w:u w:val="single"/>
          <w:lang w:val="en-US" w:eastAsia="zh-CN"/>
        </w:rPr>
        <w:t>原则上</w:t>
      </w:r>
      <w:r>
        <w:rPr>
          <w:rFonts w:hint="eastAsia"/>
          <w:szCs w:val="21"/>
          <w:u w:val="single"/>
        </w:rPr>
        <w:t>需要以下三个要件</w:t>
      </w:r>
      <w:r>
        <w:rPr>
          <w:rFonts w:hint="eastAsia"/>
          <w:szCs w:val="21"/>
        </w:rPr>
        <w:t>同时具备：</w:t>
      </w:r>
      <w:r>
        <w:rPr>
          <w:rFonts w:hint="eastAsia"/>
          <w:color w:val="FF0000"/>
          <w:szCs w:val="21"/>
          <w:u w:val="single"/>
        </w:rPr>
        <w:t>有效的</w:t>
      </w:r>
      <w:r>
        <w:rPr>
          <w:rFonts w:hint="eastAsia"/>
          <w:color w:val="FF0000"/>
          <w:szCs w:val="21"/>
          <w:u w:val="single"/>
          <w:lang w:val="en-US" w:eastAsia="zh-CN"/>
        </w:rPr>
        <w:t>债权</w:t>
      </w:r>
      <w:r>
        <w:rPr>
          <w:rFonts w:hint="eastAsia"/>
          <w:color w:val="FF0000"/>
          <w:szCs w:val="21"/>
          <w:u w:val="single"/>
        </w:rPr>
        <w:t>合同；享有处分权；</w:t>
      </w:r>
      <w:r>
        <w:rPr>
          <w:rFonts w:hint="eastAsia"/>
          <w:color w:val="FF0000"/>
          <w:szCs w:val="21"/>
          <w:u w:val="single"/>
          <w:lang w:val="en-US" w:eastAsia="zh-CN"/>
        </w:rPr>
        <w:t>不动产登记或动产交付</w:t>
      </w:r>
    </w:p>
    <w:p w14:paraId="56964014">
      <w:pPr>
        <w:spacing w:line="384" w:lineRule="exact"/>
        <w:ind w:left="210" w:leftChars="100" w:right="210" w:rightChars="100" w:firstLine="420" w:firstLineChars="200"/>
        <w:rPr>
          <w:rFonts w:hint="eastAsia" w:ascii="汉仪书宋二简" w:eastAsia="汉仪书宋二简" w:hAnsiTheme="minorEastAsia" w:cstheme="minorEastAsia"/>
          <w:kern w:val="0"/>
        </w:rPr>
      </w:pPr>
      <w:r>
        <w:rPr>
          <w:rFonts w:hint="eastAsia" w:ascii="汉仪书宋二简" w:eastAsia="汉仪书宋二简" w:hAnsiTheme="minorEastAsia" w:cstheme="minorEastAsia"/>
          <w:kern w:val="0"/>
        </w:rPr>
        <w:t>解题时考生需要重点审查：（1）相关合同是否旨在变动物权的负担行为（买卖合同、不动产抵押合同、动产质押合同等）；（2）是否已经交付或登记；（3）是否存在其他效力瑕疵事由。</w:t>
      </w:r>
    </w:p>
    <w:p w14:paraId="4202866D">
      <w:pPr>
        <w:spacing w:line="384" w:lineRule="exact"/>
        <w:ind w:left="210" w:leftChars="100" w:right="210" w:rightChars="100" w:firstLine="420" w:firstLineChars="200"/>
        <w:rPr>
          <w:rFonts w:hint="eastAsia" w:ascii="汉仪书宋二简" w:eastAsia="汉仪书宋二简" w:hAnsiTheme="minorEastAsia" w:cstheme="minorEastAsia"/>
          <w:kern w:val="0"/>
        </w:rPr>
      </w:pPr>
      <w:r>
        <w:rPr>
          <w:rFonts w:hint="eastAsia" w:ascii="汉仪书宋二简" w:eastAsia="汉仪书宋二简" w:hAnsiTheme="minorEastAsia" w:cstheme="minorEastAsia"/>
          <w:kern w:val="0"/>
        </w:rPr>
        <w:t>说理表达时的采分点：（1）阐明原理：依据物权变动的区分原则，当事人旨在变动物权的债权合同（负担行为），其效力不受是否交付或登记的影响；（2）本题中未交付或登记的事实不影响某合同的效力；（3）该合同不存在其他效力瑕疵事由。在此基础上得出合同有效的结论。</w:t>
      </w:r>
    </w:p>
    <w:p w14:paraId="2D612646">
      <w:pPr>
        <w:snapToGrid w:val="0"/>
        <w:spacing w:line="276" w:lineRule="auto"/>
        <w:ind w:firstLine="480"/>
        <w:rPr>
          <w:szCs w:val="21"/>
        </w:rPr>
      </w:pPr>
    </w:p>
    <w:p w14:paraId="1D6D697A">
      <w:pPr>
        <w:numPr>
          <w:ilvl w:val="0"/>
          <w:numId w:val="1"/>
        </w:numPr>
        <w:spacing w:line="276" w:lineRule="auto"/>
        <w:ind w:firstLine="421"/>
        <w:rPr>
          <w:rFonts w:hint="eastAsia" w:ascii="宋体" w:hAnsi="宋体"/>
          <w:b/>
          <w:szCs w:val="28"/>
          <w:lang w:val="en-US" w:eastAsia="zh-CN"/>
        </w:rPr>
      </w:pPr>
      <w:r>
        <w:rPr>
          <w:rFonts w:hint="eastAsia" w:ascii="宋体" w:hAnsi="宋体"/>
          <w:b/>
          <w:szCs w:val="28"/>
          <w:lang w:val="en-US" w:eastAsia="zh-CN"/>
        </w:rPr>
        <w:t>基于民事法律行为的物权变动</w:t>
      </w:r>
    </w:p>
    <w:p w14:paraId="4BDE9051">
      <w:pPr>
        <w:spacing w:line="384" w:lineRule="exact"/>
        <w:ind w:firstLine="420" w:firstLineChars="200"/>
        <w:rPr>
          <w:rFonts w:hint="eastAsia" w:ascii="汉仪书宋二简" w:eastAsia="汉仪书宋二简"/>
          <w:bCs/>
        </w:rPr>
      </w:pPr>
      <w:r>
        <w:rPr>
          <w:rFonts w:hint="eastAsia" w:ascii="汉仪书宋二简" w:eastAsia="汉仪书宋二简"/>
          <w:bCs/>
        </w:rPr>
        <w:t>物权变动需要区分为两大类：基于民事法律行为的物权变动与非基于民事法律行为的物权变动。二者最大的差异在于：基于民事法律行为的物权变动因为涉及交易安全的保护问题，因此需要公示（不动产登记与动产交付）；非基于民事法律行为的物权变动（如基于法律文书、继承、建造拆除等事实行为），因为不存在交易安全的保护问题，</w:t>
      </w:r>
      <w:r>
        <w:rPr>
          <w:rFonts w:hint="eastAsia" w:ascii="汉仪书宋二简" w:eastAsia="汉仪书宋二简"/>
          <w:bCs/>
          <w:color w:val="0000FF"/>
        </w:rPr>
        <w:t>因此不需要公示，物权变动的时点往往不是登记时或交付时。</w:t>
      </w:r>
      <w:r>
        <w:rPr>
          <w:rFonts w:hint="eastAsia" w:ascii="汉仪书宋二简" w:eastAsia="汉仪书宋二简"/>
          <w:bCs/>
        </w:rPr>
        <w:t>相比而言，基于民事法律行为的物权变动需要奉行公示原则。</w:t>
      </w:r>
    </w:p>
    <w:p w14:paraId="34534925">
      <w:pPr>
        <w:spacing w:line="384" w:lineRule="exact"/>
        <w:ind w:firstLine="420" w:firstLineChars="200"/>
        <w:rPr>
          <w:rFonts w:hint="eastAsia" w:ascii="汉仪书宋二简" w:eastAsia="汉仪书宋二简"/>
          <w:bCs/>
        </w:rPr>
      </w:pPr>
      <w:r>
        <w:rPr>
          <w:rFonts w:hint="eastAsia" w:ascii="汉仪书宋二简" w:eastAsia="汉仪书宋二简"/>
          <w:bCs/>
        </w:rPr>
        <w:t>因动产与不动产存在性质差异，其物权变动的公示方式也有所不同，</w:t>
      </w:r>
      <w:r>
        <w:rPr>
          <w:rFonts w:hint="eastAsia" w:ascii="汉仪书宋二简" w:eastAsia="汉仪书宋二简"/>
          <w:bCs/>
          <w:color w:val="0000FF"/>
        </w:rPr>
        <w:t>不动产物权变动以登记为主要的公示方式，而动产物权变动则主要以交付为公示方式（动产所有权、动产质权）</w:t>
      </w:r>
      <w:r>
        <w:rPr>
          <w:rFonts w:hint="eastAsia" w:ascii="汉仪书宋二简" w:eastAsia="汉仪书宋二简"/>
          <w:bCs/>
        </w:rPr>
        <w:t>，但也有例外，如动产抵押权的公示方式不是交付，而是登记。</w:t>
      </w:r>
    </w:p>
    <w:p w14:paraId="7A29E27C">
      <w:pPr>
        <w:spacing w:line="384" w:lineRule="exact"/>
        <w:ind w:firstLine="420" w:firstLineChars="200"/>
        <w:rPr>
          <w:rFonts w:hint="eastAsia" w:ascii="汉仪书宋二简" w:eastAsia="汉仪书宋二简"/>
          <w:bCs/>
        </w:rPr>
      </w:pPr>
      <w:r>
        <w:rPr>
          <w:rFonts w:hint="eastAsia" w:ascii="汉仪书宋二简" w:eastAsia="汉仪书宋二简"/>
          <w:bCs/>
        </w:rPr>
        <w:t>基于民事法律行为的物权变动，原则上公示属于物权变动的生效要件，如不动产物权变动原则上自登记时生效（民法典209），动产物权原则上自交付时生效（民法典224），不过在一些特殊情形下，公示作为对抗要件，即所谓的登记对抗主义，从主观题备考的角度，考生需要掌握以下情形：</w:t>
      </w:r>
    </w:p>
    <w:p w14:paraId="33E2AB47">
      <w:pPr>
        <w:spacing w:line="384" w:lineRule="exact"/>
        <w:ind w:firstLine="420" w:firstLineChars="200"/>
        <w:rPr>
          <w:rFonts w:hint="eastAsia" w:ascii="汉仪书宋二简" w:eastAsia="汉仪书宋二简"/>
          <w:bCs/>
        </w:rPr>
      </w:pPr>
      <w:r>
        <w:rPr>
          <w:rFonts w:hint="eastAsia" w:ascii="汉仪书宋二简" w:eastAsia="汉仪书宋二简"/>
          <w:bCs/>
        </w:rPr>
        <w:t>1．动产抵押权自抵押合同生效时成立，未登记不得对抗善意第三人（民法典403）。</w:t>
      </w:r>
    </w:p>
    <w:p w14:paraId="19D1A2EE">
      <w:pPr>
        <w:spacing w:line="384" w:lineRule="exact"/>
        <w:ind w:firstLine="420" w:firstLineChars="200"/>
        <w:rPr>
          <w:rFonts w:hint="eastAsia" w:ascii="汉仪书宋二简" w:eastAsia="汉仪书宋二简"/>
          <w:bCs/>
        </w:rPr>
      </w:pPr>
      <w:r>
        <w:rPr>
          <w:rFonts w:hint="eastAsia" w:ascii="汉仪书宋二简" w:eastAsia="汉仪书宋二简"/>
          <w:bCs/>
        </w:rPr>
        <w:t>2．所有权保留买卖中出卖人保留的所有权，未登记不得对抗善意第三人（民法典641）。</w:t>
      </w:r>
    </w:p>
    <w:p w14:paraId="1A6439AA">
      <w:pPr>
        <w:spacing w:line="384" w:lineRule="exact"/>
        <w:ind w:firstLine="420" w:firstLineChars="200"/>
        <w:rPr>
          <w:rFonts w:hint="eastAsia" w:ascii="汉仪书宋二简" w:eastAsia="汉仪书宋二简"/>
          <w:bCs/>
        </w:rPr>
      </w:pPr>
    </w:p>
    <w:p w14:paraId="1204E0E3">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（二）几种特殊的不动产登记</w:t>
      </w:r>
    </w:p>
    <w:p w14:paraId="6AA04521">
      <w:pPr>
        <w:spacing w:line="276" w:lineRule="auto"/>
        <w:ind w:firstLine="480"/>
        <w:rPr>
          <w:b/>
          <w:szCs w:val="21"/>
        </w:rPr>
      </w:pPr>
      <w:r>
        <w:rPr>
          <w:rFonts w:hint="eastAsia"/>
          <w:b/>
          <w:szCs w:val="21"/>
        </w:rPr>
        <w:t xml:space="preserve">更正登记  </w:t>
      </w:r>
    </w:p>
    <w:p w14:paraId="3EA0A422">
      <w:pPr>
        <w:spacing w:line="276" w:lineRule="auto"/>
        <w:ind w:firstLine="480"/>
        <w:rPr>
          <w:rFonts w:hint="eastAsia" w:ascii="宋体" w:hAnsi="宋体" w:cs="宋体"/>
          <w:szCs w:val="21"/>
        </w:rPr>
      </w:pPr>
      <w:r>
        <w:rPr>
          <w:rFonts w:hint="eastAsia" w:ascii="宋体" w:hAnsi="宋体" w:cs="宋体"/>
          <w:szCs w:val="21"/>
        </w:rPr>
        <w:t>（1）权利人发现登记簿记载错误</w:t>
      </w:r>
      <w:r>
        <w:rPr>
          <w:rFonts w:hint="eastAsia" w:ascii="宋体" w:hAnsi="宋体" w:cs="宋体"/>
          <w:color w:val="FF0000"/>
          <w:szCs w:val="21"/>
          <w:lang w:eastAsia="zh-CN"/>
        </w:rPr>
        <w:t>（</w:t>
      </w:r>
      <w:r>
        <w:rPr>
          <w:rFonts w:hint="eastAsia" w:ascii="宋体" w:hAnsi="宋体" w:cs="宋体"/>
          <w:color w:val="FF0000"/>
          <w:szCs w:val="21"/>
          <w:lang w:val="en-US" w:eastAsia="zh-CN"/>
        </w:rPr>
        <w:t>内容错误如面积位置等，并非权利人错误</w:t>
      </w:r>
      <w:r>
        <w:rPr>
          <w:rFonts w:hint="eastAsia" w:ascii="宋体" w:hAnsi="宋体" w:cs="宋体"/>
          <w:color w:val="FF0000"/>
          <w:szCs w:val="21"/>
          <w:lang w:eastAsia="zh-CN"/>
        </w:rPr>
        <w:t>）</w:t>
      </w:r>
      <w:r>
        <w:rPr>
          <w:rFonts w:hint="eastAsia" w:ascii="宋体" w:hAnsi="宋体" w:cs="宋体"/>
          <w:szCs w:val="21"/>
        </w:rPr>
        <w:t>，并在申请更正登记时提供证据加以证实的，不动产登记机构应予以更正；</w:t>
      </w:r>
    </w:p>
    <w:p w14:paraId="07F801AC">
      <w:pPr>
        <w:spacing w:line="276" w:lineRule="auto"/>
        <w:ind w:firstLine="480"/>
        <w:rPr>
          <w:rFonts w:hint="default" w:ascii="宋体" w:hAnsi="宋体" w:eastAsia="宋体" w:cs="宋体"/>
          <w:color w:val="FF0000"/>
          <w:szCs w:val="21"/>
          <w:lang w:val="en-US" w:eastAsia="zh-CN"/>
        </w:rPr>
      </w:pPr>
      <w:r>
        <w:rPr>
          <w:rFonts w:hint="eastAsia" w:ascii="宋体" w:hAnsi="宋体" w:cs="宋体"/>
          <w:szCs w:val="21"/>
        </w:rPr>
        <w:t>（2）</w:t>
      </w:r>
      <w:r>
        <w:rPr>
          <w:rFonts w:hint="eastAsia" w:ascii="宋体" w:hAnsi="宋体" w:cs="宋体"/>
          <w:color w:val="FF0000"/>
          <w:szCs w:val="21"/>
        </w:rPr>
        <w:t>如系登记簿记载的权利人以外的利害关系提出更正登记</w:t>
      </w:r>
      <w:r>
        <w:rPr>
          <w:rFonts w:hint="eastAsia" w:ascii="宋体" w:hAnsi="宋体" w:cs="宋体"/>
          <w:szCs w:val="21"/>
        </w:rPr>
        <w:t>，则只有在不动产登记簿记载的权利人</w:t>
      </w:r>
      <w:r>
        <w:rPr>
          <w:rFonts w:hint="eastAsia" w:ascii="宋体" w:hAnsi="宋体" w:cs="宋体"/>
          <w:color w:val="FF0000"/>
          <w:szCs w:val="21"/>
        </w:rPr>
        <w:t>书面同意</w:t>
      </w:r>
      <w:r>
        <w:rPr>
          <w:rFonts w:hint="eastAsia" w:ascii="宋体" w:hAnsi="宋体" w:cs="宋体"/>
          <w:szCs w:val="21"/>
        </w:rPr>
        <w:t>之时，登记机构才能予以更正。</w:t>
      </w:r>
      <w:r>
        <w:rPr>
          <w:rFonts w:hint="eastAsia" w:ascii="宋体" w:hAnsi="宋体" w:cs="宋体"/>
          <w:szCs w:val="21"/>
          <w:lang w:val="en-US" w:eastAsia="zh-CN"/>
        </w:rPr>
        <w:t xml:space="preserve"> </w:t>
      </w:r>
      <w:r>
        <w:rPr>
          <w:rFonts w:hint="eastAsia" w:ascii="宋体" w:hAnsi="宋体" w:cs="宋体"/>
          <w:color w:val="FF0000"/>
          <w:szCs w:val="21"/>
          <w:lang w:val="en-US" w:eastAsia="zh-CN"/>
        </w:rPr>
        <w:t>不同意起诉确认物权</w:t>
      </w:r>
    </w:p>
    <w:p w14:paraId="501A1D48">
      <w:pPr>
        <w:spacing w:line="276" w:lineRule="auto"/>
        <w:ind w:firstLine="480"/>
        <w:rPr>
          <w:b/>
          <w:szCs w:val="21"/>
        </w:rPr>
      </w:pPr>
      <w:r>
        <w:rPr>
          <w:rFonts w:hint="eastAsia"/>
          <w:b/>
          <w:szCs w:val="21"/>
        </w:rPr>
        <w:t>异议登记</w:t>
      </w:r>
    </w:p>
    <w:p w14:paraId="3759488B">
      <w:pPr>
        <w:spacing w:line="276" w:lineRule="auto"/>
        <w:ind w:firstLine="480"/>
        <w:rPr>
          <w:rFonts w:hint="eastAsia" w:ascii="楷体" w:hAnsi="楷体" w:eastAsia="楷体"/>
          <w:color w:val="000000"/>
        </w:rPr>
      </w:pPr>
      <w:r>
        <w:rPr>
          <w:rFonts w:hint="eastAsia" w:ascii="楷体" w:hAnsi="楷体" w:eastAsia="楷体"/>
          <w:color w:val="000000"/>
        </w:rPr>
        <w:t>不动产登记簿记载的权利人不同意更正的，利害关系人可以申请异议登记。</w:t>
      </w:r>
    </w:p>
    <w:p w14:paraId="595E3B3A">
      <w:pPr>
        <w:spacing w:line="276" w:lineRule="auto"/>
        <w:ind w:firstLine="480"/>
        <w:rPr>
          <w:rFonts w:ascii="宋体" w:hAnsi="宋体"/>
          <w:szCs w:val="21"/>
        </w:rPr>
      </w:pPr>
      <w:r>
        <w:rPr>
          <w:rFonts w:hint="eastAsia"/>
          <w:color w:val="FF0000"/>
          <w:szCs w:val="21"/>
          <w:u w:val="single"/>
          <w:lang w:val="en-US" w:eastAsia="zh-CN"/>
        </w:rPr>
        <w:t>效力：</w:t>
      </w:r>
      <w:r>
        <w:rPr>
          <w:rFonts w:hint="eastAsia" w:ascii="宋体" w:hAnsi="宋体" w:cs="宋体"/>
          <w:color w:val="FF0000"/>
          <w:szCs w:val="21"/>
          <w:lang w:val="en-US" w:eastAsia="zh-CN"/>
        </w:rPr>
        <w:t>排除善意取得。</w:t>
      </w:r>
      <w:r>
        <w:rPr>
          <w:rFonts w:hint="eastAsia" w:ascii="宋体" w:hAnsi="宋体" w:cs="宋体"/>
          <w:szCs w:val="21"/>
        </w:rPr>
        <w:t>异议登记将使记载于登记簿上的物权失去公信力，从而使第三人无从主张根据登记的公信力善意取得不动产物权</w:t>
      </w:r>
      <w:r>
        <w:rPr>
          <w:rFonts w:hint="eastAsia" w:ascii="宋体" w:hAnsi="宋体"/>
          <w:szCs w:val="21"/>
        </w:rPr>
        <w:t>。</w:t>
      </w:r>
    </w:p>
    <w:p w14:paraId="1609C901">
      <w:pPr>
        <w:spacing w:line="276" w:lineRule="auto"/>
        <w:ind w:firstLine="480"/>
        <w:rPr>
          <w:rFonts w:hint="default" w:ascii="宋体" w:hAnsi="宋体" w:eastAsia="宋体"/>
          <w:color w:val="FF0000"/>
          <w:szCs w:val="21"/>
          <w:lang w:val="en-US" w:eastAsia="zh-CN"/>
        </w:rPr>
      </w:pPr>
      <w:r>
        <w:rPr>
          <w:rFonts w:hint="eastAsia" w:ascii="宋体" w:hAnsi="宋体"/>
          <w:szCs w:val="21"/>
        </w:rPr>
        <w:t>登记机构在进行异议登记之后，申请人应在异议登记之日起15日内向人民法院提起诉讼，要求确认自己在不动产上的物权。逾期不起诉的，异议登记失去效力。</w:t>
      </w:r>
      <w:r>
        <w:rPr>
          <w:rFonts w:hint="eastAsia" w:ascii="宋体" w:hAnsi="宋体"/>
          <w:color w:val="FF0000"/>
          <w:szCs w:val="21"/>
          <w:lang w:val="en-US" w:eastAsia="zh-CN"/>
        </w:rPr>
        <w:t>异议登记失效，不影响起诉确认物权</w:t>
      </w:r>
    </w:p>
    <w:p w14:paraId="7F556C81">
      <w:pPr>
        <w:spacing w:line="276" w:lineRule="auto"/>
        <w:ind w:firstLine="480"/>
        <w:rPr>
          <w:rFonts w:hint="eastAsia"/>
          <w:szCs w:val="21"/>
        </w:rPr>
      </w:pPr>
      <w:r>
        <w:rPr>
          <w:rFonts w:hint="eastAsia" w:ascii="宋体" w:hAnsi="宋体"/>
          <w:color w:val="FF0000"/>
          <w:szCs w:val="21"/>
          <w:lang w:val="en-US" w:eastAsia="zh-CN"/>
        </w:rPr>
        <w:t>异议登记不当的赔偿责任：</w:t>
      </w:r>
      <w:r>
        <w:rPr>
          <w:rFonts w:hint="eastAsia" w:ascii="宋体" w:hAnsi="宋体"/>
          <w:szCs w:val="21"/>
        </w:rPr>
        <w:t>如果异议申请人败诉，则申请人</w:t>
      </w:r>
      <w:r>
        <w:rPr>
          <w:rFonts w:hint="eastAsia"/>
          <w:szCs w:val="21"/>
        </w:rPr>
        <w:t>或登记簿记载的权利人可申请注销异议登记，权利人因此遭受损失的（如因异议登记丧失了交易机会），可以向异议申请人要求损害赔偿</w:t>
      </w:r>
    </w:p>
    <w:p w14:paraId="283AFDB6">
      <w:pPr>
        <w:spacing w:line="276" w:lineRule="auto"/>
        <w:ind w:firstLine="480"/>
        <w:rPr>
          <w:b/>
          <w:szCs w:val="21"/>
        </w:rPr>
      </w:pPr>
      <w:r>
        <w:rPr>
          <w:rFonts w:hint="eastAsia"/>
          <w:b/>
          <w:szCs w:val="21"/>
        </w:rPr>
        <w:t>预告登记</w:t>
      </w:r>
    </w:p>
    <w:p w14:paraId="52101FEC">
      <w:pPr>
        <w:spacing w:line="276" w:lineRule="auto"/>
        <w:ind w:firstLine="480"/>
        <w:rPr>
          <w:rFonts w:ascii="楷体" w:hAnsi="楷体" w:eastAsia="楷体"/>
          <w:szCs w:val="21"/>
        </w:rPr>
      </w:pPr>
      <w:r>
        <w:rPr>
          <w:rFonts w:hint="eastAsia" w:ascii="楷体" w:hAnsi="楷体" w:eastAsia="楷体"/>
          <w:b/>
          <w:bCs/>
          <w:szCs w:val="21"/>
        </w:rPr>
        <w:t>《民法典》第2</w:t>
      </w:r>
      <w:r>
        <w:rPr>
          <w:rFonts w:ascii="楷体" w:hAnsi="楷体" w:eastAsia="楷体"/>
          <w:b/>
          <w:bCs/>
          <w:szCs w:val="21"/>
        </w:rPr>
        <w:t>21</w:t>
      </w:r>
      <w:r>
        <w:rPr>
          <w:rFonts w:hint="eastAsia" w:ascii="楷体" w:hAnsi="楷体" w:eastAsia="楷体"/>
          <w:b/>
          <w:bCs/>
          <w:szCs w:val="21"/>
        </w:rPr>
        <w:t xml:space="preserve">条 </w:t>
      </w:r>
      <w:r>
        <w:rPr>
          <w:rFonts w:hint="eastAsia" w:ascii="楷体" w:hAnsi="楷体" w:eastAsia="楷体"/>
          <w:szCs w:val="21"/>
        </w:rPr>
        <w:t xml:space="preserve"> 当事人签订买卖房屋或者其他不动产物权的协议，为保障将来实现物权，按照约定可以向登记机构申请预告登记。预告登记后，未经预告登记的权利人同意，处分该不动产的，不发生物权效力。预告登记后，债权消灭或者自能够进行不动产登记之日起三个月内未申请登记的，预告登记失效。</w:t>
      </w:r>
    </w:p>
    <w:p w14:paraId="05DEAE50">
      <w:pPr>
        <w:spacing w:line="276" w:lineRule="auto"/>
        <w:ind w:firstLine="480"/>
        <w:rPr>
          <w:rFonts w:hint="eastAsia"/>
          <w:szCs w:val="21"/>
        </w:rPr>
      </w:pPr>
      <w:r>
        <w:rPr>
          <w:rFonts w:hint="eastAsia"/>
          <w:szCs w:val="21"/>
          <w:lang w:val="en-US" w:eastAsia="zh-CN"/>
        </w:rPr>
        <w:t>预告登记效果</w:t>
      </w:r>
      <w:r>
        <w:rPr>
          <w:rFonts w:hint="eastAsia"/>
          <w:color w:val="FF0000"/>
          <w:szCs w:val="21"/>
          <w:lang w:val="en-US" w:eastAsia="zh-CN"/>
        </w:rPr>
        <w:t>：未经预告登记的权利人同意，处分该不动产的，不发生物权效力</w:t>
      </w:r>
      <w:r>
        <w:rPr>
          <w:rFonts w:hint="eastAsia"/>
          <w:szCs w:val="21"/>
          <w:lang w:val="en-US" w:eastAsia="zh-CN"/>
        </w:rPr>
        <w:t>。（债权产生优先效力）</w:t>
      </w:r>
    </w:p>
    <w:p w14:paraId="20025757">
      <w:pPr>
        <w:spacing w:line="276" w:lineRule="auto"/>
        <w:ind w:firstLine="480"/>
        <w:rPr>
          <w:rFonts w:hint="eastAsia" w:ascii="宋体" w:hAnsi="宋体"/>
          <w:szCs w:val="21"/>
        </w:rPr>
      </w:pPr>
      <w:r>
        <w:rPr>
          <w:rFonts w:hint="eastAsia" w:ascii="宋体" w:hAnsi="宋体"/>
          <w:szCs w:val="21"/>
          <w:lang w:val="en-US" w:eastAsia="zh-CN"/>
        </w:rPr>
        <w:t>处分：</w:t>
      </w:r>
      <w:r>
        <w:rPr>
          <w:rFonts w:hint="eastAsia" w:ascii="宋体" w:hAnsi="宋体"/>
          <w:szCs w:val="21"/>
        </w:rPr>
        <w:t>未未经预告登记的权利人同意，</w:t>
      </w:r>
      <w:r>
        <w:rPr>
          <w:rFonts w:hint="eastAsia" w:ascii="宋体" w:hAnsi="宋体"/>
          <w:color w:val="FF0000"/>
          <w:szCs w:val="21"/>
        </w:rPr>
        <w:t>转让不动产所有权等物权，或者设立建设用地使用权、居住权、地役权、抵押权等其他物权的，</w:t>
      </w:r>
      <w:r>
        <w:rPr>
          <w:rFonts w:hint="eastAsia" w:ascii="宋体" w:hAnsi="宋体"/>
          <w:szCs w:val="21"/>
        </w:rPr>
        <w:t>应当依照民法典第二百二十一条第一款的规定，认定其不发生物权效力”。</w:t>
      </w:r>
    </w:p>
    <w:p w14:paraId="0B5DE9DF">
      <w:pPr>
        <w:spacing w:line="276" w:lineRule="auto"/>
        <w:ind w:firstLine="480"/>
        <w:rPr>
          <w:rFonts w:hint="eastAsia" w:ascii="宋体" w:hAnsi="宋体"/>
          <w:color w:val="FF0000"/>
          <w:szCs w:val="21"/>
          <w:lang w:val="en-US" w:eastAsia="zh-CN"/>
        </w:rPr>
      </w:pPr>
      <w:r>
        <w:rPr>
          <w:rFonts w:hint="eastAsia" w:ascii="宋体" w:hAnsi="宋体"/>
          <w:szCs w:val="21"/>
          <w:lang w:val="en-US" w:eastAsia="zh-CN"/>
        </w:rPr>
        <w:t>不发生物权效力：不能发生物权变动，</w:t>
      </w:r>
      <w:r>
        <w:rPr>
          <w:rFonts w:hint="eastAsia" w:ascii="宋体" w:hAnsi="宋体"/>
          <w:color w:val="FF0000"/>
          <w:szCs w:val="21"/>
          <w:lang w:val="en-US" w:eastAsia="zh-CN"/>
        </w:rPr>
        <w:t>但不影响合同效力</w:t>
      </w:r>
    </w:p>
    <w:p w14:paraId="496A99B3">
      <w:pPr>
        <w:spacing w:line="276" w:lineRule="auto"/>
        <w:ind w:firstLine="480"/>
        <w:rPr>
          <w:szCs w:val="21"/>
        </w:rPr>
      </w:pPr>
    </w:p>
    <w:p w14:paraId="697C743D">
      <w:pPr>
        <w:spacing w:line="276" w:lineRule="auto"/>
        <w:ind w:firstLine="480"/>
        <w:rPr>
          <w:rFonts w:hint="eastAsia"/>
          <w:szCs w:val="21"/>
          <w:lang w:val="en-US" w:eastAsia="zh-CN"/>
        </w:rPr>
      </w:pPr>
      <w:r>
        <w:rPr>
          <w:rFonts w:hint="eastAsia"/>
          <w:szCs w:val="21"/>
          <w:lang w:val="en-US" w:eastAsia="zh-CN"/>
        </w:rPr>
        <w:t>抵押权预告登记</w:t>
      </w:r>
    </w:p>
    <w:p w14:paraId="1D09A5EA">
      <w:pPr>
        <w:spacing w:line="276" w:lineRule="auto"/>
        <w:ind w:firstLine="480"/>
        <w:rPr>
          <w:rFonts w:ascii="Times New Roman" w:hAnsi="Times New Roman" w:eastAsia="楷体" w:cs="Times New Roman"/>
        </w:rPr>
      </w:pPr>
      <w:r>
        <w:rPr>
          <w:rFonts w:ascii="Times New Roman" w:hAnsi="Times New Roman" w:eastAsia="楷体" w:cs="Times New Roman"/>
        </w:rPr>
        <w:t>当事人办理抵押预告登记后，预告登记权利人请求就抵押财产优先受偿，经审查存在尚未办理建筑物所有权首次登记、</w:t>
      </w:r>
      <w:bookmarkStart w:id="3" w:name="_Hlk129620366"/>
      <w:r>
        <w:rPr>
          <w:rFonts w:ascii="Times New Roman" w:hAnsi="Times New Roman" w:eastAsia="楷体" w:cs="Times New Roman"/>
        </w:rPr>
        <w:t>预告登记的财产与办理建筑物所有权首次登记时的财产不一致</w:t>
      </w:r>
      <w:bookmarkEnd w:id="3"/>
      <w:r>
        <w:rPr>
          <w:rFonts w:ascii="Times New Roman" w:hAnsi="Times New Roman" w:eastAsia="楷体" w:cs="Times New Roman"/>
        </w:rPr>
        <w:t>、抵押预告登记已经失效等情形，导致不具备办理抵押登记条件的，人民法院不予支持；</w:t>
      </w:r>
      <w:r>
        <w:rPr>
          <w:rFonts w:ascii="Times New Roman" w:hAnsi="Times New Roman" w:eastAsia="楷体" w:cs="Times New Roman"/>
          <w:b/>
          <w:bCs/>
        </w:rPr>
        <w:t>经审查已经</w:t>
      </w:r>
      <w:bookmarkStart w:id="4" w:name="_Hlk129620342"/>
      <w:r>
        <w:rPr>
          <w:rFonts w:ascii="Times New Roman" w:hAnsi="Times New Roman" w:eastAsia="楷体" w:cs="Times New Roman"/>
          <w:b/>
          <w:bCs/>
        </w:rPr>
        <w:t>办理建筑物所有权首次登记</w:t>
      </w:r>
      <w:bookmarkEnd w:id="4"/>
      <w:r>
        <w:rPr>
          <w:rFonts w:ascii="Times New Roman" w:hAnsi="Times New Roman" w:eastAsia="楷体" w:cs="Times New Roman"/>
          <w:b/>
          <w:bCs/>
        </w:rPr>
        <w:t>，且</w:t>
      </w:r>
      <w:bookmarkStart w:id="5" w:name="_Hlk129620354"/>
      <w:r>
        <w:rPr>
          <w:rFonts w:ascii="Times New Roman" w:hAnsi="Times New Roman" w:eastAsia="楷体" w:cs="Times New Roman"/>
          <w:b/>
          <w:bCs/>
        </w:rPr>
        <w:t>不存在预告登记失效</w:t>
      </w:r>
      <w:bookmarkEnd w:id="5"/>
      <w:r>
        <w:rPr>
          <w:rFonts w:ascii="Times New Roman" w:hAnsi="Times New Roman" w:eastAsia="楷体" w:cs="Times New Roman"/>
          <w:b/>
          <w:bCs/>
        </w:rPr>
        <w:t>等情形的，人民法院应予支持，并</w:t>
      </w:r>
      <w:bookmarkStart w:id="6" w:name="_Hlk129612694"/>
      <w:r>
        <w:rPr>
          <w:rFonts w:ascii="Times New Roman" w:hAnsi="Times New Roman" w:eastAsia="楷体" w:cs="Times New Roman"/>
          <w:b/>
          <w:bCs/>
        </w:rPr>
        <w:t>应当认定抵押权自预告登记之日起设立</w:t>
      </w:r>
      <w:bookmarkEnd w:id="6"/>
      <w:r>
        <w:rPr>
          <w:rFonts w:ascii="Times New Roman" w:hAnsi="Times New Roman" w:eastAsia="楷体" w:cs="Times New Roman"/>
        </w:rPr>
        <w:t>。</w:t>
      </w:r>
    </w:p>
    <w:p w14:paraId="37CF2F44">
      <w:pPr>
        <w:spacing w:line="276" w:lineRule="auto"/>
        <w:ind w:firstLine="480"/>
        <w:rPr>
          <w:rFonts w:hint="default" w:ascii="Times New Roman" w:hAnsi="Times New Roman" w:eastAsia="楷体" w:cs="Times New Roman"/>
          <w:lang w:val="en-US" w:eastAsia="zh-CN"/>
        </w:rPr>
      </w:pPr>
    </w:p>
    <w:p w14:paraId="409199FE">
      <w:pPr>
        <w:spacing w:line="276" w:lineRule="auto"/>
        <w:ind w:firstLine="480"/>
        <w:rPr>
          <w:b/>
          <w:szCs w:val="21"/>
        </w:rPr>
      </w:pPr>
      <w:r>
        <w:rPr>
          <w:rFonts w:hint="eastAsia"/>
          <w:b/>
          <w:szCs w:val="21"/>
          <w:lang w:eastAsia="zh-CN"/>
        </w:rPr>
        <w:t>（</w:t>
      </w:r>
      <w:r>
        <w:rPr>
          <w:rFonts w:hint="eastAsia"/>
          <w:b/>
          <w:szCs w:val="21"/>
          <w:lang w:val="en-US" w:eastAsia="zh-CN"/>
        </w:rPr>
        <w:t>三</w:t>
      </w:r>
      <w:r>
        <w:rPr>
          <w:rFonts w:hint="eastAsia"/>
          <w:b/>
          <w:szCs w:val="21"/>
          <w:lang w:eastAsia="zh-CN"/>
        </w:rPr>
        <w:t>）</w:t>
      </w:r>
      <w:r>
        <w:rPr>
          <w:rFonts w:hint="eastAsia"/>
          <w:b/>
          <w:szCs w:val="21"/>
        </w:rPr>
        <w:t>动产交付</w:t>
      </w:r>
    </w:p>
    <w:p w14:paraId="3F34EF96">
      <w:pPr>
        <w:spacing w:line="276" w:lineRule="auto"/>
        <w:ind w:firstLine="480"/>
        <w:rPr>
          <w:b/>
          <w:szCs w:val="21"/>
        </w:rPr>
      </w:pPr>
      <w:r>
        <w:rPr>
          <w:rFonts w:hint="eastAsia"/>
          <w:b/>
          <w:szCs w:val="21"/>
        </w:rPr>
        <w:t>简易交付</w:t>
      </w:r>
    </w:p>
    <w:p w14:paraId="1B74332A">
      <w:pPr>
        <w:spacing w:line="276" w:lineRule="auto"/>
        <w:ind w:firstLine="480"/>
        <w:rPr>
          <w:rFonts w:ascii="楷体" w:hAnsi="楷体" w:eastAsia="楷体"/>
          <w:szCs w:val="21"/>
        </w:rPr>
      </w:pPr>
      <w:r>
        <w:rPr>
          <w:rFonts w:hint="eastAsia" w:ascii="楷体" w:hAnsi="楷体" w:eastAsia="楷体"/>
          <w:szCs w:val="21"/>
        </w:rPr>
        <w:t>动产物权设立和转让前，权利人已经占有该动产的，</w:t>
      </w:r>
      <w:r>
        <w:rPr>
          <w:rFonts w:hint="eastAsia" w:ascii="楷体" w:hAnsi="楷体" w:eastAsia="楷体"/>
          <w:color w:val="FF0000"/>
          <w:szCs w:val="21"/>
        </w:rPr>
        <w:t>物权自法律行为生效时</w:t>
      </w:r>
      <w:r>
        <w:rPr>
          <w:rFonts w:hint="eastAsia" w:ascii="楷体" w:hAnsi="楷体" w:eastAsia="楷体"/>
          <w:szCs w:val="21"/>
        </w:rPr>
        <w:t>发生效力。</w:t>
      </w:r>
    </w:p>
    <w:p w14:paraId="19780EAA">
      <w:pPr>
        <w:spacing w:line="276" w:lineRule="auto"/>
        <w:ind w:firstLine="480"/>
        <w:rPr>
          <w:b/>
          <w:szCs w:val="21"/>
        </w:rPr>
      </w:pPr>
      <w:r>
        <w:rPr>
          <w:rFonts w:hint="eastAsia"/>
          <w:b/>
          <w:szCs w:val="21"/>
        </w:rPr>
        <w:t>指示交付（返还请求权让与）</w:t>
      </w:r>
    </w:p>
    <w:p w14:paraId="45047C87">
      <w:pPr>
        <w:spacing w:line="276" w:lineRule="auto"/>
        <w:ind w:firstLine="480"/>
        <w:rPr>
          <w:rFonts w:hint="eastAsia" w:ascii="楷体" w:hAnsi="楷体" w:eastAsia="楷体"/>
          <w:szCs w:val="21"/>
          <w:lang w:eastAsia="zh-CN"/>
        </w:rPr>
      </w:pPr>
      <w:r>
        <w:rPr>
          <w:rFonts w:hint="eastAsia" w:ascii="楷体" w:hAnsi="楷体" w:eastAsia="楷体"/>
          <w:szCs w:val="21"/>
        </w:rPr>
        <w:t xml:space="preserve"> 动产物权设立和转让前，第三人占有该动产的，负有交付义务的人可以通过转让请求第三人返还原物的权利代替交付。</w:t>
      </w:r>
      <w:r>
        <w:rPr>
          <w:rFonts w:hint="eastAsia" w:ascii="楷体" w:hAnsi="楷体" w:eastAsia="楷体"/>
          <w:szCs w:val="21"/>
          <w:lang w:eastAsia="zh-CN"/>
        </w:rPr>
        <w:t>（</w:t>
      </w:r>
      <w:r>
        <w:rPr>
          <w:rFonts w:hint="eastAsia" w:ascii="楷体" w:hAnsi="楷体" w:eastAsia="楷体"/>
          <w:szCs w:val="21"/>
          <w:lang w:val="en-US" w:eastAsia="zh-CN"/>
        </w:rPr>
        <w:t>如出卖人对第三人的返还原物请求权让与给买受人</w:t>
      </w:r>
      <w:r>
        <w:rPr>
          <w:rFonts w:hint="eastAsia" w:ascii="楷体" w:hAnsi="楷体" w:eastAsia="楷体"/>
          <w:szCs w:val="21"/>
          <w:lang w:eastAsia="zh-CN"/>
        </w:rPr>
        <w:t>）</w:t>
      </w:r>
    </w:p>
    <w:p w14:paraId="6B9BB3BA">
      <w:pPr>
        <w:spacing w:line="276" w:lineRule="auto"/>
        <w:ind w:firstLine="482"/>
        <w:rPr>
          <w:rFonts w:hint="eastAsia"/>
          <w:szCs w:val="21"/>
          <w:u w:val="single"/>
        </w:rPr>
      </w:pPr>
      <w:r>
        <w:rPr>
          <w:rFonts w:hint="eastAsia"/>
          <w:color w:val="FF0000"/>
          <w:szCs w:val="21"/>
          <w:u w:val="single"/>
        </w:rPr>
        <w:t>当事人双方就返还请求权的让与达成一致时</w:t>
      </w:r>
      <w:r>
        <w:rPr>
          <w:rFonts w:hint="eastAsia"/>
          <w:szCs w:val="21"/>
          <w:u w:val="single"/>
        </w:rPr>
        <w:t>，即发生动产所有权转移的效力。</w:t>
      </w:r>
    </w:p>
    <w:p w14:paraId="69A4704B">
      <w:pPr>
        <w:spacing w:line="276" w:lineRule="auto"/>
        <w:ind w:firstLine="482"/>
        <w:rPr>
          <w:rFonts w:hint="default" w:eastAsia="宋体"/>
          <w:szCs w:val="21"/>
          <w:u w:val="single"/>
          <w:lang w:val="en-US" w:eastAsia="zh-CN"/>
        </w:rPr>
      </w:pPr>
      <w:r>
        <w:rPr>
          <w:rFonts w:hint="eastAsia"/>
          <w:szCs w:val="21"/>
          <w:u w:val="single"/>
          <w:lang w:val="en-US" w:eastAsia="zh-CN"/>
        </w:rPr>
        <w:t>所有权指示交付不需要通知第三人，质权需要</w:t>
      </w:r>
    </w:p>
    <w:p w14:paraId="109F4BBD">
      <w:pPr>
        <w:spacing w:line="276" w:lineRule="auto"/>
        <w:ind w:firstLine="480"/>
        <w:rPr>
          <w:b/>
          <w:szCs w:val="21"/>
        </w:rPr>
      </w:pPr>
      <w:r>
        <w:rPr>
          <w:rFonts w:hint="eastAsia"/>
          <w:b/>
          <w:szCs w:val="21"/>
        </w:rPr>
        <w:t>占有改定</w:t>
      </w:r>
    </w:p>
    <w:p w14:paraId="167D5506">
      <w:pPr>
        <w:spacing w:line="276" w:lineRule="auto"/>
        <w:ind w:firstLine="480"/>
        <w:rPr>
          <w:rFonts w:ascii="楷体" w:hAnsi="楷体" w:eastAsia="楷体"/>
          <w:szCs w:val="21"/>
        </w:rPr>
      </w:pPr>
      <w:r>
        <w:rPr>
          <w:rFonts w:hint="eastAsia" w:ascii="楷体" w:hAnsi="楷体" w:eastAsia="楷体"/>
          <w:szCs w:val="21"/>
        </w:rPr>
        <w:t>动产物权转让时，当事人又约定由出让人继续占有该动产的，物权自该约定生效时发生效力。</w:t>
      </w:r>
    </w:p>
    <w:p w14:paraId="5C7DB251">
      <w:pPr>
        <w:spacing w:line="276" w:lineRule="auto"/>
        <w:ind w:firstLine="480"/>
        <w:rPr>
          <w:rFonts w:hint="default" w:eastAsia="宋体"/>
          <w:szCs w:val="21"/>
          <w:lang w:val="en-US" w:eastAsia="zh-CN"/>
        </w:rPr>
      </w:pPr>
      <w:r>
        <w:rPr>
          <w:rFonts w:hint="eastAsia"/>
          <w:color w:val="FF0000"/>
          <w:szCs w:val="21"/>
        </w:rPr>
        <w:t>占有改定方式</w:t>
      </w:r>
      <w:r>
        <w:rPr>
          <w:rFonts w:hint="eastAsia"/>
          <w:color w:val="FF0000"/>
          <w:szCs w:val="21"/>
          <w:lang w:val="en-US" w:eastAsia="zh-CN"/>
        </w:rPr>
        <w:t>不能</w:t>
      </w:r>
      <w:r>
        <w:rPr>
          <w:rFonts w:hint="eastAsia"/>
          <w:color w:val="FF0000"/>
          <w:szCs w:val="21"/>
        </w:rPr>
        <w:t>设立动产质权。</w:t>
      </w:r>
      <w:r>
        <w:rPr>
          <w:rFonts w:hint="eastAsia"/>
          <w:color w:val="FF0000"/>
          <w:szCs w:val="21"/>
          <w:lang w:val="en-US" w:eastAsia="zh-CN"/>
        </w:rPr>
        <w:t xml:space="preserve"> 不能善意取得</w:t>
      </w:r>
    </w:p>
    <w:p w14:paraId="201C4FE5">
      <w:pPr>
        <w:spacing w:line="276" w:lineRule="auto"/>
        <w:ind w:firstLine="480"/>
        <w:rPr>
          <w:rFonts w:hint="eastAsia"/>
          <w:color w:val="FF0000"/>
          <w:szCs w:val="21"/>
          <w:lang w:val="en-US" w:eastAsia="zh-CN"/>
        </w:rPr>
      </w:pPr>
      <w:r>
        <w:rPr>
          <w:rFonts w:hint="eastAsia"/>
          <w:szCs w:val="21"/>
          <w:lang w:val="en-US" w:eastAsia="zh-CN"/>
        </w:rPr>
        <w:t>占有改定不同于</w:t>
      </w:r>
      <w:r>
        <w:rPr>
          <w:rFonts w:hint="eastAsia"/>
          <w:color w:val="000000"/>
          <w:szCs w:val="21"/>
        </w:rPr>
        <w:t>当事人间单纯的延迟交付的约定</w:t>
      </w:r>
      <w:r>
        <w:rPr>
          <w:rFonts w:hint="eastAsia"/>
          <w:szCs w:val="21"/>
          <w:lang w:val="en-US" w:eastAsia="zh-CN"/>
        </w:rPr>
        <w:t>，</w:t>
      </w:r>
      <w:r>
        <w:rPr>
          <w:rFonts w:hint="eastAsia"/>
          <w:color w:val="FF0000"/>
          <w:szCs w:val="21"/>
          <w:lang w:val="en-US" w:eastAsia="zh-CN"/>
        </w:rPr>
        <w:t>延期交付原到期日时不能发生所有权变动</w:t>
      </w:r>
    </w:p>
    <w:p w14:paraId="65775C22">
      <w:pPr>
        <w:spacing w:line="276" w:lineRule="auto"/>
        <w:ind w:firstLine="480"/>
        <w:rPr>
          <w:b/>
          <w:szCs w:val="21"/>
        </w:rPr>
      </w:pPr>
      <w:r>
        <w:rPr>
          <w:rFonts w:hint="eastAsia"/>
          <w:b/>
          <w:szCs w:val="21"/>
        </w:rPr>
        <w:t xml:space="preserve">机动车等特殊动产的物权变动 </w:t>
      </w:r>
    </w:p>
    <w:p w14:paraId="28D8688C">
      <w:pPr>
        <w:spacing w:line="276" w:lineRule="auto"/>
        <w:ind w:firstLine="480"/>
        <w:rPr>
          <w:rFonts w:ascii="楷体" w:hAnsi="楷体" w:eastAsia="楷体"/>
          <w:szCs w:val="21"/>
        </w:rPr>
      </w:pPr>
      <w:r>
        <w:rPr>
          <w:rFonts w:hint="eastAsia" w:ascii="楷体" w:hAnsi="楷体" w:eastAsia="楷体"/>
          <w:szCs w:val="21"/>
        </w:rPr>
        <w:t>船舶、航空器和机动车等物权的设立、变更、转让和消灭，未经登记，不得对抗善意第三人。</w:t>
      </w:r>
    </w:p>
    <w:p w14:paraId="5784DE26">
      <w:pPr>
        <w:spacing w:line="276" w:lineRule="auto"/>
        <w:ind w:firstLine="480"/>
        <w:rPr>
          <w:rFonts w:hint="default" w:ascii="宋体" w:hAnsi="宋体" w:eastAsia="宋体"/>
          <w:szCs w:val="21"/>
          <w:lang w:val="en-US" w:eastAsia="zh-CN"/>
        </w:rPr>
      </w:pPr>
      <w:r>
        <w:rPr>
          <w:rFonts w:hint="eastAsia" w:ascii="宋体" w:hAnsi="宋体"/>
          <w:szCs w:val="21"/>
        </w:rPr>
        <w:t>交付标的物是动产所有权变动的必要条件。</w:t>
      </w:r>
      <w:r>
        <w:rPr>
          <w:rFonts w:hint="eastAsia" w:ascii="宋体" w:hAnsi="宋体"/>
          <w:szCs w:val="21"/>
          <w:lang w:val="en-US" w:eastAsia="zh-CN"/>
        </w:rPr>
        <w:t>交付后没有登记也移转所有权</w:t>
      </w:r>
    </w:p>
    <w:p w14:paraId="2AB3AA8A">
      <w:pPr>
        <w:spacing w:line="276" w:lineRule="auto"/>
        <w:ind w:firstLine="480"/>
        <w:rPr>
          <w:rFonts w:hint="eastAsia" w:ascii="宋体" w:hAnsi="宋体" w:eastAsia="宋体"/>
          <w:szCs w:val="21"/>
          <w:lang w:eastAsia="zh-CN"/>
        </w:rPr>
      </w:pPr>
      <w:r>
        <w:rPr>
          <w:rFonts w:hint="eastAsia" w:ascii="宋体" w:hAnsi="宋体"/>
          <w:szCs w:val="21"/>
        </w:rPr>
        <w:t>如未经登记，则物权变动的效果不得对抗善意第三人。</w:t>
      </w:r>
      <w:r>
        <w:rPr>
          <w:rFonts w:hint="eastAsia" w:ascii="宋体" w:hAnsi="宋体"/>
          <w:szCs w:val="21"/>
          <w:lang w:eastAsia="zh-CN"/>
        </w:rPr>
        <w:t>（</w:t>
      </w:r>
      <w:r>
        <w:rPr>
          <w:rFonts w:hint="eastAsia" w:ascii="宋体" w:hAnsi="宋体"/>
          <w:color w:val="FF0000"/>
          <w:szCs w:val="21"/>
          <w:lang w:val="en-US" w:eastAsia="zh-CN"/>
        </w:rPr>
        <w:t>第三人可能善意取得该交通工具</w:t>
      </w:r>
      <w:r>
        <w:rPr>
          <w:rFonts w:hint="eastAsia" w:ascii="宋体" w:hAnsi="宋体"/>
          <w:szCs w:val="21"/>
          <w:lang w:eastAsia="zh-CN"/>
        </w:rPr>
        <w:t>）</w:t>
      </w:r>
    </w:p>
    <w:p w14:paraId="264E9EB4">
      <w:pPr>
        <w:spacing w:line="276" w:lineRule="auto"/>
        <w:ind w:firstLine="480"/>
        <w:rPr>
          <w:rFonts w:hint="default" w:ascii="宋体" w:hAnsi="宋体" w:eastAsia="宋体"/>
          <w:szCs w:val="21"/>
          <w:lang w:val="en-US" w:eastAsia="zh-CN"/>
        </w:rPr>
      </w:pPr>
      <w:r>
        <w:rPr>
          <w:rFonts w:hint="eastAsia" w:ascii="宋体" w:hAnsi="宋体"/>
          <w:szCs w:val="21"/>
          <w:lang w:val="en-US" w:eastAsia="zh-CN"/>
        </w:rPr>
        <w:t>善意第三人指的是交易关系中第三人，不是一般债权人</w:t>
      </w:r>
    </w:p>
    <w:p w14:paraId="16712B09">
      <w:pPr>
        <w:spacing w:line="276" w:lineRule="auto"/>
        <w:ind w:firstLine="480"/>
        <w:rPr>
          <w:rFonts w:hint="eastAsia" w:ascii="楷体" w:hAnsi="楷体" w:eastAsia="楷体"/>
          <w:szCs w:val="21"/>
        </w:rPr>
      </w:pPr>
      <w:r>
        <w:rPr>
          <w:rFonts w:hint="eastAsia" w:ascii="楷体" w:hAnsi="楷体" w:eastAsia="楷体"/>
          <w:szCs w:val="21"/>
        </w:rPr>
        <w:t>转让人转让船舶、航空器和机动车等所有权，受让人已经支付合理价款并取得占有，虽未经登记，但转让人的债权人主张其为民法典第二百二十五条所称的“善意第三人”的，不予支持，法律另有规定的除外。</w:t>
      </w:r>
    </w:p>
    <w:p w14:paraId="6E1A53FE">
      <w:pPr>
        <w:spacing w:line="276" w:lineRule="auto"/>
        <w:ind w:firstLine="480"/>
        <w:rPr>
          <w:szCs w:val="21"/>
        </w:rPr>
      </w:pPr>
      <w:r>
        <w:rPr>
          <w:rFonts w:hint="eastAsia" w:ascii="楷体" w:hAnsi="楷体" w:eastAsia="楷体"/>
          <w:szCs w:val="21"/>
          <w:lang w:eastAsia="zh-CN"/>
        </w:rPr>
        <w:t>（</w:t>
      </w:r>
      <w:r>
        <w:rPr>
          <w:rFonts w:hint="eastAsia" w:ascii="楷体" w:hAnsi="楷体" w:eastAsia="楷体"/>
          <w:color w:val="FF0000"/>
          <w:szCs w:val="21"/>
          <w:lang w:val="en-US" w:eastAsia="zh-CN"/>
        </w:rPr>
        <w:t>此时交通工具成为买受人财产，不再属于出卖人财产，不属于强制执行范围</w:t>
      </w:r>
      <w:r>
        <w:rPr>
          <w:rFonts w:hint="eastAsia" w:ascii="楷体" w:hAnsi="楷体" w:eastAsia="楷体"/>
          <w:szCs w:val="21"/>
          <w:lang w:eastAsia="zh-CN"/>
        </w:rPr>
        <w:t>）</w:t>
      </w:r>
    </w:p>
    <w:p w14:paraId="5C4977C3">
      <w:pPr>
        <w:spacing w:line="276" w:lineRule="auto"/>
        <w:ind w:firstLine="480"/>
        <w:rPr>
          <w:b/>
          <w:szCs w:val="24"/>
        </w:rPr>
      </w:pPr>
      <w:r>
        <w:rPr>
          <w:rFonts w:hint="eastAsia"/>
          <w:b/>
          <w:szCs w:val="24"/>
          <w:lang w:val="en-US" w:eastAsia="zh-CN"/>
        </w:rPr>
        <w:t>三</w:t>
      </w:r>
      <w:r>
        <w:rPr>
          <w:rFonts w:hint="eastAsia"/>
          <w:b/>
          <w:szCs w:val="24"/>
        </w:rPr>
        <w:t>、</w:t>
      </w:r>
      <w:r>
        <w:rPr>
          <w:rFonts w:hint="eastAsia"/>
          <w:b/>
          <w:szCs w:val="24"/>
          <w:lang w:val="en-US" w:eastAsia="zh-CN"/>
        </w:rPr>
        <w:t>非基于法律行为</w:t>
      </w:r>
      <w:r>
        <w:rPr>
          <w:rFonts w:hint="eastAsia"/>
          <w:b/>
          <w:szCs w:val="24"/>
        </w:rPr>
        <w:t>物权变动的情形</w:t>
      </w:r>
    </w:p>
    <w:p w14:paraId="43D246D8">
      <w:pPr>
        <w:spacing w:line="276" w:lineRule="auto"/>
        <w:ind w:firstLine="480"/>
        <w:rPr>
          <w:b/>
          <w:szCs w:val="21"/>
        </w:rPr>
      </w:pPr>
      <w:r>
        <w:rPr>
          <w:rFonts w:hint="eastAsia"/>
          <w:b/>
          <w:szCs w:val="21"/>
        </w:rPr>
        <w:t>（一）依裁判文书等发生物权变动</w:t>
      </w:r>
    </w:p>
    <w:p w14:paraId="26708D82">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229</w:t>
      </w:r>
      <w:r>
        <w:rPr>
          <w:rFonts w:hint="eastAsia" w:ascii="楷体" w:hAnsi="楷体" w:eastAsia="楷体"/>
          <w:b/>
          <w:bCs/>
          <w:szCs w:val="21"/>
        </w:rPr>
        <w:t xml:space="preserve">条 </w:t>
      </w:r>
      <w:r>
        <w:rPr>
          <w:rFonts w:hint="eastAsia" w:ascii="楷体" w:hAnsi="楷体" w:eastAsia="楷体"/>
          <w:szCs w:val="21"/>
        </w:rPr>
        <w:t xml:space="preserve"> 因</w:t>
      </w:r>
      <w:r>
        <w:rPr>
          <w:rFonts w:hint="eastAsia" w:ascii="楷体" w:hAnsi="楷体" w:eastAsia="楷体"/>
          <w:color w:val="FF0000"/>
          <w:szCs w:val="21"/>
        </w:rPr>
        <w:t>人民法院、仲裁机构的法律文书</w:t>
      </w:r>
      <w:r>
        <w:rPr>
          <w:rFonts w:hint="eastAsia" w:ascii="楷体" w:hAnsi="楷体" w:eastAsia="楷体"/>
          <w:color w:val="FF0000"/>
          <w:szCs w:val="21"/>
          <w:lang w:eastAsia="zh-CN"/>
        </w:rPr>
        <w:t>（</w:t>
      </w:r>
      <w:r>
        <w:rPr>
          <w:rFonts w:hint="eastAsia" w:ascii="楷体" w:hAnsi="楷体" w:eastAsia="楷体"/>
          <w:color w:val="FF0000"/>
          <w:szCs w:val="21"/>
          <w:lang w:val="en-US" w:eastAsia="zh-CN"/>
        </w:rPr>
        <w:t>指的是形成之诉的法律文书，如离婚判决、分割共有物判决</w:t>
      </w:r>
      <w:r>
        <w:rPr>
          <w:rFonts w:hint="eastAsia" w:ascii="楷体" w:hAnsi="楷体" w:eastAsia="楷体"/>
          <w:color w:val="FF0000"/>
          <w:szCs w:val="21"/>
          <w:lang w:eastAsia="zh-CN"/>
        </w:rPr>
        <w:t>）</w:t>
      </w:r>
      <w:r>
        <w:rPr>
          <w:rFonts w:hint="eastAsia" w:ascii="楷体" w:hAnsi="楷体" w:eastAsia="楷体"/>
          <w:szCs w:val="21"/>
        </w:rPr>
        <w:t>或者人民政府的征收决定等，导致物权设立、变更、转让或者消灭的，自法律文书或者征收决定等生效时发生效力。</w:t>
      </w:r>
    </w:p>
    <w:p w14:paraId="6620DBA0">
      <w:pPr>
        <w:spacing w:line="276" w:lineRule="auto"/>
        <w:ind w:firstLine="480"/>
        <w:rPr>
          <w:rFonts w:hint="eastAsia" w:ascii="楷体" w:hAnsi="楷体" w:eastAsia="楷体"/>
          <w:szCs w:val="21"/>
        </w:rPr>
      </w:pPr>
      <w:r>
        <w:rPr>
          <w:rFonts w:hint="eastAsia" w:ascii="楷体" w:hAnsi="楷体" w:eastAsia="楷体"/>
          <w:b/>
          <w:bCs/>
          <w:szCs w:val="21"/>
        </w:rPr>
        <w:t>《物权编解释（一）》第7条</w:t>
      </w:r>
      <w:r>
        <w:rPr>
          <w:rFonts w:hint="eastAsia" w:ascii="楷体" w:hAnsi="楷体" w:eastAsia="楷体"/>
          <w:szCs w:val="21"/>
        </w:rPr>
        <w:t xml:space="preserve">  人民法院、仲裁委员会在分割共有不动产或者动产等案件中作出并依法生效的改变原有物权关系的判决书、裁决书、调解书，</w:t>
      </w:r>
      <w:r>
        <w:rPr>
          <w:rFonts w:hint="eastAsia" w:ascii="楷体" w:hAnsi="楷体" w:eastAsia="楷体"/>
          <w:color w:val="FF0000"/>
          <w:szCs w:val="21"/>
        </w:rPr>
        <w:t>以及人民法院在执行程序中作出的拍卖成交裁定书、以物抵债裁定书</w:t>
      </w:r>
      <w:r>
        <w:rPr>
          <w:rFonts w:hint="eastAsia" w:ascii="楷体" w:hAnsi="楷体" w:eastAsia="楷体"/>
          <w:szCs w:val="21"/>
        </w:rPr>
        <w:t>，应当认定为民法典第二百二十九条所称导致物权设立、变更、转让或者消灭的人民法院、仲裁委员会的法律文书。</w:t>
      </w:r>
    </w:p>
    <w:p w14:paraId="77B73705">
      <w:pPr>
        <w:spacing w:line="276" w:lineRule="auto"/>
        <w:ind w:firstLine="480"/>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一般的以物抵债调解书判决书等仍需要执行后发生物权变动</w:t>
      </w:r>
    </w:p>
    <w:p w14:paraId="694A863E">
      <w:pPr>
        <w:spacing w:line="276" w:lineRule="auto"/>
        <w:ind w:firstLine="480"/>
        <w:rPr>
          <w:b/>
          <w:szCs w:val="21"/>
        </w:rPr>
      </w:pPr>
      <w:r>
        <w:rPr>
          <w:rFonts w:hint="eastAsia"/>
          <w:b/>
          <w:szCs w:val="21"/>
        </w:rPr>
        <w:t>（</w:t>
      </w:r>
      <w:r>
        <w:rPr>
          <w:rFonts w:hint="eastAsia"/>
          <w:b/>
          <w:szCs w:val="21"/>
          <w:lang w:val="en-US" w:eastAsia="zh-CN"/>
        </w:rPr>
        <w:t>二</w:t>
      </w:r>
      <w:r>
        <w:rPr>
          <w:rFonts w:hint="eastAsia"/>
          <w:b/>
          <w:szCs w:val="21"/>
        </w:rPr>
        <w:t>）因继承发生物权变动</w:t>
      </w:r>
    </w:p>
    <w:p w14:paraId="127B7F92">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230</w:t>
      </w:r>
      <w:r>
        <w:rPr>
          <w:rFonts w:hint="eastAsia" w:ascii="楷体" w:hAnsi="楷体" w:eastAsia="楷体"/>
          <w:b/>
          <w:bCs/>
          <w:szCs w:val="21"/>
        </w:rPr>
        <w:t>条</w:t>
      </w:r>
      <w:r>
        <w:rPr>
          <w:rFonts w:hint="eastAsia" w:ascii="楷体" w:hAnsi="楷体" w:eastAsia="楷体"/>
          <w:szCs w:val="21"/>
        </w:rPr>
        <w:t xml:space="preserve">  因继承取得物权的，自继承开始时发生效力。 </w:t>
      </w:r>
    </w:p>
    <w:p w14:paraId="770F0746">
      <w:pPr>
        <w:spacing w:line="276" w:lineRule="auto"/>
        <w:ind w:firstLine="480"/>
        <w:rPr>
          <w:rFonts w:hint="default" w:eastAsia="宋体"/>
          <w:color w:val="FF0000"/>
          <w:szCs w:val="21"/>
          <w:u w:val="single"/>
          <w:lang w:val="en-US" w:eastAsia="zh-CN"/>
        </w:rPr>
      </w:pPr>
      <w:r>
        <w:rPr>
          <w:rFonts w:hint="eastAsia"/>
          <w:szCs w:val="21"/>
        </w:rPr>
        <w:t>在因继承引起物权变动的情形，</w:t>
      </w:r>
      <w:r>
        <w:rPr>
          <w:rFonts w:hint="eastAsia"/>
          <w:color w:val="FF0000"/>
          <w:szCs w:val="21"/>
        </w:rPr>
        <w:t>无论是法定继承还是遗嘱继承，</w:t>
      </w:r>
      <w:r>
        <w:rPr>
          <w:rFonts w:hint="eastAsia"/>
          <w:color w:val="FF0000"/>
          <w:szCs w:val="21"/>
          <w:u w:val="single"/>
        </w:rPr>
        <w:t>物权变动的效果均自继承开始之时（即被继承人死亡之时）发生</w:t>
      </w:r>
      <w:r>
        <w:rPr>
          <w:rFonts w:hint="eastAsia"/>
          <w:color w:val="FF0000"/>
          <w:szCs w:val="21"/>
          <w:u w:val="single"/>
          <w:lang w:eastAsia="zh-CN"/>
        </w:rPr>
        <w:t>。</w:t>
      </w:r>
      <w:r>
        <w:rPr>
          <w:rFonts w:hint="eastAsia"/>
          <w:color w:val="FF0000"/>
          <w:szCs w:val="21"/>
          <w:u w:val="single"/>
          <w:lang w:val="en-US" w:eastAsia="zh-CN"/>
        </w:rPr>
        <w:t>多个继承人的，共有</w:t>
      </w:r>
    </w:p>
    <w:p w14:paraId="7940BD0B">
      <w:pPr>
        <w:spacing w:line="276" w:lineRule="auto"/>
        <w:ind w:firstLine="480"/>
        <w:rPr>
          <w:b/>
          <w:szCs w:val="21"/>
        </w:rPr>
      </w:pPr>
      <w:r>
        <w:rPr>
          <w:rFonts w:hint="eastAsia"/>
          <w:b/>
          <w:szCs w:val="21"/>
        </w:rPr>
        <w:t>（</w:t>
      </w:r>
      <w:r>
        <w:rPr>
          <w:rFonts w:hint="eastAsia"/>
          <w:b/>
          <w:szCs w:val="21"/>
          <w:lang w:val="en-US" w:eastAsia="zh-CN"/>
        </w:rPr>
        <w:t>三</w:t>
      </w:r>
      <w:r>
        <w:rPr>
          <w:rFonts w:hint="eastAsia"/>
          <w:b/>
          <w:szCs w:val="21"/>
        </w:rPr>
        <w:t>）因事实行为而发生物权变动</w:t>
      </w:r>
    </w:p>
    <w:p w14:paraId="23485F40">
      <w:pPr>
        <w:spacing w:line="276" w:lineRule="auto"/>
        <w:ind w:firstLine="480"/>
        <w:rPr>
          <w:rFonts w:hint="eastAsia" w:ascii="楷体" w:hAnsi="楷体" w:eastAsia="楷体"/>
          <w:szCs w:val="21"/>
        </w:rPr>
      </w:pPr>
      <w:r>
        <w:rPr>
          <w:rFonts w:hint="eastAsia" w:ascii="楷体" w:hAnsi="楷体" w:eastAsia="楷体"/>
          <w:b/>
          <w:bCs/>
          <w:szCs w:val="21"/>
        </w:rPr>
        <w:t>《民法典》第</w:t>
      </w:r>
      <w:r>
        <w:rPr>
          <w:rFonts w:ascii="楷体" w:hAnsi="楷体" w:eastAsia="楷体"/>
          <w:b/>
          <w:bCs/>
          <w:szCs w:val="21"/>
        </w:rPr>
        <w:t>231</w:t>
      </w:r>
      <w:r>
        <w:rPr>
          <w:rFonts w:hint="eastAsia" w:ascii="楷体" w:hAnsi="楷体" w:eastAsia="楷体"/>
          <w:b/>
          <w:bCs/>
          <w:szCs w:val="21"/>
        </w:rPr>
        <w:t>条</w:t>
      </w:r>
      <w:r>
        <w:rPr>
          <w:rFonts w:hint="eastAsia" w:ascii="楷体" w:hAnsi="楷体" w:eastAsia="楷体"/>
          <w:szCs w:val="21"/>
        </w:rPr>
        <w:t xml:space="preserve">  因</w:t>
      </w:r>
      <w:r>
        <w:rPr>
          <w:rFonts w:hint="eastAsia" w:ascii="楷体" w:hAnsi="楷体" w:eastAsia="楷体"/>
          <w:color w:val="FF0000"/>
          <w:szCs w:val="21"/>
        </w:rPr>
        <w:t>合法建造、拆除房屋</w:t>
      </w:r>
      <w:r>
        <w:rPr>
          <w:rFonts w:hint="eastAsia" w:ascii="楷体" w:hAnsi="楷体" w:eastAsia="楷体"/>
          <w:szCs w:val="21"/>
        </w:rPr>
        <w:t>等事实行为设立或者消灭物权的，自事实行为成就时发生效力。</w:t>
      </w:r>
    </w:p>
    <w:p w14:paraId="623B02DC">
      <w:pPr>
        <w:spacing w:line="276" w:lineRule="auto"/>
        <w:ind w:firstLine="480"/>
        <w:rPr>
          <w:rFonts w:hint="default" w:ascii="楷体" w:hAnsi="楷体" w:eastAsia="楷体"/>
          <w:color w:val="0000FF"/>
          <w:szCs w:val="21"/>
          <w:lang w:val="en-US" w:eastAsia="zh-CN"/>
        </w:rPr>
      </w:pPr>
      <w:r>
        <w:rPr>
          <w:rFonts w:hint="eastAsia" w:ascii="楷体" w:hAnsi="楷体" w:eastAsia="楷体"/>
          <w:color w:val="0000FF"/>
          <w:szCs w:val="21"/>
          <w:lang w:val="en-US" w:eastAsia="zh-CN"/>
        </w:rPr>
        <w:t>违章建筑不可以</w:t>
      </w:r>
    </w:p>
    <w:p w14:paraId="36BDCCC8">
      <w:pPr>
        <w:spacing w:line="276" w:lineRule="auto"/>
        <w:ind w:firstLine="480"/>
        <w:rPr>
          <w:b/>
          <w:szCs w:val="21"/>
        </w:rPr>
      </w:pPr>
      <w:r>
        <w:rPr>
          <w:rFonts w:hint="eastAsia"/>
          <w:b/>
          <w:szCs w:val="21"/>
        </w:rPr>
        <w:t>（</w:t>
      </w:r>
      <w:r>
        <w:rPr>
          <w:rFonts w:hint="eastAsia"/>
          <w:b/>
          <w:szCs w:val="21"/>
          <w:lang w:val="en-US" w:eastAsia="zh-CN"/>
        </w:rPr>
        <w:t>四</w:t>
      </w:r>
      <w:r>
        <w:rPr>
          <w:rFonts w:hint="eastAsia"/>
          <w:b/>
          <w:szCs w:val="21"/>
        </w:rPr>
        <w:t>）后续登记的问题</w:t>
      </w:r>
    </w:p>
    <w:p w14:paraId="33175D52">
      <w:pPr>
        <w:spacing w:line="276" w:lineRule="auto"/>
        <w:ind w:firstLine="480"/>
        <w:rPr>
          <w:rFonts w:hint="default" w:eastAsia="宋体"/>
          <w:szCs w:val="21"/>
          <w:lang w:val="en-US" w:eastAsia="zh-CN"/>
        </w:rPr>
      </w:pPr>
      <w:r>
        <w:rPr>
          <w:rFonts w:hint="eastAsia" w:ascii="楷体" w:hAnsi="楷体" w:eastAsia="楷体"/>
          <w:b/>
          <w:bCs/>
          <w:szCs w:val="21"/>
        </w:rPr>
        <w:t>《民法典》第</w:t>
      </w:r>
      <w:r>
        <w:rPr>
          <w:rFonts w:ascii="楷体" w:hAnsi="楷体" w:eastAsia="楷体"/>
          <w:b/>
          <w:bCs/>
          <w:szCs w:val="21"/>
        </w:rPr>
        <w:t>232</w:t>
      </w:r>
      <w:r>
        <w:rPr>
          <w:rFonts w:hint="eastAsia" w:ascii="楷体" w:hAnsi="楷体" w:eastAsia="楷体"/>
          <w:b/>
          <w:bCs/>
          <w:szCs w:val="21"/>
        </w:rPr>
        <w:t>条</w:t>
      </w:r>
      <w:r>
        <w:rPr>
          <w:rFonts w:hint="eastAsia" w:ascii="楷体" w:hAnsi="楷体" w:eastAsia="楷体"/>
          <w:szCs w:val="21"/>
        </w:rPr>
        <w:t xml:space="preserve">  处分依照本节规定享有不动产物权，依照法律规定需要办理登记的，</w:t>
      </w:r>
      <w:r>
        <w:rPr>
          <w:rFonts w:hint="eastAsia" w:ascii="楷体" w:hAnsi="楷体" w:eastAsia="楷体"/>
          <w:color w:val="FF0000"/>
          <w:szCs w:val="21"/>
        </w:rPr>
        <w:t>未经登记，不发生物权效力</w:t>
      </w:r>
      <w:r>
        <w:rPr>
          <w:rFonts w:hint="eastAsia" w:ascii="楷体" w:hAnsi="楷体" w:eastAsia="楷体"/>
          <w:szCs w:val="21"/>
        </w:rPr>
        <w:t>。</w:t>
      </w:r>
      <w:r>
        <w:rPr>
          <w:rFonts w:hint="eastAsia" w:ascii="楷体" w:hAnsi="楷体" w:eastAsia="楷体"/>
          <w:szCs w:val="21"/>
          <w:lang w:eastAsia="zh-CN"/>
        </w:rPr>
        <w:t>（</w:t>
      </w:r>
      <w:r>
        <w:rPr>
          <w:rFonts w:hint="eastAsia" w:ascii="楷体" w:hAnsi="楷体" w:eastAsia="楷体"/>
          <w:color w:val="FF0000"/>
          <w:szCs w:val="21"/>
          <w:lang w:val="en-US" w:eastAsia="zh-CN"/>
        </w:rPr>
        <w:t>如继承又出卖，先办理变更登记到被继承人，在变更给买受人</w:t>
      </w:r>
      <w:r>
        <w:rPr>
          <w:rFonts w:hint="eastAsia" w:ascii="楷体" w:hAnsi="楷体" w:eastAsia="楷体"/>
          <w:szCs w:val="21"/>
          <w:lang w:eastAsia="zh-CN"/>
        </w:rPr>
        <w:t>）</w:t>
      </w:r>
      <w:r>
        <w:rPr>
          <w:rFonts w:hint="eastAsia"/>
          <w:szCs w:val="21"/>
          <w:lang w:val="en-US" w:eastAsia="zh-CN"/>
        </w:rPr>
        <w:t>未经登记处分不发生物权效力，但不影响物权的其他权能</w:t>
      </w:r>
    </w:p>
    <w:p w14:paraId="45D40268">
      <w:pPr>
        <w:numPr>
          <w:ilvl w:val="0"/>
          <w:numId w:val="1"/>
        </w:numPr>
        <w:spacing w:line="276" w:lineRule="auto"/>
        <w:ind w:left="0" w:leftChars="0" w:firstLine="421" w:firstLineChars="0"/>
        <w:rPr>
          <w:rFonts w:hint="eastAsia"/>
          <w:b/>
          <w:szCs w:val="21"/>
          <w:lang w:val="en-US" w:eastAsia="zh-CN"/>
        </w:rPr>
      </w:pPr>
      <w:r>
        <w:rPr>
          <w:rFonts w:hint="eastAsia"/>
          <w:b/>
          <w:szCs w:val="21"/>
          <w:lang w:val="en-US" w:eastAsia="zh-CN"/>
        </w:rPr>
        <w:t>善意取得</w:t>
      </w:r>
    </w:p>
    <w:p w14:paraId="7A362630">
      <w:pPr>
        <w:numPr>
          <w:numId w:val="0"/>
        </w:numPr>
        <w:spacing w:line="276" w:lineRule="auto"/>
        <w:ind w:left="421" w:leftChars="0"/>
        <w:rPr>
          <w:b/>
          <w:szCs w:val="21"/>
        </w:rPr>
      </w:pPr>
      <w:r>
        <w:rPr>
          <w:rFonts w:hint="eastAsia"/>
          <w:b/>
          <w:szCs w:val="21"/>
        </w:rPr>
        <w:t>善意取得的构成要件</w:t>
      </w:r>
    </w:p>
    <w:p w14:paraId="3FA4A27A">
      <w:pPr>
        <w:spacing w:line="276" w:lineRule="auto"/>
        <w:ind w:firstLine="480"/>
        <w:rPr>
          <w:rFonts w:ascii="宋体" w:hAnsi="宋体"/>
          <w:szCs w:val="21"/>
        </w:rPr>
      </w:pPr>
      <w:r>
        <w:rPr>
          <w:rFonts w:hint="eastAsia" w:ascii="宋体" w:hAnsi="宋体"/>
          <w:szCs w:val="21"/>
        </w:rPr>
        <w:t>1.出让人须是无处分权人</w:t>
      </w:r>
    </w:p>
    <w:p w14:paraId="27CB8704">
      <w:pPr>
        <w:spacing w:line="276" w:lineRule="auto"/>
        <w:ind w:firstLine="480"/>
        <w:rPr>
          <w:rFonts w:hint="default" w:ascii="宋体" w:hAnsi="宋体" w:eastAsia="宋体"/>
          <w:color w:val="FF0000"/>
          <w:szCs w:val="21"/>
          <w:lang w:val="en-US" w:eastAsia="zh-CN"/>
        </w:rPr>
      </w:pPr>
      <w:r>
        <w:rPr>
          <w:rFonts w:hint="eastAsia" w:ascii="宋体" w:hAnsi="宋体"/>
          <w:szCs w:val="21"/>
        </w:rPr>
        <w:t>所谓无处分权人，指非所有权人或在法律上欠缺处分权的其他人</w:t>
      </w:r>
      <w:r>
        <w:rPr>
          <w:rFonts w:hint="eastAsia" w:ascii="宋体" w:hAnsi="宋体"/>
          <w:szCs w:val="21"/>
          <w:lang w:eastAsia="zh-CN"/>
        </w:rPr>
        <w:t>。</w:t>
      </w:r>
      <w:r>
        <w:rPr>
          <w:rFonts w:hint="eastAsia" w:ascii="宋体" w:hAnsi="宋体"/>
          <w:szCs w:val="21"/>
          <w:u w:val="single"/>
        </w:rPr>
        <w:t>若处分人具有处分权，则处分行为可直接发生效力，而无须善意取得制度的作用。</w:t>
      </w:r>
      <w:r>
        <w:rPr>
          <w:rFonts w:hint="eastAsia" w:ascii="宋体" w:hAnsi="宋体"/>
          <w:color w:val="FF0000"/>
          <w:szCs w:val="21"/>
          <w:u w:val="single"/>
          <w:lang w:val="en-US" w:eastAsia="zh-CN"/>
        </w:rPr>
        <w:t>注意无权处分和无权代理的区别，无权处分是以自己名义</w:t>
      </w:r>
    </w:p>
    <w:p w14:paraId="22FE30AA">
      <w:pPr>
        <w:spacing w:line="276" w:lineRule="auto"/>
        <w:ind w:firstLine="480"/>
        <w:rPr>
          <w:rFonts w:ascii="宋体" w:hAnsi="宋体"/>
          <w:szCs w:val="21"/>
        </w:rPr>
      </w:pPr>
      <w:r>
        <w:rPr>
          <w:rFonts w:hint="eastAsia" w:ascii="宋体" w:hAnsi="宋体"/>
          <w:szCs w:val="21"/>
        </w:rPr>
        <w:t>2.须出让人与受让人有转移所有权的合意</w:t>
      </w:r>
    </w:p>
    <w:p w14:paraId="09F5BA6A">
      <w:pPr>
        <w:spacing w:line="276" w:lineRule="auto"/>
        <w:ind w:firstLine="480"/>
        <w:rPr>
          <w:rFonts w:hint="eastAsia" w:ascii="宋体" w:hAnsi="宋体"/>
          <w:szCs w:val="21"/>
        </w:rPr>
      </w:pPr>
      <w:r>
        <w:rPr>
          <w:rFonts w:hint="eastAsia" w:ascii="宋体" w:hAnsi="宋体"/>
          <w:szCs w:val="21"/>
          <w:u w:val="single"/>
        </w:rPr>
        <w:t>出让人与受让人之间关于买卖标的物的合同应该有效，</w:t>
      </w:r>
      <w:r>
        <w:rPr>
          <w:rFonts w:hint="eastAsia" w:ascii="宋体" w:hAnsi="宋体"/>
          <w:szCs w:val="21"/>
        </w:rPr>
        <w:t>如该合同因存在违反效力性强制性规范等情形而无效，或属于特定可撤销的情形，则即便其他要件均具备，亦不能发生善意取得的效果。</w:t>
      </w:r>
    </w:p>
    <w:p w14:paraId="6B244DA4">
      <w:pPr>
        <w:spacing w:line="276" w:lineRule="auto"/>
        <w:ind w:firstLine="480"/>
        <w:rPr>
          <w:rFonts w:hint="default" w:ascii="宋体" w:hAnsi="宋体" w:eastAsia="宋体"/>
          <w:szCs w:val="21"/>
          <w:lang w:val="en-US" w:eastAsia="zh-CN"/>
        </w:rPr>
      </w:pPr>
      <w:r>
        <w:rPr>
          <w:rFonts w:hint="eastAsia" w:ascii="宋体" w:hAnsi="宋体"/>
          <w:color w:val="FF0000"/>
          <w:szCs w:val="21"/>
          <w:lang w:val="en-US" w:eastAsia="zh-CN"/>
        </w:rPr>
        <w:t>善意取得只能弥补无权处分的瑕疵，不能弥补合同效力瑕疵规则</w:t>
      </w:r>
    </w:p>
    <w:p w14:paraId="0606875C">
      <w:pPr>
        <w:spacing w:line="276" w:lineRule="auto"/>
        <w:ind w:firstLine="480"/>
        <w:rPr>
          <w:rFonts w:ascii="宋体" w:hAnsi="宋体"/>
          <w:szCs w:val="21"/>
        </w:rPr>
      </w:pPr>
      <w:r>
        <w:rPr>
          <w:rFonts w:hint="eastAsia" w:ascii="宋体" w:hAnsi="宋体"/>
          <w:szCs w:val="21"/>
        </w:rPr>
        <w:t>3.受让人须为善意</w:t>
      </w:r>
    </w:p>
    <w:p w14:paraId="433B1CA4">
      <w:pPr>
        <w:spacing w:line="276" w:lineRule="auto"/>
        <w:ind w:firstLine="480"/>
        <w:rPr>
          <w:rFonts w:hint="eastAsia" w:ascii="宋体" w:hAnsi="宋体"/>
          <w:color w:val="FF0000"/>
          <w:szCs w:val="21"/>
          <w:lang w:val="en-US" w:eastAsia="zh-CN"/>
        </w:rPr>
      </w:pPr>
      <w:r>
        <w:rPr>
          <w:rFonts w:hint="eastAsia" w:ascii="宋体" w:hAnsi="宋体"/>
          <w:szCs w:val="21"/>
        </w:rPr>
        <w:t>就动产而言，信赖出让人之占有可以作为善意的基础。而对于不动产而言，则不能依据对不动产的占有状态主张善意，因为不动产以登记而非占有为公示手段，</w:t>
      </w:r>
      <w:r>
        <w:rPr>
          <w:rFonts w:hint="eastAsia" w:ascii="宋体" w:hAnsi="宋体"/>
          <w:szCs w:val="21"/>
          <w:u w:val="single"/>
        </w:rPr>
        <w:t>只有受让人信赖不动产登记簿上的权利记载时，其善意才能成立</w:t>
      </w:r>
      <w:r>
        <w:rPr>
          <w:rFonts w:hint="eastAsia" w:ascii="宋体" w:hAnsi="宋体"/>
          <w:szCs w:val="21"/>
        </w:rPr>
        <w:t>。</w:t>
      </w:r>
      <w:r>
        <w:rPr>
          <w:rFonts w:hint="eastAsia" w:ascii="宋体" w:hAnsi="宋体"/>
          <w:color w:val="FF0000"/>
          <w:szCs w:val="21"/>
          <w:lang w:val="en-US" w:eastAsia="zh-CN"/>
        </w:rPr>
        <w:t>不动产登记簿存在异议登记、预告登记的，排除善意取得。</w:t>
      </w:r>
    </w:p>
    <w:p w14:paraId="0A2A6EE2">
      <w:pPr>
        <w:spacing w:line="276" w:lineRule="auto"/>
        <w:ind w:firstLine="480"/>
        <w:rPr>
          <w:rFonts w:hint="default" w:ascii="宋体" w:hAnsi="宋体"/>
          <w:color w:val="FF0000"/>
          <w:szCs w:val="21"/>
          <w:lang w:val="en-US" w:eastAsia="zh-CN"/>
        </w:rPr>
      </w:pPr>
      <w:r>
        <w:rPr>
          <w:rFonts w:hint="eastAsia" w:ascii="宋体" w:hAnsi="宋体"/>
          <w:color w:val="FF0000"/>
          <w:szCs w:val="21"/>
          <w:lang w:val="en-US" w:eastAsia="zh-CN"/>
        </w:rPr>
        <w:t>机动车善意取得仅存在占有外观不可以</w:t>
      </w:r>
    </w:p>
    <w:p w14:paraId="6ED0D3CF">
      <w:pPr>
        <w:spacing w:line="276" w:lineRule="auto"/>
        <w:ind w:firstLine="480"/>
        <w:rPr>
          <w:rFonts w:ascii="宋体" w:hAnsi="宋体"/>
          <w:szCs w:val="21"/>
        </w:rPr>
      </w:pPr>
      <w:r>
        <w:rPr>
          <w:rFonts w:hint="eastAsia" w:ascii="宋体" w:hAnsi="宋体"/>
          <w:szCs w:val="21"/>
        </w:rPr>
        <w:t>“善意”的判断时点是依法完成不动产物权转移登记或者动产交付之时。</w:t>
      </w:r>
    </w:p>
    <w:p w14:paraId="11A53D85">
      <w:pPr>
        <w:spacing w:line="276" w:lineRule="auto"/>
        <w:ind w:firstLine="480"/>
        <w:rPr>
          <w:rFonts w:ascii="宋体" w:hAnsi="宋体"/>
          <w:szCs w:val="21"/>
        </w:rPr>
      </w:pPr>
      <w:r>
        <w:rPr>
          <w:rFonts w:hint="eastAsia" w:ascii="宋体" w:hAnsi="宋体"/>
          <w:szCs w:val="21"/>
        </w:rPr>
        <w:t>4.所有权移转需要登记的，已完成登记；无须登记的，已完成交付</w:t>
      </w:r>
    </w:p>
    <w:p w14:paraId="5CD917CA">
      <w:pPr>
        <w:spacing w:line="276" w:lineRule="auto"/>
        <w:ind w:firstLine="480"/>
        <w:rPr>
          <w:rFonts w:ascii="宋体" w:hAnsi="宋体"/>
          <w:szCs w:val="21"/>
        </w:rPr>
      </w:pPr>
      <w:r>
        <w:rPr>
          <w:rFonts w:hint="eastAsia" w:ascii="宋体" w:hAnsi="宋体"/>
          <w:szCs w:val="21"/>
          <w:u w:val="single"/>
          <w:lang w:val="en-US" w:eastAsia="zh-CN"/>
        </w:rPr>
        <w:t>动产交付：</w:t>
      </w:r>
      <w:r>
        <w:rPr>
          <w:rFonts w:hint="eastAsia" w:ascii="宋体" w:hAnsi="宋体"/>
          <w:szCs w:val="21"/>
          <w:u w:val="single"/>
        </w:rPr>
        <w:t>动产善意取得中所要求的“交付”，可以是现实交付，也可以是简易交付和指示交付</w:t>
      </w:r>
      <w:r>
        <w:rPr>
          <w:rFonts w:hint="eastAsia" w:ascii="宋体" w:hAnsi="宋体"/>
          <w:szCs w:val="21"/>
        </w:rPr>
        <w:t>，</w:t>
      </w:r>
      <w:r>
        <w:rPr>
          <w:rFonts w:hint="eastAsia" w:ascii="宋体" w:hAnsi="宋体"/>
          <w:szCs w:val="21"/>
          <w:lang w:val="en-US" w:eastAsia="zh-CN"/>
        </w:rPr>
        <w:t>但不能</w:t>
      </w:r>
      <w:r>
        <w:rPr>
          <w:rFonts w:hint="eastAsia" w:ascii="宋体" w:hAnsi="宋体"/>
          <w:color w:val="0000FF"/>
          <w:szCs w:val="21"/>
          <w:lang w:val="en-US" w:eastAsia="zh-CN"/>
        </w:rPr>
        <w:t>是占有改定</w:t>
      </w:r>
      <w:r>
        <w:rPr>
          <w:rFonts w:hint="eastAsia" w:ascii="宋体" w:hAnsi="宋体"/>
          <w:szCs w:val="21"/>
        </w:rPr>
        <w:t>。</w:t>
      </w:r>
    </w:p>
    <w:p w14:paraId="757DC500">
      <w:pPr>
        <w:spacing w:line="276" w:lineRule="auto"/>
        <w:ind w:firstLine="480"/>
        <w:rPr>
          <w:rFonts w:hint="eastAsia"/>
          <w:szCs w:val="21"/>
        </w:rPr>
      </w:pPr>
      <w:r>
        <w:rPr>
          <w:rFonts w:hint="eastAsia"/>
          <w:color w:val="FF0000"/>
          <w:szCs w:val="21"/>
          <w:lang w:val="en-US" w:eastAsia="zh-CN"/>
        </w:rPr>
        <w:t>交通工具也是交付</w:t>
      </w:r>
      <w:r>
        <w:rPr>
          <w:rFonts w:hint="eastAsia"/>
          <w:szCs w:val="21"/>
          <w:lang w:val="en-US" w:eastAsia="zh-CN"/>
        </w:rPr>
        <w:t>：</w:t>
      </w:r>
      <w:r>
        <w:rPr>
          <w:rFonts w:hint="eastAsia"/>
          <w:szCs w:val="21"/>
        </w:rPr>
        <w:t>转让人将民法典第二百二十五条规定的船舶、航空器和机动车等交付给受让人的，应当认定符合民法典第三百一十一条第一款第三项规定的善意取得的条件。”</w:t>
      </w:r>
    </w:p>
    <w:p w14:paraId="1F056B5A">
      <w:pPr>
        <w:spacing w:line="276" w:lineRule="auto"/>
        <w:ind w:firstLine="480"/>
        <w:rPr>
          <w:rFonts w:hint="default" w:eastAsia="宋体"/>
          <w:szCs w:val="21"/>
          <w:lang w:val="en-US" w:eastAsia="zh-CN"/>
        </w:rPr>
      </w:pPr>
      <w:r>
        <w:rPr>
          <w:rFonts w:hint="eastAsia"/>
          <w:szCs w:val="21"/>
          <w:lang w:val="en-US" w:eastAsia="zh-CN"/>
        </w:rPr>
        <w:t>不动产善意取得需要完成登记</w:t>
      </w:r>
    </w:p>
    <w:p w14:paraId="674745E9">
      <w:pPr>
        <w:spacing w:line="276" w:lineRule="auto"/>
        <w:ind w:firstLine="480"/>
        <w:rPr>
          <w:rFonts w:ascii="宋体" w:hAnsi="宋体"/>
          <w:szCs w:val="21"/>
        </w:rPr>
      </w:pPr>
      <w:r>
        <w:rPr>
          <w:rFonts w:hint="eastAsia" w:ascii="宋体" w:hAnsi="宋体"/>
          <w:szCs w:val="21"/>
        </w:rPr>
        <w:t>5.受让人须以合理的价格有偿受让</w:t>
      </w:r>
    </w:p>
    <w:p w14:paraId="685AE2EA">
      <w:pPr>
        <w:spacing w:line="276" w:lineRule="auto"/>
        <w:ind w:firstLine="480"/>
        <w:rPr>
          <w:rFonts w:hint="default" w:eastAsia="宋体"/>
          <w:szCs w:val="21"/>
          <w:lang w:val="en-US" w:eastAsia="zh-CN"/>
        </w:rPr>
      </w:pPr>
      <w:r>
        <w:rPr>
          <w:rFonts w:hint="eastAsia"/>
          <w:szCs w:val="21"/>
          <w:lang w:val="en-US" w:eastAsia="zh-CN"/>
        </w:rPr>
        <w:t>不能是赠与或者不合理低价</w:t>
      </w:r>
    </w:p>
    <w:p w14:paraId="1D9F0489">
      <w:pPr>
        <w:spacing w:line="276" w:lineRule="auto"/>
        <w:ind w:firstLine="480"/>
        <w:rPr>
          <w:rFonts w:hint="eastAsia"/>
          <w:szCs w:val="21"/>
        </w:rPr>
      </w:pPr>
      <w:r>
        <w:rPr>
          <w:rFonts w:hint="eastAsia"/>
          <w:szCs w:val="21"/>
        </w:rPr>
        <w:t>合理的价格，应当根据转让标的物的性质、数量以及付款方式等具体情况，参考转让时交易地市场价格以及交易习惯等因素综合认定”。</w:t>
      </w:r>
    </w:p>
    <w:p w14:paraId="642C5127">
      <w:pPr>
        <w:spacing w:line="276" w:lineRule="auto"/>
        <w:ind w:firstLine="480"/>
        <w:rPr>
          <w:rFonts w:hint="default" w:eastAsia="宋体"/>
          <w:color w:val="FF0000"/>
          <w:szCs w:val="21"/>
          <w:lang w:val="en-US" w:eastAsia="zh-CN"/>
        </w:rPr>
      </w:pPr>
      <w:r>
        <w:rPr>
          <w:rFonts w:hint="eastAsia"/>
          <w:color w:val="FF0000"/>
          <w:szCs w:val="21"/>
          <w:lang w:val="en-US" w:eastAsia="zh-CN"/>
        </w:rPr>
        <w:t>合理价格不需要实际支付</w:t>
      </w:r>
    </w:p>
    <w:p w14:paraId="70C987E9">
      <w:pPr>
        <w:spacing w:line="276" w:lineRule="auto"/>
        <w:ind w:firstLine="480"/>
        <w:rPr>
          <w:rFonts w:hint="eastAsia" w:eastAsia="宋体"/>
          <w:b/>
          <w:szCs w:val="21"/>
          <w:lang w:eastAsia="zh-CN"/>
        </w:rPr>
      </w:pPr>
      <w:r>
        <w:rPr>
          <w:rFonts w:hint="eastAsia"/>
          <w:b/>
          <w:szCs w:val="21"/>
        </w:rPr>
        <w:t>遗失物</w:t>
      </w:r>
      <w:r>
        <w:rPr>
          <w:rFonts w:hint="eastAsia"/>
          <w:b/>
          <w:szCs w:val="21"/>
          <w:lang w:eastAsia="zh-CN"/>
        </w:rPr>
        <w:t>（</w:t>
      </w:r>
      <w:r>
        <w:rPr>
          <w:rFonts w:hint="eastAsia"/>
          <w:b/>
          <w:szCs w:val="21"/>
          <w:lang w:val="en-US" w:eastAsia="zh-CN"/>
        </w:rPr>
        <w:t>占有脱离物</w:t>
      </w:r>
      <w:r>
        <w:rPr>
          <w:rFonts w:hint="eastAsia"/>
          <w:b/>
          <w:szCs w:val="21"/>
          <w:lang w:eastAsia="zh-CN"/>
        </w:rPr>
        <w:t>）</w:t>
      </w:r>
      <w:r>
        <w:rPr>
          <w:rFonts w:hint="eastAsia"/>
          <w:b/>
          <w:szCs w:val="21"/>
        </w:rPr>
        <w:t>善意取得的特殊规则</w:t>
      </w:r>
      <w:r>
        <w:rPr>
          <w:rFonts w:hint="eastAsia"/>
          <w:b/>
          <w:szCs w:val="21"/>
          <w:lang w:eastAsia="zh-CN"/>
        </w:rPr>
        <w:t>（</w:t>
      </w:r>
      <w:r>
        <w:rPr>
          <w:rFonts w:hint="eastAsia"/>
          <w:b/>
          <w:color w:val="FF0000"/>
          <w:szCs w:val="21"/>
          <w:lang w:val="en-US" w:eastAsia="zh-CN"/>
        </w:rPr>
        <w:t>因为占有脱离物原所有权人更值得保护</w:t>
      </w:r>
      <w:r>
        <w:rPr>
          <w:rFonts w:hint="eastAsia"/>
          <w:b/>
          <w:color w:val="FF0000"/>
          <w:szCs w:val="21"/>
          <w:lang w:eastAsia="zh-CN"/>
        </w:rPr>
        <w:t>）</w:t>
      </w:r>
    </w:p>
    <w:p w14:paraId="57B25EDC">
      <w:pPr>
        <w:spacing w:line="276" w:lineRule="auto"/>
        <w:ind w:firstLine="480"/>
        <w:rPr>
          <w:rFonts w:ascii="楷体" w:hAnsi="楷体" w:eastAsia="楷体"/>
          <w:szCs w:val="21"/>
        </w:rPr>
      </w:pPr>
      <w:r>
        <w:rPr>
          <w:rFonts w:hint="eastAsia" w:ascii="楷体" w:hAnsi="楷体" w:eastAsia="楷体"/>
          <w:b/>
          <w:bCs/>
          <w:szCs w:val="21"/>
        </w:rPr>
        <w:t>《民法典》第</w:t>
      </w:r>
      <w:r>
        <w:rPr>
          <w:rFonts w:ascii="楷体" w:hAnsi="楷体" w:eastAsia="楷体"/>
          <w:b/>
          <w:bCs/>
          <w:szCs w:val="21"/>
        </w:rPr>
        <w:t>312</w:t>
      </w:r>
      <w:r>
        <w:rPr>
          <w:rFonts w:hint="eastAsia" w:ascii="楷体" w:hAnsi="楷体" w:eastAsia="楷体"/>
          <w:b/>
          <w:bCs/>
          <w:szCs w:val="21"/>
        </w:rPr>
        <w:t xml:space="preserve">条 </w:t>
      </w:r>
      <w:r>
        <w:rPr>
          <w:rFonts w:hint="eastAsia" w:ascii="楷体" w:hAnsi="楷体" w:eastAsia="楷体"/>
          <w:szCs w:val="21"/>
        </w:rPr>
        <w:t xml:space="preserve">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p>
    <w:p w14:paraId="35A7E45C">
      <w:pPr>
        <w:spacing w:line="276" w:lineRule="auto"/>
        <w:ind w:firstLine="480"/>
        <w:rPr>
          <w:rFonts w:hint="default" w:eastAsia="宋体"/>
          <w:szCs w:val="21"/>
          <w:lang w:val="en-US" w:eastAsia="zh-CN"/>
        </w:rPr>
      </w:pPr>
      <w:r>
        <w:rPr>
          <w:rFonts w:hint="eastAsia" w:ascii="宋体" w:hAnsi="宋体"/>
          <w:szCs w:val="21"/>
        </w:rPr>
        <w:t>遗失物通过转让被他人占有的，即便符合第</w:t>
      </w:r>
      <w:r>
        <w:rPr>
          <w:rFonts w:ascii="宋体" w:hAnsi="宋体"/>
          <w:szCs w:val="21"/>
        </w:rPr>
        <w:t>311</w:t>
      </w:r>
      <w:r>
        <w:rPr>
          <w:rFonts w:hint="eastAsia" w:ascii="宋体" w:hAnsi="宋体"/>
          <w:szCs w:val="21"/>
        </w:rPr>
        <w:t>条所规定的三项条件，受让人也不能确定地、终局性地获得遗失物的所有权。</w:t>
      </w:r>
      <w:r>
        <w:rPr>
          <w:rFonts w:hint="eastAsia" w:ascii="宋体" w:hAnsi="宋体"/>
          <w:color w:val="FF0000"/>
          <w:szCs w:val="21"/>
        </w:rPr>
        <w:t>遗失人可以自知道或者应当知道受让人之日起两年内向受</w:t>
      </w:r>
      <w:r>
        <w:rPr>
          <w:rFonts w:hint="eastAsia"/>
          <w:color w:val="FF0000"/>
          <w:szCs w:val="21"/>
        </w:rPr>
        <w:t>让人请求返还原物</w:t>
      </w:r>
      <w:r>
        <w:rPr>
          <w:rFonts w:hint="eastAsia"/>
          <w:szCs w:val="21"/>
        </w:rPr>
        <w:t>。</w:t>
      </w:r>
      <w:r>
        <w:rPr>
          <w:rFonts w:hint="eastAsia"/>
          <w:color w:val="FF0000"/>
          <w:szCs w:val="21"/>
          <w:lang w:val="en-US" w:eastAsia="zh-CN"/>
        </w:rPr>
        <w:t>此时，买受人损失向无权处分人主张违约责任</w:t>
      </w:r>
      <w:r>
        <w:rPr>
          <w:rFonts w:hint="eastAsia"/>
          <w:szCs w:val="21"/>
          <w:lang w:val="en-US" w:eastAsia="zh-CN"/>
        </w:rPr>
        <w:t>，</w:t>
      </w:r>
      <w:r>
        <w:rPr>
          <w:rFonts w:hint="eastAsia"/>
          <w:color w:val="FF0000"/>
          <w:szCs w:val="21"/>
          <w:lang w:val="en-US" w:eastAsia="zh-CN"/>
        </w:rPr>
        <w:t>2年后受让人可以终局取得</w:t>
      </w:r>
    </w:p>
    <w:p w14:paraId="29555113">
      <w:pPr>
        <w:spacing w:line="276" w:lineRule="auto"/>
        <w:ind w:firstLine="480"/>
        <w:rPr>
          <w:rFonts w:hint="default" w:eastAsia="楷体"/>
          <w:b/>
          <w:color w:val="FF0000"/>
          <w:szCs w:val="21"/>
          <w:lang w:val="en-US" w:eastAsia="zh-CN"/>
        </w:rPr>
      </w:pPr>
      <w:r>
        <w:rPr>
          <w:rFonts w:hint="eastAsia" w:ascii="楷体" w:hAnsi="楷体" w:eastAsia="楷体"/>
          <w:szCs w:val="21"/>
        </w:rPr>
        <w:t>受让人通过拍卖或者向具有经营资格的经营者购得该遗失物的，权利人请求返还原物时应当支付受让人所付的费用</w:t>
      </w:r>
      <w:r>
        <w:rPr>
          <w:rFonts w:hint="eastAsia" w:ascii="楷体" w:hAnsi="楷体" w:eastAsia="楷体"/>
          <w:szCs w:val="21"/>
          <w:lang w:eastAsia="zh-CN"/>
        </w:rPr>
        <w:t>。</w:t>
      </w:r>
      <w:r>
        <w:rPr>
          <w:rFonts w:hint="eastAsia" w:ascii="楷体" w:hAnsi="楷体" w:eastAsia="楷体"/>
          <w:szCs w:val="21"/>
          <w:lang w:val="en-US" w:eastAsia="zh-CN"/>
        </w:rPr>
        <w:t>后</w:t>
      </w:r>
      <w:r>
        <w:rPr>
          <w:rFonts w:hint="eastAsia" w:ascii="楷体" w:hAnsi="楷体" w:eastAsia="楷体"/>
          <w:color w:val="FF0000"/>
          <w:szCs w:val="21"/>
          <w:lang w:val="en-US" w:eastAsia="zh-CN"/>
        </w:rPr>
        <w:t>找无权处分人追偿</w:t>
      </w:r>
    </w:p>
    <w:p w14:paraId="1ED16DA6">
      <w:pPr>
        <w:spacing w:line="276" w:lineRule="auto"/>
        <w:ind w:firstLine="480"/>
        <w:rPr>
          <w:b/>
          <w:szCs w:val="21"/>
        </w:rPr>
      </w:pPr>
      <w:r>
        <w:rPr>
          <w:rFonts w:hint="eastAsia"/>
          <w:b/>
          <w:szCs w:val="21"/>
        </w:rPr>
        <w:t>善意取得的法律效果</w:t>
      </w:r>
    </w:p>
    <w:p w14:paraId="592EAEED">
      <w:pPr>
        <w:spacing w:line="276" w:lineRule="auto"/>
        <w:ind w:firstLine="480"/>
        <w:rPr>
          <w:rFonts w:hint="eastAsia" w:ascii="宋体" w:hAnsi="宋体"/>
          <w:szCs w:val="21"/>
          <w:lang w:val="en-US" w:eastAsia="zh-CN"/>
        </w:rPr>
      </w:pPr>
      <w:r>
        <w:rPr>
          <w:rFonts w:hint="eastAsia" w:ascii="宋体" w:hAnsi="宋体"/>
          <w:szCs w:val="21"/>
        </w:rPr>
        <w:t>善意取得在性质上属于原始取得，</w:t>
      </w:r>
      <w:r>
        <w:rPr>
          <w:rFonts w:hint="eastAsia" w:ascii="宋体" w:hAnsi="宋体"/>
          <w:szCs w:val="21"/>
          <w:lang w:eastAsia="zh-CN"/>
        </w:rPr>
        <w:t>（</w:t>
      </w:r>
      <w:r>
        <w:rPr>
          <w:rFonts w:hint="eastAsia" w:ascii="宋体" w:hAnsi="宋体"/>
          <w:szCs w:val="21"/>
          <w:lang w:val="en-US" w:eastAsia="zh-CN"/>
        </w:rPr>
        <w:t>不依前手的取得是原始取得</w:t>
      </w:r>
      <w:r>
        <w:rPr>
          <w:rFonts w:hint="eastAsia" w:ascii="宋体" w:hAnsi="宋体"/>
          <w:szCs w:val="21"/>
          <w:lang w:eastAsia="zh-CN"/>
        </w:rPr>
        <w:t>），</w:t>
      </w:r>
      <w:r>
        <w:rPr>
          <w:rFonts w:hint="eastAsia" w:ascii="宋体" w:hAnsi="宋体"/>
          <w:szCs w:val="21"/>
        </w:rPr>
        <w:t>原始取得是一种不负负担的取得，因该所有权取得的效果，不仅原所有人的所有权消灭，而且他人在物上的其他权利也将消灭。</w:t>
      </w:r>
      <w:r>
        <w:rPr>
          <w:rFonts w:hint="eastAsia" w:ascii="宋体" w:hAnsi="宋体"/>
          <w:szCs w:val="21"/>
          <w:lang w:val="en-US" w:eastAsia="zh-CN"/>
        </w:rPr>
        <w:t>如动产上存在的质权负担，也因善意取得而消灭</w:t>
      </w:r>
    </w:p>
    <w:p w14:paraId="77A60F2B">
      <w:pPr>
        <w:pStyle w:val="2"/>
        <w:spacing w:line="276" w:lineRule="auto"/>
        <w:rPr>
          <w:rFonts w:hint="default" w:eastAsia="宋体"/>
          <w:color w:val="auto"/>
          <w:sz w:val="36"/>
          <w:szCs w:val="36"/>
          <w:lang w:val="en-US" w:eastAsia="zh-CN"/>
        </w:rPr>
      </w:pPr>
      <w:r>
        <w:rPr>
          <w:rFonts w:hint="eastAsia"/>
          <w:color w:val="auto"/>
          <w:sz w:val="36"/>
          <w:szCs w:val="36"/>
          <w:lang w:val="en-US" w:eastAsia="zh-CN"/>
        </w:rPr>
        <w:t>专题4</w:t>
      </w:r>
      <w:r>
        <w:rPr>
          <w:rFonts w:hint="eastAsia"/>
          <w:color w:val="auto"/>
          <w:sz w:val="36"/>
          <w:szCs w:val="36"/>
        </w:rPr>
        <w:t xml:space="preserve">  </w:t>
      </w:r>
      <w:r>
        <w:rPr>
          <w:rFonts w:hint="eastAsia"/>
          <w:color w:val="auto"/>
          <w:sz w:val="36"/>
          <w:szCs w:val="36"/>
          <w:lang w:val="en-US" w:eastAsia="zh-CN"/>
        </w:rPr>
        <w:t>担保物权</w:t>
      </w:r>
    </w:p>
    <w:p w14:paraId="6175E043">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一、担保物权的类型体系</w:t>
      </w:r>
    </w:p>
    <w:p w14:paraId="0229424F">
      <w:pPr>
        <w:spacing w:line="384"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autofit"/>
        <w:tblCellMar>
          <w:top w:w="0" w:type="dxa"/>
          <w:left w:w="108" w:type="dxa"/>
          <w:bottom w:w="0" w:type="dxa"/>
          <w:right w:w="108" w:type="dxa"/>
        </w:tblCellMar>
      </w:tblPr>
      <w:tblGrid>
        <w:gridCol w:w="1244"/>
        <w:gridCol w:w="1661"/>
        <w:gridCol w:w="1196"/>
        <w:gridCol w:w="1701"/>
        <w:gridCol w:w="2703"/>
      </w:tblGrid>
      <w:tr w14:paraId="4F962DEB">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restart"/>
            <w:vAlign w:val="center"/>
          </w:tcPr>
          <w:p w14:paraId="03E18D9F">
            <w:pPr>
              <w:spacing w:before="42" w:beforeLines="10" w:after="63" w:afterLines="15"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担保物权</w:t>
            </w:r>
          </w:p>
        </w:tc>
        <w:tc>
          <w:tcPr>
            <w:tcW w:w="1661" w:type="dxa"/>
            <w:vMerge w:val="restart"/>
            <w:vAlign w:val="center"/>
          </w:tcPr>
          <w:p w14:paraId="7F02B3B9">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典型担保物权</w:t>
            </w:r>
          </w:p>
        </w:tc>
        <w:tc>
          <w:tcPr>
            <w:tcW w:w="1196" w:type="dxa"/>
            <w:vMerge w:val="restart"/>
            <w:vAlign w:val="center"/>
          </w:tcPr>
          <w:p w14:paraId="25B5C26D">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抵押权</w:t>
            </w:r>
          </w:p>
        </w:tc>
        <w:tc>
          <w:tcPr>
            <w:tcW w:w="4404" w:type="dxa"/>
            <w:gridSpan w:val="2"/>
            <w:vAlign w:val="center"/>
          </w:tcPr>
          <w:p w14:paraId="48F08E76">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一般抵押权（包括不动产和动产）</w:t>
            </w:r>
          </w:p>
        </w:tc>
      </w:tr>
      <w:tr w14:paraId="33EC775A">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80" w:hRule="atLeast"/>
          <w:jc w:val="center"/>
        </w:trPr>
        <w:tc>
          <w:tcPr>
            <w:tcW w:w="1244" w:type="dxa"/>
            <w:vMerge w:val="continue"/>
            <w:vAlign w:val="center"/>
          </w:tcPr>
          <w:p w14:paraId="4F6C5D2C">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0B3F41CC">
            <w:pPr>
              <w:spacing w:before="42" w:beforeLines="10" w:after="63" w:afterLines="15" w:line="280" w:lineRule="exact"/>
              <w:rPr>
                <w:rFonts w:hint="eastAsia" w:ascii="汉仪书宋一简" w:eastAsia="汉仪书宋一简"/>
                <w:bCs/>
                <w:sz w:val="20"/>
                <w:szCs w:val="20"/>
              </w:rPr>
            </w:pPr>
          </w:p>
        </w:tc>
        <w:tc>
          <w:tcPr>
            <w:tcW w:w="1196" w:type="dxa"/>
            <w:vMerge w:val="continue"/>
            <w:vAlign w:val="center"/>
          </w:tcPr>
          <w:p w14:paraId="14CBD64D">
            <w:pPr>
              <w:spacing w:before="42" w:beforeLines="10" w:after="63" w:afterLines="15" w:line="280" w:lineRule="exact"/>
              <w:rPr>
                <w:rFonts w:hint="eastAsia" w:ascii="汉仪书宋一简" w:eastAsia="汉仪书宋一简"/>
                <w:bCs/>
                <w:sz w:val="20"/>
                <w:szCs w:val="20"/>
              </w:rPr>
            </w:pPr>
          </w:p>
        </w:tc>
        <w:tc>
          <w:tcPr>
            <w:tcW w:w="1701" w:type="dxa"/>
            <w:vMerge w:val="restart"/>
            <w:vAlign w:val="center"/>
          </w:tcPr>
          <w:p w14:paraId="6AE8FB5F">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特殊抵押权</w:t>
            </w:r>
          </w:p>
        </w:tc>
        <w:tc>
          <w:tcPr>
            <w:tcW w:w="2703" w:type="dxa"/>
            <w:vAlign w:val="center"/>
          </w:tcPr>
          <w:p w14:paraId="07005C95">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最高额抵押权</w:t>
            </w:r>
          </w:p>
        </w:tc>
      </w:tr>
      <w:tr w14:paraId="55F99DE3">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11AB8C84">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7D3A6F1A">
            <w:pPr>
              <w:spacing w:before="42" w:beforeLines="10" w:after="63" w:afterLines="15" w:line="280" w:lineRule="exact"/>
              <w:rPr>
                <w:rFonts w:hint="eastAsia" w:ascii="汉仪书宋一简" w:eastAsia="汉仪书宋一简"/>
                <w:bCs/>
                <w:sz w:val="20"/>
                <w:szCs w:val="20"/>
              </w:rPr>
            </w:pPr>
          </w:p>
        </w:tc>
        <w:tc>
          <w:tcPr>
            <w:tcW w:w="1196" w:type="dxa"/>
            <w:vMerge w:val="continue"/>
            <w:vAlign w:val="center"/>
          </w:tcPr>
          <w:p w14:paraId="45C53FC4">
            <w:pPr>
              <w:spacing w:before="42" w:beforeLines="10" w:after="63" w:afterLines="15" w:line="280" w:lineRule="exact"/>
              <w:rPr>
                <w:rFonts w:hint="eastAsia" w:ascii="汉仪书宋一简" w:eastAsia="汉仪书宋一简"/>
                <w:bCs/>
                <w:sz w:val="20"/>
                <w:szCs w:val="20"/>
              </w:rPr>
            </w:pPr>
          </w:p>
        </w:tc>
        <w:tc>
          <w:tcPr>
            <w:tcW w:w="1701" w:type="dxa"/>
            <w:vMerge w:val="continue"/>
            <w:vAlign w:val="center"/>
          </w:tcPr>
          <w:p w14:paraId="3B2C1DD7">
            <w:pPr>
              <w:spacing w:before="42" w:beforeLines="10" w:after="63" w:afterLines="15" w:line="280" w:lineRule="exact"/>
              <w:rPr>
                <w:rFonts w:hint="eastAsia" w:ascii="汉仪书宋一简" w:eastAsia="汉仪书宋一简"/>
                <w:bCs/>
                <w:sz w:val="20"/>
                <w:szCs w:val="20"/>
              </w:rPr>
            </w:pPr>
          </w:p>
        </w:tc>
        <w:tc>
          <w:tcPr>
            <w:tcW w:w="2703" w:type="dxa"/>
            <w:vAlign w:val="center"/>
          </w:tcPr>
          <w:p w14:paraId="2681A091">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浮动抵押权</w:t>
            </w:r>
          </w:p>
        </w:tc>
      </w:tr>
      <w:tr w14:paraId="232E157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642AE4AE">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5C93D188">
            <w:pPr>
              <w:spacing w:before="42" w:beforeLines="10" w:after="63" w:afterLines="15" w:line="280" w:lineRule="exact"/>
              <w:rPr>
                <w:rFonts w:hint="eastAsia" w:ascii="汉仪书宋一简" w:eastAsia="汉仪书宋一简"/>
                <w:bCs/>
                <w:sz w:val="20"/>
                <w:szCs w:val="20"/>
              </w:rPr>
            </w:pPr>
          </w:p>
        </w:tc>
        <w:tc>
          <w:tcPr>
            <w:tcW w:w="1196" w:type="dxa"/>
            <w:vMerge w:val="restart"/>
            <w:vAlign w:val="center"/>
          </w:tcPr>
          <w:p w14:paraId="2DDA44F2">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质权</w:t>
            </w:r>
          </w:p>
        </w:tc>
        <w:tc>
          <w:tcPr>
            <w:tcW w:w="4404" w:type="dxa"/>
            <w:gridSpan w:val="2"/>
            <w:vAlign w:val="center"/>
          </w:tcPr>
          <w:p w14:paraId="2993B907">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动产质权</w:t>
            </w:r>
          </w:p>
        </w:tc>
      </w:tr>
      <w:tr w14:paraId="7234A11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39FA3A7E">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4FA2B975">
            <w:pPr>
              <w:spacing w:before="42" w:beforeLines="10" w:after="63" w:afterLines="15" w:line="280" w:lineRule="exact"/>
              <w:rPr>
                <w:rFonts w:hint="eastAsia" w:ascii="汉仪书宋一简" w:eastAsia="汉仪书宋一简"/>
                <w:bCs/>
                <w:sz w:val="20"/>
                <w:szCs w:val="20"/>
              </w:rPr>
            </w:pPr>
          </w:p>
        </w:tc>
        <w:tc>
          <w:tcPr>
            <w:tcW w:w="1196" w:type="dxa"/>
            <w:vMerge w:val="continue"/>
            <w:vAlign w:val="center"/>
          </w:tcPr>
          <w:p w14:paraId="30B1947F">
            <w:pPr>
              <w:spacing w:before="42" w:beforeLines="10" w:after="63" w:afterLines="15" w:line="280" w:lineRule="exact"/>
              <w:rPr>
                <w:rFonts w:hint="eastAsia" w:ascii="汉仪书宋一简" w:eastAsia="汉仪书宋一简"/>
                <w:bCs/>
                <w:sz w:val="20"/>
                <w:szCs w:val="20"/>
              </w:rPr>
            </w:pPr>
          </w:p>
        </w:tc>
        <w:tc>
          <w:tcPr>
            <w:tcW w:w="4404" w:type="dxa"/>
            <w:gridSpan w:val="2"/>
            <w:vAlign w:val="center"/>
          </w:tcPr>
          <w:p w14:paraId="279AA18F">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权利质权</w:t>
            </w:r>
          </w:p>
        </w:tc>
      </w:tr>
      <w:tr w14:paraId="4C7AB4F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6816089D">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30554DAC">
            <w:pPr>
              <w:spacing w:before="42" w:beforeLines="10" w:after="63" w:afterLines="15" w:line="280" w:lineRule="exact"/>
              <w:rPr>
                <w:rFonts w:hint="eastAsia" w:ascii="汉仪书宋一简" w:eastAsia="汉仪书宋一简"/>
                <w:bCs/>
                <w:sz w:val="20"/>
                <w:szCs w:val="20"/>
              </w:rPr>
            </w:pPr>
          </w:p>
        </w:tc>
        <w:tc>
          <w:tcPr>
            <w:tcW w:w="1196" w:type="dxa"/>
            <w:vMerge w:val="restart"/>
            <w:vAlign w:val="center"/>
          </w:tcPr>
          <w:p w14:paraId="539182C5">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留置权</w:t>
            </w:r>
          </w:p>
        </w:tc>
        <w:tc>
          <w:tcPr>
            <w:tcW w:w="4404" w:type="dxa"/>
            <w:gridSpan w:val="2"/>
            <w:vAlign w:val="center"/>
          </w:tcPr>
          <w:p w14:paraId="10529DC1">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民事留置权</w:t>
            </w:r>
          </w:p>
        </w:tc>
      </w:tr>
      <w:tr w14:paraId="56440C5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1A7CC531">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3FA5A664">
            <w:pPr>
              <w:spacing w:before="42" w:beforeLines="10" w:after="63" w:afterLines="15" w:line="280" w:lineRule="exact"/>
              <w:rPr>
                <w:rFonts w:hint="eastAsia" w:ascii="汉仪书宋一简" w:eastAsia="汉仪书宋一简"/>
                <w:bCs/>
                <w:sz w:val="20"/>
                <w:szCs w:val="20"/>
              </w:rPr>
            </w:pPr>
          </w:p>
        </w:tc>
        <w:tc>
          <w:tcPr>
            <w:tcW w:w="1196" w:type="dxa"/>
            <w:vMerge w:val="continue"/>
            <w:vAlign w:val="center"/>
          </w:tcPr>
          <w:p w14:paraId="50ED3001">
            <w:pPr>
              <w:spacing w:before="42" w:beforeLines="10" w:after="63" w:afterLines="15" w:line="280" w:lineRule="exact"/>
              <w:rPr>
                <w:rFonts w:hint="eastAsia" w:ascii="汉仪书宋一简" w:eastAsia="汉仪书宋一简"/>
                <w:bCs/>
                <w:sz w:val="20"/>
                <w:szCs w:val="20"/>
              </w:rPr>
            </w:pPr>
          </w:p>
        </w:tc>
        <w:tc>
          <w:tcPr>
            <w:tcW w:w="4404" w:type="dxa"/>
            <w:gridSpan w:val="2"/>
            <w:vAlign w:val="center"/>
          </w:tcPr>
          <w:p w14:paraId="365782DC">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商事留置权</w:t>
            </w:r>
          </w:p>
        </w:tc>
      </w:tr>
      <w:tr w14:paraId="458418D9">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0B9B087B">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restart"/>
            <w:vAlign w:val="center"/>
          </w:tcPr>
          <w:p w14:paraId="55A10F1B">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非典型担保物权</w:t>
            </w:r>
          </w:p>
        </w:tc>
        <w:tc>
          <w:tcPr>
            <w:tcW w:w="5600" w:type="dxa"/>
            <w:gridSpan w:val="3"/>
            <w:vAlign w:val="center"/>
          </w:tcPr>
          <w:p w14:paraId="1ECD5009">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所有权保留买卖【民641】</w:t>
            </w:r>
          </w:p>
        </w:tc>
      </w:tr>
      <w:tr w14:paraId="0F77C05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77BA23C8">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3AFB9F86">
            <w:pPr>
              <w:spacing w:before="42" w:beforeLines="10" w:after="63" w:afterLines="15" w:line="280" w:lineRule="exact"/>
              <w:rPr>
                <w:rFonts w:hint="eastAsia" w:ascii="汉仪书宋一简" w:eastAsia="汉仪书宋一简"/>
                <w:bCs/>
                <w:sz w:val="20"/>
                <w:szCs w:val="20"/>
              </w:rPr>
            </w:pPr>
          </w:p>
        </w:tc>
        <w:tc>
          <w:tcPr>
            <w:tcW w:w="5600" w:type="dxa"/>
            <w:gridSpan w:val="3"/>
            <w:vAlign w:val="center"/>
          </w:tcPr>
          <w:p w14:paraId="6223B8DC">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融资租赁【民745】</w:t>
            </w:r>
          </w:p>
        </w:tc>
      </w:tr>
      <w:tr w14:paraId="1350A3AE">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0019A897">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73654F11">
            <w:pPr>
              <w:spacing w:before="42" w:beforeLines="10" w:after="63" w:afterLines="15" w:line="280" w:lineRule="exact"/>
              <w:rPr>
                <w:rFonts w:hint="eastAsia" w:ascii="汉仪书宋一简" w:eastAsia="汉仪书宋一简"/>
                <w:bCs/>
                <w:sz w:val="20"/>
                <w:szCs w:val="20"/>
              </w:rPr>
            </w:pPr>
          </w:p>
        </w:tc>
        <w:tc>
          <w:tcPr>
            <w:tcW w:w="5600" w:type="dxa"/>
            <w:gridSpan w:val="3"/>
            <w:vAlign w:val="center"/>
          </w:tcPr>
          <w:p w14:paraId="10973172">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有追索权的保理【民766-768】</w:t>
            </w:r>
          </w:p>
        </w:tc>
      </w:tr>
      <w:tr w14:paraId="238835B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17A405B5">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0A7BACC6">
            <w:pPr>
              <w:spacing w:before="42" w:beforeLines="10" w:after="63" w:afterLines="15" w:line="280" w:lineRule="exact"/>
              <w:rPr>
                <w:rFonts w:hint="eastAsia" w:ascii="汉仪书宋一简" w:eastAsia="汉仪书宋一简"/>
                <w:bCs/>
                <w:sz w:val="20"/>
                <w:szCs w:val="20"/>
              </w:rPr>
            </w:pPr>
          </w:p>
        </w:tc>
        <w:tc>
          <w:tcPr>
            <w:tcW w:w="5600" w:type="dxa"/>
            <w:gridSpan w:val="3"/>
            <w:vAlign w:val="center"/>
          </w:tcPr>
          <w:p w14:paraId="459FEE5D">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让与担保【民法典担保制度解释68】</w:t>
            </w:r>
          </w:p>
        </w:tc>
      </w:tr>
      <w:tr w14:paraId="4D3A939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244" w:type="dxa"/>
            <w:vMerge w:val="continue"/>
            <w:vAlign w:val="center"/>
          </w:tcPr>
          <w:p w14:paraId="3B823FDE">
            <w:pPr>
              <w:spacing w:before="42" w:beforeLines="10" w:after="63" w:afterLines="15" w:line="280" w:lineRule="exact"/>
              <w:jc w:val="center"/>
              <w:rPr>
                <w:rFonts w:ascii="汉仪中黑简" w:hAnsi="Times New Roman" w:eastAsia="汉仪中黑简" w:cs="Times New Roman"/>
                <w:sz w:val="20"/>
                <w:szCs w:val="20"/>
              </w:rPr>
            </w:pPr>
          </w:p>
        </w:tc>
        <w:tc>
          <w:tcPr>
            <w:tcW w:w="1661" w:type="dxa"/>
            <w:vMerge w:val="continue"/>
            <w:vAlign w:val="center"/>
          </w:tcPr>
          <w:p w14:paraId="0ED907EF">
            <w:pPr>
              <w:spacing w:before="42" w:beforeLines="10" w:after="63" w:afterLines="15" w:line="280" w:lineRule="exact"/>
              <w:rPr>
                <w:rFonts w:hint="eastAsia" w:ascii="汉仪书宋一简" w:eastAsia="汉仪书宋一简"/>
                <w:bCs/>
                <w:sz w:val="20"/>
                <w:szCs w:val="20"/>
              </w:rPr>
            </w:pPr>
          </w:p>
        </w:tc>
        <w:tc>
          <w:tcPr>
            <w:tcW w:w="5600" w:type="dxa"/>
            <w:gridSpan w:val="3"/>
            <w:vAlign w:val="center"/>
          </w:tcPr>
          <w:p w14:paraId="37121EF6">
            <w:pPr>
              <w:spacing w:before="42" w:beforeLines="10" w:after="63" w:afterLines="15" w:line="280" w:lineRule="exact"/>
              <w:rPr>
                <w:rFonts w:hint="eastAsia" w:ascii="汉仪书宋一简" w:eastAsia="汉仪书宋一简"/>
                <w:bCs/>
                <w:sz w:val="20"/>
                <w:szCs w:val="20"/>
              </w:rPr>
            </w:pPr>
            <w:r>
              <w:rPr>
                <w:rFonts w:hint="eastAsia" w:ascii="汉仪书宋一简" w:eastAsia="汉仪书宋一简"/>
                <w:bCs/>
                <w:sz w:val="20"/>
                <w:szCs w:val="20"/>
              </w:rPr>
              <w:t>履行期届满前的以物抵债【民法典合同编通则解释28】</w:t>
            </w:r>
          </w:p>
          <w:p w14:paraId="4844DAD0">
            <w:pPr>
              <w:spacing w:before="42" w:beforeLines="10" w:after="63" w:afterLines="15" w:line="280" w:lineRule="exact"/>
              <w:rPr>
                <w:rFonts w:hint="default" w:ascii="汉仪书宋一简" w:eastAsia="汉仪书宋一简"/>
                <w:bCs/>
                <w:sz w:val="20"/>
                <w:szCs w:val="20"/>
                <w:lang w:val="en-US" w:eastAsia="zh-CN"/>
              </w:rPr>
            </w:pPr>
            <w:r>
              <w:rPr>
                <w:rFonts w:hint="eastAsia" w:ascii="汉仪书宋一简" w:eastAsia="汉仪书宋一简"/>
                <w:bCs/>
                <w:color w:val="0000FF"/>
                <w:sz w:val="20"/>
                <w:szCs w:val="20"/>
                <w:lang w:val="en-US" w:eastAsia="zh-CN"/>
              </w:rPr>
              <w:t>履行期限届满后的发生合同效力</w:t>
            </w:r>
          </w:p>
        </w:tc>
      </w:tr>
    </w:tbl>
    <w:p w14:paraId="03FDDCBE">
      <w:pPr>
        <w:ind w:firstLine="480"/>
        <w:rPr>
          <w:rFonts w:hint="default" w:eastAsia="宋体"/>
          <w:szCs w:val="21"/>
          <w:lang w:val="en-US" w:eastAsia="zh-CN"/>
        </w:rPr>
      </w:pPr>
      <w:r>
        <w:rPr>
          <w:rFonts w:hint="eastAsia"/>
          <w:szCs w:val="21"/>
        </w:rPr>
        <w:t>就在物上设定具有担保功能的权利而言，《民法典》</w:t>
      </w:r>
      <w:r>
        <w:rPr>
          <w:rFonts w:hint="eastAsia"/>
          <w:color w:val="FF0000"/>
          <w:szCs w:val="21"/>
        </w:rPr>
        <w:t>在合同编规定的所有权保留买卖、融资租赁与保理</w:t>
      </w:r>
      <w:r>
        <w:rPr>
          <w:rFonts w:hint="eastAsia"/>
          <w:color w:val="FF0000"/>
          <w:szCs w:val="21"/>
          <w:lang w:eastAsia="zh-CN"/>
        </w:rPr>
        <w:t>、</w:t>
      </w:r>
      <w:r>
        <w:rPr>
          <w:rFonts w:hint="eastAsia"/>
          <w:color w:val="FF0000"/>
          <w:szCs w:val="21"/>
          <w:lang w:val="en-US" w:eastAsia="zh-CN"/>
        </w:rPr>
        <w:t>让与担保等</w:t>
      </w:r>
      <w:r>
        <w:rPr>
          <w:rFonts w:hint="eastAsia"/>
          <w:color w:val="FF0000"/>
          <w:szCs w:val="21"/>
        </w:rPr>
        <w:t>同样系在特定担保财产上设定的担保权</w:t>
      </w:r>
      <w:r>
        <w:rPr>
          <w:rFonts w:hint="eastAsia"/>
          <w:szCs w:val="21"/>
        </w:rPr>
        <w:t>。</w:t>
      </w:r>
    </w:p>
    <w:p w14:paraId="0AFBAFE4">
      <w:pPr>
        <w:rPr>
          <w:rFonts w:hint="default" w:eastAsia="宋体"/>
          <w:lang w:val="en-US" w:eastAsia="zh-CN"/>
        </w:rPr>
      </w:pPr>
      <w:r>
        <w:rPr>
          <w:rFonts w:hint="eastAsia"/>
          <w:lang w:val="en-US" w:eastAsia="zh-CN"/>
        </w:rPr>
        <w:t xml:space="preserve"> 担保的规则可以适用到所有权保留等实质担保之中</w:t>
      </w:r>
    </w:p>
    <w:p w14:paraId="4D51FE11"/>
    <w:p w14:paraId="79E31037">
      <w:pPr>
        <w:spacing w:line="276" w:lineRule="auto"/>
        <w:jc w:val="left"/>
        <w:outlineLvl w:val="1"/>
        <w:rPr>
          <w:rFonts w:ascii="宋体" w:hAnsi="宋体"/>
          <w:b/>
          <w:szCs w:val="24"/>
        </w:rPr>
      </w:pPr>
      <w:r>
        <w:rPr>
          <w:rFonts w:hint="eastAsia" w:ascii="宋体" w:hAnsi="宋体"/>
          <w:b/>
          <w:szCs w:val="24"/>
          <w:lang w:val="en-US" w:eastAsia="zh-CN"/>
        </w:rPr>
        <w:t>二、</w:t>
      </w:r>
      <w:r>
        <w:rPr>
          <w:rFonts w:hint="eastAsia" w:ascii="宋体" w:hAnsi="宋体"/>
          <w:b/>
          <w:szCs w:val="24"/>
        </w:rPr>
        <w:t>担保物权</w:t>
      </w:r>
      <w:r>
        <w:rPr>
          <w:rFonts w:hint="eastAsia"/>
          <w:b/>
          <w:szCs w:val="24"/>
        </w:rPr>
        <w:t>的特征</w:t>
      </w:r>
    </w:p>
    <w:p w14:paraId="7338F3B7">
      <w:pPr>
        <w:spacing w:line="276" w:lineRule="auto"/>
        <w:ind w:firstLine="480"/>
        <w:rPr>
          <w:rFonts w:ascii="宋体" w:hAnsi="宋体"/>
          <w:szCs w:val="21"/>
        </w:rPr>
      </w:pPr>
      <w:r>
        <w:rPr>
          <w:rFonts w:hint="eastAsia" w:ascii="宋体" w:hAnsi="宋体"/>
          <w:szCs w:val="21"/>
        </w:rPr>
        <w:t>1.从属性</w:t>
      </w:r>
    </w:p>
    <w:p w14:paraId="5F75F411">
      <w:pPr>
        <w:spacing w:line="276" w:lineRule="auto"/>
        <w:ind w:firstLine="480"/>
        <w:rPr>
          <w:rFonts w:ascii="宋体" w:hAnsi="宋体"/>
          <w:szCs w:val="21"/>
        </w:rPr>
      </w:pPr>
      <w:r>
        <w:rPr>
          <w:rFonts w:hint="eastAsia" w:ascii="宋体" w:hAnsi="宋体"/>
          <w:szCs w:val="21"/>
        </w:rPr>
        <w:t>根据担保权的从属性，明确了</w:t>
      </w:r>
      <w:r>
        <w:rPr>
          <w:rFonts w:hint="eastAsia" w:ascii="宋体" w:hAnsi="宋体"/>
          <w:szCs w:val="21"/>
          <w:u w:val="single"/>
        </w:rPr>
        <w:t>主合同无效从合同亦无效</w:t>
      </w:r>
      <w:r>
        <w:rPr>
          <w:rFonts w:hint="eastAsia" w:ascii="宋体" w:hAnsi="宋体"/>
          <w:szCs w:val="21"/>
        </w:rPr>
        <w:t>的规则（第3</w:t>
      </w:r>
      <w:r>
        <w:rPr>
          <w:rFonts w:ascii="宋体" w:hAnsi="宋体"/>
          <w:szCs w:val="21"/>
        </w:rPr>
        <w:t>88</w:t>
      </w:r>
      <w:r>
        <w:rPr>
          <w:rFonts w:hint="eastAsia" w:ascii="宋体" w:hAnsi="宋体"/>
          <w:szCs w:val="21"/>
        </w:rPr>
        <w:t>条、第6</w:t>
      </w:r>
      <w:r>
        <w:rPr>
          <w:rFonts w:ascii="宋体" w:hAnsi="宋体"/>
          <w:szCs w:val="21"/>
        </w:rPr>
        <w:t>82</w:t>
      </w:r>
      <w:r>
        <w:rPr>
          <w:rFonts w:hint="eastAsia" w:ascii="宋体" w:hAnsi="宋体"/>
          <w:szCs w:val="21"/>
        </w:rPr>
        <w:t>条）。</w:t>
      </w:r>
    </w:p>
    <w:p w14:paraId="76ACD74A">
      <w:pPr>
        <w:spacing w:line="276" w:lineRule="auto"/>
        <w:ind w:firstLine="480"/>
        <w:rPr>
          <w:rFonts w:hint="eastAsia" w:ascii="宋体" w:hAnsi="宋体"/>
          <w:color w:val="FF0000"/>
          <w:szCs w:val="21"/>
          <w:u w:val="single"/>
        </w:rPr>
      </w:pPr>
      <w:r>
        <w:rPr>
          <w:rFonts w:hint="eastAsia" w:ascii="宋体" w:hAnsi="宋体"/>
          <w:szCs w:val="21"/>
        </w:rPr>
        <w:t>除金融机构出具独立保函外，其他担保合同，</w:t>
      </w:r>
      <w:r>
        <w:rPr>
          <w:rFonts w:hint="eastAsia" w:ascii="宋体" w:hAnsi="宋体"/>
          <w:szCs w:val="21"/>
          <w:u w:val="single"/>
        </w:rPr>
        <w:t>如当事人约定主合同无效而</w:t>
      </w:r>
      <w:r>
        <w:rPr>
          <w:rFonts w:hint="eastAsia" w:ascii="宋体" w:hAnsi="宋体"/>
          <w:color w:val="FF0000"/>
          <w:szCs w:val="21"/>
          <w:u w:val="single"/>
        </w:rPr>
        <w:t>担保合同</w:t>
      </w:r>
      <w:r>
        <w:rPr>
          <w:rFonts w:hint="eastAsia" w:ascii="宋体" w:hAnsi="宋体"/>
          <w:color w:val="FF0000"/>
          <w:szCs w:val="21"/>
          <w:u w:val="single"/>
          <w:lang w:val="en-US" w:eastAsia="zh-CN"/>
        </w:rPr>
        <w:t>有效</w:t>
      </w:r>
      <w:r>
        <w:rPr>
          <w:rFonts w:hint="eastAsia" w:ascii="宋体" w:hAnsi="宋体"/>
          <w:color w:val="FF0000"/>
          <w:szCs w:val="21"/>
          <w:u w:val="single"/>
        </w:rPr>
        <w:t>的</w:t>
      </w:r>
      <w:r>
        <w:rPr>
          <w:rFonts w:hint="eastAsia" w:ascii="宋体" w:hAnsi="宋体"/>
          <w:szCs w:val="21"/>
          <w:u w:val="single"/>
        </w:rPr>
        <w:t>，则该约定无效</w:t>
      </w:r>
      <w:r>
        <w:rPr>
          <w:rFonts w:hint="eastAsia" w:ascii="宋体" w:hAnsi="宋体"/>
          <w:szCs w:val="21"/>
        </w:rPr>
        <w:t>；</w:t>
      </w:r>
      <w:r>
        <w:rPr>
          <w:rFonts w:hint="eastAsia" w:ascii="宋体" w:hAnsi="宋体"/>
          <w:szCs w:val="21"/>
          <w:u w:val="single"/>
        </w:rPr>
        <w:t>如果因担保人与债权人就担保本身约定违约责任等，导致担保人承担担保责任的范围超过债务人的债务的，</w:t>
      </w:r>
      <w:r>
        <w:rPr>
          <w:rFonts w:hint="eastAsia" w:ascii="宋体" w:hAnsi="宋体"/>
          <w:color w:val="FF0000"/>
          <w:szCs w:val="21"/>
          <w:u w:val="single"/>
        </w:rPr>
        <w:t>则担保人仅须在债务人债务范围内承担担保责任。</w:t>
      </w:r>
    </w:p>
    <w:p w14:paraId="446E2B71">
      <w:pPr>
        <w:spacing w:line="276" w:lineRule="auto"/>
        <w:ind w:firstLine="480"/>
        <w:rPr>
          <w:rFonts w:hint="eastAsia" w:ascii="宋体" w:hAnsi="宋体"/>
          <w:color w:val="FF0000"/>
          <w:szCs w:val="21"/>
          <w:u w:val="single"/>
        </w:rPr>
      </w:pPr>
      <w:r>
        <w:rPr>
          <w:rFonts w:hint="eastAsia" w:ascii="宋体" w:hAnsi="宋体"/>
          <w:color w:val="FF0000"/>
          <w:szCs w:val="21"/>
          <w:u w:val="single"/>
        </w:rPr>
        <w:t>担保物权在设立、移转、范围、消灭、效力上都从属于主债权</w:t>
      </w:r>
    </w:p>
    <w:p w14:paraId="36B68440">
      <w:pPr>
        <w:spacing w:line="276" w:lineRule="auto"/>
        <w:ind w:firstLine="480"/>
        <w:rPr>
          <w:rFonts w:hint="eastAsia" w:ascii="宋体" w:hAnsi="宋体"/>
          <w:szCs w:val="21"/>
          <w:lang w:eastAsia="zh-CN"/>
        </w:rPr>
      </w:pPr>
      <w:r>
        <w:rPr>
          <w:rFonts w:hint="eastAsia" w:ascii="宋体" w:hAnsi="宋体"/>
          <w:szCs w:val="21"/>
        </w:rPr>
        <w:t>2.不可分性</w:t>
      </w:r>
      <w:r>
        <w:rPr>
          <w:rFonts w:hint="eastAsia" w:ascii="宋体" w:hAnsi="宋体"/>
          <w:szCs w:val="21"/>
          <w:lang w:eastAsia="zh-CN"/>
        </w:rPr>
        <w:t>：担保物权人与其全部债权受偿之前，得就担保财产之全部行使其权利</w:t>
      </w:r>
    </w:p>
    <w:p w14:paraId="14263048">
      <w:pPr>
        <w:spacing w:line="276" w:lineRule="auto"/>
        <w:ind w:firstLine="480"/>
        <w:rPr>
          <w:rFonts w:hint="eastAsia" w:ascii="宋体" w:hAnsi="宋体" w:eastAsia="宋体"/>
          <w:szCs w:val="21"/>
          <w:lang w:eastAsia="zh-CN"/>
        </w:rPr>
      </w:pPr>
    </w:p>
    <w:p w14:paraId="5B219558">
      <w:pPr>
        <w:spacing w:line="276" w:lineRule="auto"/>
        <w:ind w:firstLine="480"/>
        <w:rPr>
          <w:rFonts w:ascii="宋体" w:hAnsi="宋体"/>
          <w:szCs w:val="21"/>
        </w:rPr>
      </w:pPr>
      <w:r>
        <w:rPr>
          <w:rFonts w:hint="eastAsia" w:ascii="宋体" w:hAnsi="宋体"/>
          <w:szCs w:val="21"/>
        </w:rPr>
        <w:t>3.权利行使的附条件性</w:t>
      </w:r>
    </w:p>
    <w:p w14:paraId="3D53D21B">
      <w:pPr>
        <w:spacing w:line="276" w:lineRule="auto"/>
        <w:ind w:firstLine="480"/>
        <w:rPr>
          <w:rFonts w:hint="eastAsia" w:ascii="宋体" w:hAnsi="宋体"/>
          <w:szCs w:val="21"/>
        </w:rPr>
      </w:pPr>
      <w:r>
        <w:rPr>
          <w:rFonts w:hint="eastAsia" w:ascii="宋体" w:hAnsi="宋体"/>
          <w:color w:val="FF0000"/>
          <w:szCs w:val="21"/>
        </w:rPr>
        <w:t>只有在债务人到期不清偿债务时</w:t>
      </w:r>
      <w:r>
        <w:rPr>
          <w:rFonts w:hint="eastAsia" w:ascii="宋体" w:hAnsi="宋体"/>
          <w:szCs w:val="21"/>
        </w:rPr>
        <w:t>，担保物权人才有必要且才能实际行使留置、变价和优先受偿等权利。</w:t>
      </w:r>
    </w:p>
    <w:p w14:paraId="1EB66C85">
      <w:pPr>
        <w:spacing w:line="276" w:lineRule="auto"/>
        <w:ind w:firstLine="480"/>
        <w:rPr>
          <w:rFonts w:ascii="宋体" w:hAnsi="宋体"/>
          <w:szCs w:val="21"/>
        </w:rPr>
      </w:pPr>
      <w:r>
        <w:rPr>
          <w:rFonts w:hint="eastAsia" w:ascii="宋体" w:hAnsi="宋体"/>
          <w:szCs w:val="21"/>
        </w:rPr>
        <w:t>4.物上代位性</w:t>
      </w:r>
    </w:p>
    <w:p w14:paraId="7EAA82A4">
      <w:pPr>
        <w:spacing w:line="276" w:lineRule="auto"/>
        <w:ind w:firstLine="480"/>
        <w:rPr>
          <w:rFonts w:ascii="楷体" w:hAnsi="楷体" w:eastAsia="楷体"/>
          <w:szCs w:val="21"/>
        </w:rPr>
      </w:pPr>
      <w:r>
        <w:rPr>
          <w:rFonts w:hint="eastAsia" w:ascii="楷体" w:hAnsi="楷体" w:eastAsia="楷体"/>
          <w:szCs w:val="21"/>
        </w:rPr>
        <w:t>《民法典》第</w:t>
      </w:r>
      <w:r>
        <w:rPr>
          <w:rFonts w:ascii="楷体" w:hAnsi="楷体" w:eastAsia="楷体"/>
          <w:szCs w:val="21"/>
        </w:rPr>
        <w:t>390</w:t>
      </w:r>
      <w:r>
        <w:rPr>
          <w:rFonts w:hint="eastAsia" w:ascii="楷体" w:hAnsi="楷体" w:eastAsia="楷体"/>
          <w:szCs w:val="21"/>
        </w:rPr>
        <w:t>条  担保期间，担保财产毁损、灭失或者被征收等，担</w:t>
      </w:r>
      <w:r>
        <w:rPr>
          <w:rFonts w:hint="eastAsia" w:ascii="楷体" w:hAnsi="楷体" w:eastAsia="楷体"/>
          <w:color w:val="FF0000"/>
          <w:szCs w:val="21"/>
        </w:rPr>
        <w:t>保物权人可以就获得的保险金、赔偿金或者补偿金等优先受偿</w:t>
      </w:r>
      <w:r>
        <w:rPr>
          <w:rFonts w:hint="eastAsia" w:ascii="楷体" w:hAnsi="楷体" w:eastAsia="楷体"/>
          <w:szCs w:val="21"/>
        </w:rPr>
        <w:t>。</w:t>
      </w:r>
      <w:r>
        <w:rPr>
          <w:rFonts w:hint="eastAsia" w:ascii="楷体" w:hAnsi="楷体" w:eastAsia="楷体"/>
          <w:szCs w:val="21"/>
          <w:lang w:eastAsia="zh-CN"/>
        </w:rPr>
        <w:t>（</w:t>
      </w:r>
      <w:r>
        <w:rPr>
          <w:rFonts w:hint="eastAsia" w:ascii="楷体" w:hAnsi="楷体" w:eastAsia="楷体"/>
          <w:szCs w:val="21"/>
          <w:lang w:val="en-US" w:eastAsia="zh-CN"/>
        </w:rPr>
        <w:t>也包括其他代位物</w:t>
      </w:r>
      <w:r>
        <w:rPr>
          <w:rFonts w:hint="eastAsia" w:ascii="楷体" w:hAnsi="楷体" w:eastAsia="楷体"/>
          <w:szCs w:val="21"/>
          <w:lang w:eastAsia="zh-CN"/>
        </w:rPr>
        <w:t>）</w:t>
      </w:r>
      <w:r>
        <w:rPr>
          <w:rFonts w:hint="eastAsia" w:ascii="楷体" w:hAnsi="楷体" w:eastAsia="楷体"/>
          <w:szCs w:val="21"/>
        </w:rPr>
        <w:t>被担保债权的履行期未届满的，也可以提存该保险金、赔偿金或者补偿金等。</w:t>
      </w:r>
    </w:p>
    <w:p w14:paraId="20F75CF5">
      <w:pPr>
        <w:spacing w:line="276" w:lineRule="auto"/>
        <w:ind w:firstLine="480"/>
        <w:rPr>
          <w:rFonts w:ascii="楷体" w:hAnsi="楷体" w:eastAsia="楷体"/>
          <w:szCs w:val="21"/>
        </w:rPr>
      </w:pPr>
      <w:r>
        <w:rPr>
          <w:rFonts w:ascii="楷体" w:hAnsi="楷体" w:eastAsia="楷体"/>
          <w:szCs w:val="21"/>
        </w:rPr>
        <w:t xml:space="preserve"> </w:t>
      </w:r>
      <w:r>
        <w:rPr>
          <w:rFonts w:hint="eastAsia" w:ascii="楷体" w:hAnsi="楷体" w:eastAsia="楷体"/>
          <w:szCs w:val="21"/>
        </w:rPr>
        <w:t>抵押权依法设立后，抵押财产毁损、灭失或者被征收等，抵押权人请求按照原抵押权的顺位就保险金、赔偿金或者补偿金等优先受偿的，人民法院应予支持。</w:t>
      </w:r>
    </w:p>
    <w:p w14:paraId="23CFC29A">
      <w:pPr>
        <w:spacing w:line="276" w:lineRule="auto"/>
        <w:ind w:firstLine="480"/>
        <w:rPr>
          <w:rFonts w:hint="eastAsia" w:ascii="楷体" w:hAnsi="楷体" w:eastAsia="楷体"/>
          <w:color w:val="FF0000"/>
          <w:szCs w:val="21"/>
          <w:u w:val="single"/>
          <w:lang w:eastAsia="zh-CN"/>
        </w:rPr>
      </w:pPr>
      <w:r>
        <w:rPr>
          <w:rFonts w:hint="eastAsia" w:ascii="楷体" w:hAnsi="楷体" w:eastAsia="楷体"/>
          <w:color w:val="FF0000"/>
          <w:szCs w:val="21"/>
          <w:u w:val="single"/>
        </w:rPr>
        <w:t>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r>
        <w:rPr>
          <w:rFonts w:hint="eastAsia" w:ascii="楷体" w:hAnsi="楷体" w:eastAsia="楷体"/>
          <w:color w:val="FF0000"/>
          <w:szCs w:val="21"/>
          <w:u w:val="single"/>
          <w:lang w:eastAsia="zh-CN"/>
        </w:rPr>
        <w:t>（</w:t>
      </w:r>
      <w:r>
        <w:rPr>
          <w:rFonts w:hint="eastAsia" w:ascii="楷体" w:hAnsi="楷体" w:eastAsia="楷体"/>
          <w:color w:val="FF0000"/>
          <w:szCs w:val="21"/>
          <w:u w:val="single"/>
          <w:lang w:val="en-US" w:eastAsia="zh-CN"/>
        </w:rPr>
        <w:t>通知后需要向担保物权人清偿</w:t>
      </w:r>
      <w:r>
        <w:rPr>
          <w:rFonts w:hint="eastAsia" w:ascii="楷体" w:hAnsi="楷体" w:eastAsia="楷体"/>
          <w:color w:val="FF0000"/>
          <w:szCs w:val="21"/>
          <w:u w:val="single"/>
          <w:lang w:eastAsia="zh-CN"/>
        </w:rPr>
        <w:t>）</w:t>
      </w:r>
    </w:p>
    <w:p w14:paraId="6F875F53">
      <w:pPr>
        <w:spacing w:line="276" w:lineRule="auto"/>
        <w:ind w:firstLine="480"/>
        <w:rPr>
          <w:rFonts w:hint="eastAsia" w:ascii="楷体" w:hAnsi="楷体" w:eastAsia="楷体"/>
          <w:szCs w:val="21"/>
        </w:rPr>
      </w:pPr>
      <w:r>
        <w:rPr>
          <w:rFonts w:hint="eastAsia" w:ascii="楷体" w:hAnsi="楷体" w:eastAsia="楷体"/>
          <w:szCs w:val="21"/>
        </w:rPr>
        <w:t>抵押权人请求给付义务人向其给付保险金、赔偿金或者补偿金的，人民法院可以通知抵押人作为第三人参加诉讼.</w:t>
      </w:r>
    </w:p>
    <w:p w14:paraId="3720E0E4">
      <w:pPr>
        <w:spacing w:line="276" w:lineRule="auto"/>
        <w:ind w:firstLine="480"/>
        <w:rPr>
          <w:rFonts w:hint="eastAsia" w:ascii="楷体" w:hAnsi="楷体" w:eastAsia="楷体"/>
          <w:szCs w:val="21"/>
        </w:rPr>
      </w:pPr>
    </w:p>
    <w:p w14:paraId="23ADE061">
      <w:pPr>
        <w:spacing w:line="276" w:lineRule="auto"/>
        <w:ind w:firstLine="480"/>
        <w:rPr>
          <w:rFonts w:hint="eastAsia" w:ascii="宋体" w:hAnsi="宋体" w:eastAsia="宋体" w:cs="宋体"/>
          <w:color w:val="FF0000"/>
          <w:sz w:val="24"/>
          <w:szCs w:val="24"/>
          <w:lang w:val="en-US" w:eastAsia="zh-CN"/>
        </w:rPr>
      </w:pPr>
      <w:r>
        <w:rPr>
          <w:rFonts w:hint="eastAsia" w:ascii="宋体" w:hAnsi="宋体" w:eastAsia="宋体" w:cs="宋体"/>
          <w:color w:val="FF0000"/>
          <w:szCs w:val="21"/>
          <w:lang w:val="en-US" w:eastAsia="zh-CN"/>
        </w:rPr>
        <w:t>原担保顺位继续维持</w:t>
      </w:r>
    </w:p>
    <w:p w14:paraId="7852A77B">
      <w:pPr>
        <w:keepNext w:val="0"/>
        <w:keepLines w:val="0"/>
        <w:pageBreakBefore w:val="0"/>
        <w:widowControl w:val="0"/>
        <w:kinsoku/>
        <w:wordWrap/>
        <w:overflowPunct/>
        <w:topLinePunct w:val="0"/>
        <w:bidi w:val="0"/>
        <w:adjustRightInd/>
        <w:snapToGrid/>
        <w:spacing w:line="400" w:lineRule="atLeast"/>
        <w:ind w:firstLine="48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抵押权依法设立后，抵押财产毁损、灭失或者被征收等，抵押权人请求按照原抵押权的顺位就保险金、赔偿金或者补偿金等优先受偿的，人民法院应予支持。</w:t>
      </w:r>
    </w:p>
    <w:p w14:paraId="7CB47834">
      <w:pPr>
        <w:spacing w:line="276" w:lineRule="auto"/>
        <w:ind w:firstLine="480"/>
        <w:rPr>
          <w:rFonts w:hint="default" w:ascii="楷体" w:hAnsi="楷体" w:eastAsia="楷体"/>
          <w:szCs w:val="21"/>
          <w:lang w:val="en-US" w:eastAsia="zh-CN"/>
        </w:rPr>
      </w:pPr>
      <w:r>
        <w:rPr>
          <w:rFonts w:hint="eastAsia" w:ascii="楷体" w:hAnsi="楷体" w:eastAsia="楷体" w:cs="楷体"/>
          <w:sz w:val="24"/>
          <w:szCs w:val="24"/>
          <w:lang w:val="en-US" w:eastAsia="zh-CN"/>
        </w:rPr>
        <w:t>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p>
    <w:p w14:paraId="7996807E">
      <w:pPr>
        <w:rPr>
          <w:rFonts w:hint="default" w:eastAsia="宋体"/>
          <w:lang w:val="en-US" w:eastAsia="zh-CN"/>
        </w:rPr>
      </w:pPr>
    </w:p>
    <w:p w14:paraId="631DF11A">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三、抵押权</w:t>
      </w:r>
    </w:p>
    <w:p w14:paraId="0EB76696">
      <w:pPr>
        <w:spacing w:line="384" w:lineRule="exact"/>
        <w:ind w:firstLine="420" w:firstLineChars="200"/>
        <w:rPr>
          <w:rFonts w:hint="eastAsia" w:ascii="汉仪书宋二简" w:eastAsia="汉仪书宋二简"/>
          <w:bCs/>
        </w:rPr>
      </w:pPr>
    </w:p>
    <w:p w14:paraId="2CE750CD">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（一）抵押权的设立</w:t>
      </w:r>
    </w:p>
    <w:p w14:paraId="1F769765">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1．不动产抵押权的设立</w:t>
      </w:r>
    </w:p>
    <w:p w14:paraId="0D24E77D">
      <w:pPr>
        <w:keepNext w:val="0"/>
        <w:keepLines w:val="0"/>
        <w:pageBreakBefore w:val="0"/>
        <w:widowControl w:val="0"/>
        <w:numPr>
          <w:ilvl w:val="0"/>
          <w:numId w:val="0"/>
        </w:numPr>
        <w:kinsoku/>
        <w:wordWrap/>
        <w:overflowPunct/>
        <w:topLinePunct w:val="0"/>
        <w:bidi w:val="0"/>
        <w:adjustRightInd/>
        <w:snapToGrid/>
        <w:spacing w:line="400" w:lineRule="atLeast"/>
        <w:ind w:leftChars="0"/>
        <w:jc w:val="both"/>
        <w:textAlignment w:val="auto"/>
        <w:rPr>
          <w:rFonts w:hint="default" w:ascii="宋体" w:hAnsi="宋体" w:cs="Times New Roman"/>
          <w:sz w:val="21"/>
          <w:szCs w:val="21"/>
          <w:lang w:val="en-US" w:eastAsia="zh-CN"/>
        </w:rPr>
      </w:pPr>
      <w:r>
        <w:rPr>
          <w:rFonts w:hint="eastAsia" w:ascii="宋体" w:hAnsi="宋体" w:cs="Times New Roman"/>
          <w:sz w:val="21"/>
          <w:szCs w:val="21"/>
          <w:lang w:val="en-US" w:eastAsia="zh-CN"/>
        </w:rPr>
        <w:t>A.继续履行</w:t>
      </w:r>
    </w:p>
    <w:p w14:paraId="3CC207A7">
      <w:pPr>
        <w:keepNext w:val="0"/>
        <w:keepLines w:val="0"/>
        <w:pageBreakBefore w:val="0"/>
        <w:widowControl w:val="0"/>
        <w:numPr>
          <w:ilvl w:val="0"/>
          <w:numId w:val="0"/>
        </w:numPr>
        <w:kinsoku/>
        <w:wordWrap/>
        <w:overflowPunct/>
        <w:topLinePunct w:val="0"/>
        <w:bidi w:val="0"/>
        <w:adjustRightInd/>
        <w:snapToGrid/>
        <w:spacing w:line="400" w:lineRule="atLeast"/>
        <w:ind w:leftChars="0" w:firstLine="480"/>
        <w:jc w:val="both"/>
        <w:textAlignment w:val="auto"/>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不动产抵押合同生效后未办理抵押登记手续，债权人请求抵押人办理抵押登记手续的，人民法院应予支持。</w:t>
      </w:r>
    </w:p>
    <w:p w14:paraId="4438A12E">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rPr>
          <w:rFonts w:hint="default" w:ascii="宋体" w:hAnsi="宋体"/>
          <w:sz w:val="21"/>
          <w:szCs w:val="21"/>
          <w:lang w:val="en-US" w:eastAsia="zh-CN"/>
        </w:rPr>
      </w:pPr>
      <w:r>
        <w:rPr>
          <w:rFonts w:hint="eastAsia" w:ascii="宋体" w:hAnsi="宋体"/>
          <w:sz w:val="21"/>
          <w:szCs w:val="21"/>
          <w:lang w:val="en-US" w:eastAsia="zh-CN"/>
        </w:rPr>
        <w:t>B.代位物抵押</w:t>
      </w:r>
    </w:p>
    <w:p w14:paraId="25CA53C4">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rPr>
          <w:rFonts w:hint="default" w:ascii="宋体" w:hAnsi="宋体"/>
          <w:sz w:val="21"/>
          <w:szCs w:val="21"/>
          <w:lang w:val="en-US" w:eastAsia="zh-CN"/>
        </w:rPr>
      </w:pPr>
      <w:r>
        <w:rPr>
          <w:rFonts w:hint="default" w:ascii="宋体" w:hAnsi="宋体"/>
          <w:sz w:val="21"/>
          <w:szCs w:val="21"/>
          <w:lang w:val="en-US" w:eastAsia="zh-CN"/>
        </w:rPr>
        <w:t>　　</w:t>
      </w:r>
      <w:r>
        <w:rPr>
          <w:rFonts w:hint="default" w:ascii="楷体" w:hAnsi="楷体" w:eastAsia="楷体" w:cs="楷体"/>
          <w:sz w:val="21"/>
          <w:szCs w:val="21"/>
          <w:lang w:val="en-US" w:eastAsia="zh-CN"/>
        </w:rPr>
        <w:t>抵押财产因不可归责于抵押人自身的原因灭失或者被征收等导致不能办理抵押登记，债权人请求抵押人在约定的担保范围内承担责任的，人民法院不予支持；但是抵押人已经获得保险金、赔偿金或者补偿金等，债权人请求抵押人在其所获金额范围内承担赔偿责任的，人民法院依法予以支持。</w:t>
      </w:r>
    </w:p>
    <w:p w14:paraId="046D55C5">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rPr>
          <w:rFonts w:hint="default" w:ascii="宋体" w:hAnsi="宋体"/>
          <w:sz w:val="21"/>
          <w:szCs w:val="21"/>
          <w:lang w:val="en-US" w:eastAsia="zh-CN"/>
        </w:rPr>
      </w:pPr>
      <w:r>
        <w:rPr>
          <w:rFonts w:hint="eastAsia" w:ascii="宋体" w:hAnsi="宋体"/>
          <w:sz w:val="21"/>
          <w:szCs w:val="21"/>
          <w:lang w:val="en-US" w:eastAsia="zh-CN"/>
        </w:rPr>
        <w:t>C.赔偿损失（担保责任）</w:t>
      </w:r>
    </w:p>
    <w:p w14:paraId="51B1A4D1">
      <w:pPr>
        <w:spacing w:line="276" w:lineRule="auto"/>
        <w:ind w:firstLine="480"/>
        <w:rPr>
          <w:rFonts w:hint="default" w:ascii="楷体" w:hAnsi="楷体" w:eastAsia="楷体" w:cs="楷体"/>
          <w:sz w:val="21"/>
          <w:szCs w:val="21"/>
          <w:lang w:val="en-US" w:eastAsia="zh-CN"/>
        </w:rPr>
      </w:pPr>
      <w:r>
        <w:rPr>
          <w:rFonts w:hint="default" w:ascii="楷体" w:hAnsi="楷体" w:eastAsia="楷体" w:cs="楷体"/>
          <w:sz w:val="21"/>
          <w:szCs w:val="21"/>
          <w:lang w:val="en-US" w:eastAsia="zh-CN"/>
        </w:rPr>
        <w:t>因抵押人转让抵押财产或者其他可归责于抵押人自身的原因导致不能办理抵押登记，</w:t>
      </w:r>
      <w:r>
        <w:rPr>
          <w:rFonts w:hint="default" w:ascii="楷体" w:hAnsi="楷体" w:eastAsia="楷体" w:cs="楷体"/>
          <w:b/>
          <w:bCs/>
          <w:sz w:val="21"/>
          <w:szCs w:val="21"/>
          <w:lang w:val="en-US" w:eastAsia="zh-CN"/>
        </w:rPr>
        <w:t>债权人请求抵押人在约定的担保范围内承担责任的，人民法院依法予以支持，但是不得超过抵押权能够设立时抵押人应当承担的责任范围</w:t>
      </w:r>
      <w:r>
        <w:rPr>
          <w:rFonts w:hint="default" w:ascii="楷体" w:hAnsi="楷体" w:eastAsia="楷体" w:cs="楷体"/>
          <w:sz w:val="21"/>
          <w:szCs w:val="21"/>
          <w:lang w:val="en-US" w:eastAsia="zh-CN"/>
        </w:rPr>
        <w:t>。</w:t>
      </w:r>
    </w:p>
    <w:p w14:paraId="623DDBE2">
      <w:pPr>
        <w:spacing w:line="384" w:lineRule="exact"/>
        <w:ind w:firstLine="420" w:firstLineChars="200"/>
        <w:rPr>
          <w:rFonts w:hint="eastAsia" w:ascii="楷体" w:hAnsi="楷体" w:eastAsia="楷体"/>
          <w:bCs/>
        </w:rPr>
      </w:pPr>
    </w:p>
    <w:p w14:paraId="7DE7C439">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2．动产抵押权的设立</w:t>
      </w:r>
    </w:p>
    <w:p w14:paraId="5D0EC415">
      <w:pPr>
        <w:spacing w:line="276" w:lineRule="auto"/>
        <w:ind w:firstLine="480"/>
        <w:rPr>
          <w:b/>
          <w:sz w:val="21"/>
          <w:szCs w:val="21"/>
        </w:rPr>
      </w:pPr>
      <w:r>
        <w:rPr>
          <w:rFonts w:hint="eastAsia" w:ascii="宋体" w:hAnsi="宋体"/>
          <w:b/>
          <w:sz w:val="21"/>
          <w:szCs w:val="21"/>
        </w:rPr>
        <w:t>1</w:t>
      </w:r>
      <w:r>
        <w:rPr>
          <w:rFonts w:ascii="宋体" w:hAnsi="宋体"/>
          <w:b/>
          <w:sz w:val="21"/>
          <w:szCs w:val="21"/>
        </w:rPr>
        <w:t>.</w:t>
      </w:r>
      <w:r>
        <w:rPr>
          <w:rFonts w:hint="eastAsia" w:ascii="宋体" w:hAnsi="宋体"/>
          <w:b/>
          <w:sz w:val="21"/>
          <w:szCs w:val="21"/>
        </w:rPr>
        <w:t>动</w:t>
      </w:r>
      <w:r>
        <w:rPr>
          <w:rFonts w:hint="eastAsia"/>
          <w:b/>
          <w:sz w:val="21"/>
          <w:szCs w:val="21"/>
        </w:rPr>
        <w:t>产抵押权的设立及“登记对抗”</w:t>
      </w:r>
    </w:p>
    <w:p w14:paraId="23B8BB49">
      <w:pPr>
        <w:spacing w:line="276" w:lineRule="auto"/>
        <w:ind w:firstLine="480"/>
        <w:rPr>
          <w:rFonts w:ascii="宋体" w:hAnsi="宋体"/>
          <w:sz w:val="21"/>
          <w:szCs w:val="21"/>
        </w:rPr>
      </w:pPr>
      <w:r>
        <w:rPr>
          <w:rFonts w:hint="eastAsia" w:ascii="宋体" w:hAnsi="宋体"/>
          <w:sz w:val="21"/>
          <w:szCs w:val="21"/>
          <w:lang w:val="en-US" w:eastAsia="zh-CN"/>
        </w:rPr>
        <w:t>动产</w:t>
      </w:r>
      <w:r>
        <w:rPr>
          <w:rFonts w:hint="eastAsia" w:ascii="宋体" w:hAnsi="宋体"/>
          <w:sz w:val="21"/>
          <w:szCs w:val="21"/>
        </w:rPr>
        <w:t>抵押权自抵押合同生效时设立，但是，</w:t>
      </w:r>
      <w:r>
        <w:rPr>
          <w:rFonts w:hint="eastAsia" w:ascii="宋体" w:hAnsi="宋体"/>
          <w:sz w:val="21"/>
          <w:szCs w:val="21"/>
          <w:u w:val="single"/>
        </w:rPr>
        <w:t>抵押权未经登记的，不得对抗善意第三人</w:t>
      </w:r>
      <w:r>
        <w:rPr>
          <w:rFonts w:hint="eastAsia" w:ascii="宋体" w:hAnsi="宋体"/>
          <w:sz w:val="21"/>
          <w:szCs w:val="21"/>
        </w:rPr>
        <w:t>。</w:t>
      </w:r>
    </w:p>
    <w:p w14:paraId="7ABE3A6E">
      <w:pPr>
        <w:ind w:firstLine="480"/>
        <w:rPr>
          <w:rFonts w:hint="eastAsia" w:ascii="等线" w:hAnsi="等线"/>
          <w:color w:val="FF0000"/>
          <w:sz w:val="21"/>
          <w:szCs w:val="21"/>
          <w:u w:val="single"/>
        </w:rPr>
      </w:pPr>
      <w:r>
        <w:rPr>
          <w:rFonts w:hint="eastAsia" w:ascii="等线" w:hAnsi="等线"/>
          <w:sz w:val="21"/>
          <w:szCs w:val="21"/>
          <w:u w:val="single"/>
        </w:rPr>
        <w:t>动产抵押合同签订后未办理抵押登记的，抵押权人不仅不能对抗交易中的善意第三人（</w:t>
      </w:r>
      <w:r>
        <w:rPr>
          <w:rFonts w:hint="eastAsia" w:ascii="等线" w:hAnsi="等线"/>
          <w:color w:val="FF0000"/>
          <w:sz w:val="21"/>
          <w:szCs w:val="21"/>
          <w:u w:val="single"/>
          <w:lang w:val="en-US" w:eastAsia="zh-CN"/>
        </w:rPr>
        <w:t>已经移转占有的</w:t>
      </w:r>
      <w:r>
        <w:rPr>
          <w:rFonts w:hint="eastAsia" w:ascii="等线" w:hAnsi="等线"/>
          <w:color w:val="FF0000"/>
          <w:sz w:val="21"/>
          <w:szCs w:val="21"/>
          <w:u w:val="single"/>
        </w:rPr>
        <w:t>抵押物的买受人或承租人</w:t>
      </w:r>
      <w:r>
        <w:rPr>
          <w:rFonts w:hint="eastAsia" w:ascii="等线" w:hAnsi="等线"/>
          <w:color w:val="FF0000"/>
          <w:sz w:val="21"/>
          <w:szCs w:val="21"/>
          <w:u w:val="single"/>
          <w:lang w:eastAsia="zh-CN"/>
        </w:rPr>
        <w:t>，但是抵押权人能够举证证明承租人知道或者应当知道已经订立抵押合同的除外；</w:t>
      </w:r>
      <w:r>
        <w:rPr>
          <w:rFonts w:hint="eastAsia" w:ascii="等线" w:hAnsi="等线"/>
          <w:sz w:val="21"/>
          <w:szCs w:val="21"/>
          <w:u w:val="single"/>
        </w:rPr>
        <w:t>），而且，</w:t>
      </w:r>
      <w:r>
        <w:rPr>
          <w:rFonts w:hint="eastAsia" w:ascii="等线" w:hAnsi="等线"/>
          <w:color w:val="FF0000"/>
          <w:sz w:val="21"/>
          <w:szCs w:val="21"/>
          <w:u w:val="single"/>
        </w:rPr>
        <w:t>抵押人的其他债权人向人民法院申请保全或者执行抵押财产，抵押权人主张对该动产优先受偿的，人民法院不予支</w:t>
      </w:r>
      <w:r>
        <w:rPr>
          <w:rFonts w:hint="eastAsia" w:ascii="等线" w:hAnsi="等线"/>
          <w:sz w:val="21"/>
          <w:szCs w:val="21"/>
          <w:u w:val="single"/>
        </w:rPr>
        <w:t>持；动产抵押合同签订后未办理抵押登记，抵押人破产，债权人主张对该动产优先受偿的，人民法院不予支持</w:t>
      </w:r>
      <w:r>
        <w:rPr>
          <w:rFonts w:hint="eastAsia" w:ascii="等线" w:hAnsi="等线"/>
          <w:color w:val="FF0000"/>
          <w:sz w:val="21"/>
          <w:szCs w:val="21"/>
          <w:u w:val="single"/>
          <w:lang w:eastAsia="zh-CN"/>
        </w:rPr>
        <w:t>（</w:t>
      </w:r>
      <w:r>
        <w:rPr>
          <w:rFonts w:hint="eastAsia" w:ascii="等线" w:hAnsi="等线"/>
          <w:color w:val="FF0000"/>
          <w:sz w:val="21"/>
          <w:szCs w:val="21"/>
          <w:u w:val="single"/>
          <w:lang w:val="en-US" w:eastAsia="zh-CN"/>
        </w:rPr>
        <w:t>没有别除权</w:t>
      </w:r>
      <w:r>
        <w:rPr>
          <w:rFonts w:hint="eastAsia" w:ascii="等线" w:hAnsi="等线"/>
          <w:color w:val="FF0000"/>
          <w:sz w:val="21"/>
          <w:szCs w:val="21"/>
          <w:u w:val="single"/>
          <w:lang w:eastAsia="zh-CN"/>
        </w:rPr>
        <w:t>）</w:t>
      </w:r>
      <w:r>
        <w:rPr>
          <w:rFonts w:hint="eastAsia" w:ascii="等线" w:hAnsi="等线"/>
          <w:color w:val="FF0000"/>
          <w:sz w:val="21"/>
          <w:szCs w:val="21"/>
          <w:u w:val="single"/>
        </w:rPr>
        <w:t>。</w:t>
      </w:r>
    </w:p>
    <w:p w14:paraId="0393D9CD">
      <w:pPr>
        <w:ind w:firstLine="480"/>
        <w:rPr>
          <w:rFonts w:hint="eastAsia" w:ascii="等线" w:hAnsi="等线"/>
          <w:color w:val="FF0000"/>
          <w:sz w:val="21"/>
          <w:szCs w:val="21"/>
          <w:u w:val="single"/>
        </w:rPr>
      </w:pPr>
      <w:r>
        <w:rPr>
          <w:rFonts w:hint="eastAsia" w:ascii="等线" w:hAnsi="等线"/>
          <w:color w:val="FF0000"/>
          <w:sz w:val="21"/>
          <w:szCs w:val="21"/>
          <w:u w:val="single"/>
          <w:lang w:val="en-US" w:eastAsia="zh-CN"/>
        </w:rPr>
        <w:t>总结：</w:t>
      </w:r>
      <w:r>
        <w:rPr>
          <w:rFonts w:hint="eastAsia" w:ascii="等线" w:hAnsi="等线"/>
          <w:color w:val="FF0000"/>
          <w:sz w:val="21"/>
          <w:szCs w:val="21"/>
          <w:u w:val="single"/>
        </w:rPr>
        <w:t>未登记动产抵押权不得对抗第三人的范围</w:t>
      </w:r>
    </w:p>
    <w:p w14:paraId="0DEBCB51">
      <w:pPr>
        <w:ind w:firstLine="480"/>
        <w:rPr>
          <w:rFonts w:hint="eastAsia" w:ascii="等线" w:hAnsi="等线"/>
          <w:color w:val="FF0000"/>
          <w:sz w:val="21"/>
          <w:szCs w:val="21"/>
          <w:u w:val="single"/>
        </w:rPr>
      </w:pPr>
      <w:r>
        <w:rPr>
          <w:rFonts w:hint="eastAsia" w:ascii="等线" w:hAnsi="等线"/>
          <w:color w:val="FF0000"/>
          <w:sz w:val="21"/>
          <w:szCs w:val="21"/>
          <w:u w:val="single"/>
        </w:rPr>
        <w:t>抵押物受让人、抵押物承租人、作出财产保全裁定或者采取执行措施对应的债权人、破产债权人</w:t>
      </w:r>
    </w:p>
    <w:p w14:paraId="69897333">
      <w:pPr>
        <w:ind w:firstLine="480"/>
        <w:rPr>
          <w:rFonts w:hint="eastAsia" w:ascii="等线" w:hAnsi="等线"/>
          <w:color w:val="FF0000"/>
          <w:sz w:val="21"/>
          <w:szCs w:val="21"/>
          <w:u w:val="single"/>
        </w:rPr>
      </w:pPr>
    </w:p>
    <w:p w14:paraId="6EF0193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（二）房地一并抵押</w:t>
      </w:r>
    </w:p>
    <w:p w14:paraId="105DD626">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rPr>
          <w:rFonts w:hint="default" w:ascii="宋体" w:hAnsi="宋体"/>
          <w:sz w:val="21"/>
          <w:szCs w:val="21"/>
          <w:lang w:val="en-US" w:eastAsia="zh-CN"/>
        </w:rPr>
      </w:pPr>
      <w:r>
        <w:rPr>
          <w:rFonts w:hint="eastAsia" w:ascii="宋体" w:hAnsi="宋体"/>
          <w:sz w:val="21"/>
          <w:szCs w:val="21"/>
          <w:lang w:val="en-US" w:eastAsia="zh-CN"/>
        </w:rPr>
        <w:t>A.地上有房、房地一体抵押</w:t>
      </w:r>
    </w:p>
    <w:p w14:paraId="17C62AEE">
      <w:pPr>
        <w:keepNext w:val="0"/>
        <w:keepLines w:val="0"/>
        <w:pageBreakBefore w:val="0"/>
        <w:widowControl w:val="0"/>
        <w:numPr>
          <w:ilvl w:val="0"/>
          <w:numId w:val="0"/>
        </w:numPr>
        <w:kinsoku/>
        <w:wordWrap/>
        <w:overflowPunct/>
        <w:topLinePunct w:val="0"/>
        <w:bidi w:val="0"/>
        <w:adjustRightInd/>
        <w:snapToGrid/>
        <w:spacing w:line="400" w:lineRule="atLeas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以建筑物抵押的，该建筑物占用范围内的建设用地使用权一并抵押。以建设用地使用权抵押的，该土地上的建筑物一并抵押。</w:t>
      </w:r>
    </w:p>
    <w:p w14:paraId="78AEBBFD">
      <w:pPr>
        <w:keepNext w:val="0"/>
        <w:keepLines w:val="0"/>
        <w:pageBreakBefore w:val="0"/>
        <w:widowControl w:val="0"/>
        <w:numPr>
          <w:ilvl w:val="0"/>
          <w:numId w:val="0"/>
        </w:numPr>
        <w:kinsoku/>
        <w:wordWrap/>
        <w:overflowPunct/>
        <w:topLinePunct w:val="0"/>
        <w:bidi w:val="0"/>
        <w:adjustRightInd/>
        <w:snapToGrid/>
        <w:spacing w:line="400" w:lineRule="atLeas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抵押人未依据前款规定一并抵押的，未抵押的财产视为一并抵押。</w:t>
      </w:r>
    </w:p>
    <w:p w14:paraId="276FC19F">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rPr>
          <w:rFonts w:hint="eastAsia" w:ascii="宋体" w:hAnsi="宋体"/>
          <w:sz w:val="21"/>
          <w:szCs w:val="21"/>
          <w:lang w:val="en-US" w:eastAsia="zh-CN"/>
        </w:rPr>
      </w:pPr>
      <w:r>
        <w:rPr>
          <w:rFonts w:hint="eastAsia" w:ascii="宋体" w:hAnsi="宋体"/>
          <w:sz w:val="21"/>
          <w:szCs w:val="21"/>
          <w:lang w:val="en-US" w:eastAsia="zh-CN"/>
        </w:rPr>
        <w:t>B.抵押权顺位（根据登记确定）</w:t>
      </w:r>
    </w:p>
    <w:p w14:paraId="1956592C">
      <w:pPr>
        <w:keepNext w:val="0"/>
        <w:keepLines w:val="0"/>
        <w:pageBreakBefore w:val="0"/>
        <w:widowControl w:val="0"/>
        <w:numPr>
          <w:ilvl w:val="0"/>
          <w:numId w:val="0"/>
        </w:numPr>
        <w:kinsoku/>
        <w:wordWrap/>
        <w:overflowPunct/>
        <w:topLinePunct w:val="0"/>
        <w:bidi w:val="0"/>
        <w:adjustRightInd/>
        <w:snapToGrid/>
        <w:spacing w:line="400" w:lineRule="atLeast"/>
        <w:ind w:firstLine="420" w:firstLineChars="200"/>
        <w:jc w:val="both"/>
        <w:textAlignment w:val="auto"/>
        <w:rPr>
          <w:rFonts w:hint="default" w:ascii="宋体" w:hAnsi="宋体"/>
          <w:sz w:val="21"/>
          <w:szCs w:val="21"/>
          <w:lang w:val="en-US" w:eastAsia="zh-CN"/>
        </w:rPr>
      </w:pPr>
      <w:r>
        <w:rPr>
          <w:rFonts w:hint="default" w:ascii="楷体" w:hAnsi="楷体" w:eastAsia="楷体" w:cs="楷体"/>
          <w:sz w:val="21"/>
          <w:szCs w:val="21"/>
          <w:lang w:val="en-US" w:eastAsia="zh-CN"/>
        </w:rPr>
        <w:t>抵押人将建设用地使用权、土地上的建筑物或者正在建造的建筑物分别抵押给不同债权人的，人民法院应当根据抵押登记的时间先后确定清偿顺序。</w:t>
      </w:r>
    </w:p>
    <w:p w14:paraId="05A918ED">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rPr>
          <w:rFonts w:hint="default" w:ascii="宋体" w:hAnsi="宋体"/>
          <w:sz w:val="21"/>
          <w:szCs w:val="21"/>
          <w:lang w:val="en-US" w:eastAsia="zh-CN"/>
        </w:rPr>
      </w:pPr>
      <w:r>
        <w:rPr>
          <w:rFonts w:hint="eastAsia" w:ascii="宋体" w:hAnsi="宋体"/>
          <w:sz w:val="21"/>
          <w:szCs w:val="21"/>
          <w:lang w:val="en-US" w:eastAsia="zh-CN"/>
        </w:rPr>
        <w:t>C.新增部分不属于抵押权范围、但一并处分</w:t>
      </w:r>
    </w:p>
    <w:p w14:paraId="6D8CF05C">
      <w:pPr>
        <w:keepNext w:val="0"/>
        <w:keepLines w:val="0"/>
        <w:pageBreakBefore w:val="0"/>
        <w:widowControl w:val="0"/>
        <w:numPr>
          <w:ilvl w:val="0"/>
          <w:numId w:val="0"/>
        </w:numPr>
        <w:kinsoku/>
        <w:wordWrap/>
        <w:overflowPunct/>
        <w:topLinePunct w:val="0"/>
        <w:bidi w:val="0"/>
        <w:adjustRightInd/>
        <w:snapToGrid/>
        <w:spacing w:line="400" w:lineRule="atLeast"/>
        <w:ind w:firstLine="420" w:firstLineChars="200"/>
        <w:jc w:val="both"/>
        <w:textAlignment w:val="auto"/>
        <w:rPr>
          <w:rFonts w:hint="eastAsia" w:ascii="宋体" w:hAnsi="宋体"/>
          <w:sz w:val="21"/>
          <w:szCs w:val="21"/>
          <w:lang w:val="en-US" w:eastAsia="zh-CN"/>
        </w:rPr>
      </w:pPr>
      <w:r>
        <w:rPr>
          <w:rFonts w:hint="eastAsia" w:ascii="宋体" w:hAnsi="宋体"/>
          <w:sz w:val="21"/>
          <w:szCs w:val="21"/>
          <w:lang w:val="en-US" w:eastAsia="zh-CN"/>
        </w:rPr>
        <w:t>建设用地使用权抵押后，该土地上新增的建筑物不属于抵押财产。</w:t>
      </w:r>
    </w:p>
    <w:p w14:paraId="5521066B">
      <w:pPr>
        <w:keepNext w:val="0"/>
        <w:keepLines w:val="0"/>
        <w:pageBreakBefore w:val="0"/>
        <w:widowControl w:val="0"/>
        <w:numPr>
          <w:ilvl w:val="0"/>
          <w:numId w:val="0"/>
        </w:numPr>
        <w:kinsoku/>
        <w:wordWrap/>
        <w:overflowPunct/>
        <w:topLinePunct w:val="0"/>
        <w:bidi w:val="0"/>
        <w:adjustRightInd/>
        <w:snapToGrid/>
        <w:spacing w:line="400" w:lineRule="atLeast"/>
        <w:ind w:firstLine="420" w:firstLineChars="200"/>
        <w:jc w:val="both"/>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当事人以正在建造的建筑物抵押，抵押权的效力范围限于已办理抵押登记的部分。当事人按照担保合同的约定，</w:t>
      </w:r>
      <w:r>
        <w:rPr>
          <w:rFonts w:hint="eastAsia" w:ascii="楷体" w:hAnsi="楷体" w:eastAsia="楷体" w:cs="楷体"/>
          <w:b/>
          <w:bCs/>
          <w:sz w:val="21"/>
          <w:szCs w:val="21"/>
          <w:lang w:val="en-US" w:eastAsia="zh-CN"/>
        </w:rPr>
        <w:t>主张抵押权的效力及于续建部分、新增建筑物以及规划中尚未建造的建筑物的</w:t>
      </w:r>
      <w:r>
        <w:rPr>
          <w:rFonts w:hint="eastAsia" w:ascii="楷体" w:hAnsi="楷体" w:eastAsia="楷体" w:cs="楷体"/>
          <w:sz w:val="21"/>
          <w:szCs w:val="21"/>
          <w:lang w:val="en-US" w:eastAsia="zh-CN"/>
        </w:rPr>
        <w:t>，人民法院不予支持。</w:t>
      </w:r>
    </w:p>
    <w:p w14:paraId="1D099509">
      <w:pPr>
        <w:spacing w:line="276" w:lineRule="auto"/>
        <w:ind w:firstLine="480"/>
        <w:rPr>
          <w:rFonts w:hint="eastAsia"/>
          <w:color w:val="FF0000"/>
          <w:szCs w:val="21"/>
        </w:rPr>
      </w:pPr>
      <w:r>
        <w:rPr>
          <w:rFonts w:hint="eastAsia" w:ascii="宋体" w:hAnsi="宋体"/>
          <w:sz w:val="21"/>
          <w:szCs w:val="21"/>
          <w:lang w:val="en-US" w:eastAsia="zh-CN"/>
        </w:rPr>
        <w:t>该建设用地使用权实现抵押权时，应当将该土地上新增的建筑物与建设用地使用权一并处分。但是，</w:t>
      </w:r>
      <w:r>
        <w:rPr>
          <w:rFonts w:hint="eastAsia" w:ascii="宋体" w:hAnsi="宋体"/>
          <w:b/>
          <w:bCs/>
          <w:sz w:val="21"/>
          <w:szCs w:val="21"/>
          <w:lang w:val="en-US" w:eastAsia="zh-CN"/>
        </w:rPr>
        <w:t>新增建筑物所得的价款，抵押权人无权优先受偿</w:t>
      </w:r>
    </w:p>
    <w:p w14:paraId="3CFDB44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（三）抵押财产的转让</w:t>
      </w:r>
    </w:p>
    <w:p w14:paraId="01323102">
      <w:pPr>
        <w:keepNext w:val="0"/>
        <w:keepLines w:val="0"/>
        <w:pageBreakBefore w:val="0"/>
        <w:widowControl w:val="0"/>
        <w:numPr>
          <w:ilvl w:val="0"/>
          <w:numId w:val="0"/>
        </w:numPr>
        <w:kinsoku/>
        <w:wordWrap/>
        <w:overflowPunct/>
        <w:topLinePunct w:val="0"/>
        <w:bidi w:val="0"/>
        <w:adjustRightInd/>
        <w:snapToGrid/>
        <w:spacing w:line="400" w:lineRule="atLeast"/>
        <w:ind w:firstLine="480"/>
        <w:jc w:val="both"/>
        <w:textAlignment w:val="auto"/>
        <w:outlineLvl w:val="9"/>
        <w:rPr>
          <w:rFonts w:hint="default" w:ascii="宋体" w:hAnsi="宋体"/>
          <w:sz w:val="24"/>
          <w:szCs w:val="24"/>
          <w:lang w:val="en-US" w:eastAsia="zh-CN"/>
        </w:rPr>
      </w:pPr>
      <w:r>
        <w:rPr>
          <w:rFonts w:hint="default" w:ascii="宋体" w:hAnsi="宋体"/>
          <w:sz w:val="24"/>
          <w:szCs w:val="24"/>
          <w:lang w:val="en-US" w:eastAsia="zh-CN"/>
        </w:rPr>
        <w:t xml:space="preserve"> 抵押期间，抵押人可以转让抵押财产。当事人另有约定的，按照其约定。</w:t>
      </w:r>
      <w:r>
        <w:rPr>
          <w:rFonts w:hint="default" w:ascii="宋体" w:hAnsi="宋体"/>
          <w:b/>
          <w:bCs/>
          <w:sz w:val="24"/>
          <w:szCs w:val="24"/>
          <w:lang w:val="en-US" w:eastAsia="zh-CN"/>
        </w:rPr>
        <w:t>抵押财产转让的，抵押权不受影响</w:t>
      </w:r>
      <w:r>
        <w:rPr>
          <w:rFonts w:hint="eastAsia" w:ascii="宋体" w:hAnsi="宋体"/>
          <w:b/>
          <w:bCs/>
          <w:sz w:val="24"/>
          <w:szCs w:val="24"/>
          <w:lang w:val="en-US" w:eastAsia="zh-CN"/>
        </w:rPr>
        <w:t>（要求是登记的抵押权）</w:t>
      </w:r>
      <w:r>
        <w:rPr>
          <w:rFonts w:hint="default" w:ascii="宋体" w:hAnsi="宋体"/>
          <w:sz w:val="24"/>
          <w:szCs w:val="24"/>
          <w:lang w:val="en-US" w:eastAsia="zh-CN"/>
        </w:rPr>
        <w:t>。</w:t>
      </w:r>
    </w:p>
    <w:p w14:paraId="26EEA404">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outlineLvl w:val="9"/>
        <w:rPr>
          <w:rFonts w:hint="default" w:ascii="宋体" w:hAnsi="宋体"/>
          <w:sz w:val="24"/>
          <w:szCs w:val="24"/>
          <w:lang w:val="en-US" w:eastAsia="zh-CN"/>
        </w:rPr>
      </w:pPr>
      <w:r>
        <w:rPr>
          <w:rFonts w:hint="eastAsia" w:ascii="宋体" w:hAnsi="宋体"/>
          <w:sz w:val="24"/>
          <w:szCs w:val="24"/>
          <w:lang w:val="en-US" w:eastAsia="zh-CN"/>
        </w:rPr>
        <w:t>（2）抵押人通知义务</w:t>
      </w:r>
    </w:p>
    <w:p w14:paraId="01FD93E1">
      <w:pPr>
        <w:keepNext w:val="0"/>
        <w:keepLines w:val="0"/>
        <w:pageBreakBefore w:val="0"/>
        <w:widowControl w:val="0"/>
        <w:numPr>
          <w:ilvl w:val="0"/>
          <w:numId w:val="0"/>
        </w:numPr>
        <w:kinsoku/>
        <w:wordWrap/>
        <w:overflowPunct/>
        <w:topLinePunct w:val="0"/>
        <w:bidi w:val="0"/>
        <w:adjustRightInd/>
        <w:snapToGrid/>
        <w:spacing w:line="400" w:lineRule="atLeast"/>
        <w:ind w:firstLine="480"/>
        <w:jc w:val="both"/>
        <w:textAlignment w:val="auto"/>
        <w:rPr>
          <w:rFonts w:hint="default" w:ascii="宋体" w:hAnsi="宋体"/>
          <w:sz w:val="24"/>
          <w:szCs w:val="24"/>
          <w:lang w:val="en-US" w:eastAsia="zh-CN"/>
        </w:rPr>
      </w:pPr>
      <w:r>
        <w:rPr>
          <w:rFonts w:hint="default" w:ascii="宋体" w:hAnsi="宋体"/>
          <w:sz w:val="24"/>
          <w:szCs w:val="24"/>
          <w:lang w:val="en-US" w:eastAsia="zh-CN"/>
        </w:rPr>
        <w:t>抵押人转让抵押财产的，应当及时通知抵押权人。</w:t>
      </w:r>
      <w:r>
        <w:rPr>
          <w:rFonts w:hint="default" w:ascii="宋体" w:hAnsi="宋体"/>
          <w:b/>
          <w:bCs/>
          <w:sz w:val="24"/>
          <w:szCs w:val="24"/>
          <w:lang w:val="en-US" w:eastAsia="zh-CN"/>
        </w:rPr>
        <w:t>抵押权人能够证明抵押财产转让可能损害抵押权的，可以请求抵押人将转让所得的价款向抵押权人提前清偿债务或者提存</w:t>
      </w:r>
      <w:r>
        <w:rPr>
          <w:rFonts w:hint="default" w:ascii="宋体" w:hAnsi="宋体"/>
          <w:sz w:val="24"/>
          <w:szCs w:val="24"/>
          <w:lang w:val="en-US" w:eastAsia="zh-CN"/>
        </w:rPr>
        <w:t>。转让的价款超过债权数额的部分归抵押人所有，不足部分由债务人清偿。</w:t>
      </w:r>
    </w:p>
    <w:p w14:paraId="779784FD">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rPr>
          <w:rFonts w:hint="eastAsia" w:ascii="宋体" w:hAnsi="宋体"/>
          <w:sz w:val="24"/>
          <w:szCs w:val="24"/>
          <w:lang w:val="en-US" w:eastAsia="zh-CN"/>
        </w:rPr>
      </w:pPr>
      <w:r>
        <w:rPr>
          <w:rFonts w:hint="eastAsia" w:ascii="宋体" w:hAnsi="宋体"/>
          <w:sz w:val="24"/>
          <w:szCs w:val="24"/>
          <w:lang w:val="en-US" w:eastAsia="zh-CN"/>
        </w:rPr>
        <w:t>（3）约定禁止或者限制转让</w:t>
      </w:r>
    </w:p>
    <w:p w14:paraId="52A7AF94">
      <w:pPr>
        <w:keepNext w:val="0"/>
        <w:keepLines w:val="0"/>
        <w:pageBreakBefore w:val="0"/>
        <w:widowControl w:val="0"/>
        <w:numPr>
          <w:ilvl w:val="0"/>
          <w:numId w:val="0"/>
        </w:numPr>
        <w:kinsoku/>
        <w:wordWrap/>
        <w:overflowPunct/>
        <w:topLinePunct w:val="0"/>
        <w:bidi w:val="0"/>
        <w:adjustRightInd/>
        <w:snapToGrid/>
        <w:spacing w:line="400" w:lineRule="atLeast"/>
        <w:ind w:firstLine="480" w:firstLineChars="200"/>
        <w:jc w:val="both"/>
        <w:textAlignment w:val="auto"/>
        <w:rPr>
          <w:rFonts w:hint="default" w:ascii="宋体" w:hAnsi="宋体"/>
          <w:color w:val="FF0000"/>
          <w:sz w:val="24"/>
          <w:szCs w:val="24"/>
          <w:lang w:val="en-US" w:eastAsia="zh-CN"/>
        </w:rPr>
      </w:pPr>
      <w:r>
        <w:rPr>
          <w:rFonts w:hint="eastAsia" w:ascii="宋体" w:hAnsi="宋体"/>
          <w:color w:val="FF0000"/>
          <w:sz w:val="24"/>
          <w:szCs w:val="24"/>
          <w:lang w:val="en-US" w:eastAsia="zh-CN"/>
        </w:rPr>
        <w:t>关键看约定有没有登记，没有登记受让人可以取得物权，登记了转让合同有效但受让人不能取得物权，受让人可代替清偿</w:t>
      </w:r>
    </w:p>
    <w:p w14:paraId="5598B860">
      <w:pPr>
        <w:keepNext w:val="0"/>
        <w:keepLines w:val="0"/>
        <w:pageBreakBefore w:val="0"/>
        <w:widowControl w:val="0"/>
        <w:numPr>
          <w:ilvl w:val="0"/>
          <w:numId w:val="0"/>
        </w:numPr>
        <w:kinsoku/>
        <w:wordWrap/>
        <w:overflowPunct/>
        <w:topLinePunct w:val="0"/>
        <w:bidi w:val="0"/>
        <w:adjustRightInd/>
        <w:snapToGrid/>
        <w:spacing w:line="400" w:lineRule="atLeast"/>
        <w:ind w:firstLine="48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当事人约定禁止或者限制转让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证明受让人知道的除外；抵押权人请求抵押人承担违约责任的，人民法院依法予以支持。</w:t>
      </w:r>
    </w:p>
    <w:p w14:paraId="7E273EA1">
      <w:pPr>
        <w:keepNext w:val="0"/>
        <w:keepLines w:val="0"/>
        <w:pageBreakBefore w:val="0"/>
        <w:widowControl w:val="0"/>
        <w:numPr>
          <w:ilvl w:val="0"/>
          <w:numId w:val="0"/>
        </w:numPr>
        <w:kinsoku/>
        <w:wordWrap/>
        <w:overflowPunct/>
        <w:topLinePunct w:val="0"/>
        <w:bidi w:val="0"/>
        <w:adjustRightInd/>
        <w:snapToGrid/>
        <w:spacing w:line="400" w:lineRule="atLeast"/>
        <w:ind w:firstLine="480" w:firstLineChars="200"/>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予支持，但是因受让人代替债务人清偿债务导致抵押权消灭的除外。</w:t>
      </w:r>
    </w:p>
    <w:p w14:paraId="64CC4ED7">
      <w:pPr>
        <w:spacing w:line="276" w:lineRule="auto"/>
        <w:ind w:firstLine="482"/>
        <w:rPr>
          <w:rFonts w:hint="eastAsia" w:ascii="宋体" w:hAnsi="宋体" w:eastAsia="宋体" w:cs="宋体"/>
          <w:szCs w:val="21"/>
        </w:rPr>
      </w:pPr>
    </w:p>
    <w:p w14:paraId="25C12623">
      <w:pPr>
        <w:spacing w:line="384" w:lineRule="exact"/>
        <w:jc w:val="center"/>
        <w:rPr>
          <w:rFonts w:hint="eastAsia" w:ascii="汉仪中黑简" w:eastAsia="汉仪中黑简"/>
          <w:sz w:val="22"/>
          <w:szCs w:val="22"/>
        </w:rPr>
      </w:pPr>
      <w:r>
        <w:rPr>
          <w:rFonts w:hint="eastAsia" w:ascii="汉仪中黑简" w:eastAsia="汉仪中黑简"/>
          <w:sz w:val="22"/>
          <w:szCs w:val="22"/>
        </w:rPr>
        <w:t>正常经营买受人规则</w:t>
      </w:r>
    </w:p>
    <w:p w14:paraId="7DE0E4C1">
      <w:pPr>
        <w:spacing w:line="200" w:lineRule="exact"/>
        <w:ind w:firstLine="420" w:firstLineChars="200"/>
        <w:rPr>
          <w:rFonts w:hint="eastAsia" w:ascii="汉仪书宋二简" w:eastAsia="汉仪书宋二简"/>
          <w:bCs/>
        </w:rPr>
      </w:pPr>
    </w:p>
    <w:tbl>
      <w:tblPr>
        <w:tblStyle w:val="4"/>
        <w:tblW w:w="8505" w:type="dxa"/>
        <w:jc w:val="center"/>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Layout w:type="fixed"/>
        <w:tblCellMar>
          <w:top w:w="0" w:type="dxa"/>
          <w:left w:w="108" w:type="dxa"/>
          <w:bottom w:w="0" w:type="dxa"/>
          <w:right w:w="108" w:type="dxa"/>
        </w:tblCellMar>
      </w:tblPr>
      <w:tblGrid>
        <w:gridCol w:w="1691"/>
        <w:gridCol w:w="6814"/>
      </w:tblGrid>
      <w:tr w14:paraId="5F98E73F">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Align w:val="center"/>
          </w:tcPr>
          <w:p w14:paraId="37B4AA5D">
            <w:pPr>
              <w:spacing w:before="21" w:beforeLines="5"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主要适用情形</w:t>
            </w:r>
          </w:p>
        </w:tc>
        <w:tc>
          <w:tcPr>
            <w:tcW w:w="6814" w:type="dxa"/>
            <w:vAlign w:val="center"/>
          </w:tcPr>
          <w:p w14:paraId="28F87B24">
            <w:pPr>
              <w:spacing w:before="21" w:beforeLines="5"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bCs/>
                <w:sz w:val="20"/>
                <w:szCs w:val="20"/>
              </w:rPr>
              <w:t>动产抵押且抵押权已经登记</w:t>
            </w:r>
          </w:p>
        </w:tc>
      </w:tr>
      <w:tr w14:paraId="20DD38B7">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trHeight w:val="60" w:hRule="atLeast"/>
          <w:jc w:val="center"/>
        </w:trPr>
        <w:tc>
          <w:tcPr>
            <w:tcW w:w="1691" w:type="dxa"/>
            <w:vMerge w:val="restart"/>
            <w:vAlign w:val="center"/>
          </w:tcPr>
          <w:p w14:paraId="07EC4D8F">
            <w:pPr>
              <w:spacing w:before="21" w:beforeLines="5"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构成要件</w:t>
            </w:r>
          </w:p>
        </w:tc>
        <w:tc>
          <w:tcPr>
            <w:tcW w:w="6814" w:type="dxa"/>
            <w:vAlign w:val="center"/>
          </w:tcPr>
          <w:p w14:paraId="0F68091F">
            <w:pPr>
              <w:spacing w:before="21" w:beforeLines="5"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bCs/>
                <w:sz w:val="20"/>
                <w:szCs w:val="20"/>
              </w:rPr>
              <w:t>1．</w:t>
            </w:r>
            <w:r>
              <w:rPr>
                <w:rFonts w:hint="eastAsia" w:ascii="汉仪书宋一简" w:hAnsi="Times New Roman" w:eastAsia="汉仪书宋一简" w:cs="Times New Roman"/>
                <w:sz w:val="20"/>
                <w:szCs w:val="20"/>
              </w:rPr>
              <w:t>动产的买卖</w:t>
            </w:r>
            <w:r>
              <w:rPr>
                <w:rFonts w:hint="eastAsia" w:ascii="汉仪书宋一简" w:hAnsi="Times New Roman" w:eastAsia="汉仪书宋一简" w:cs="Times New Roman"/>
                <w:bCs/>
                <w:sz w:val="20"/>
                <w:szCs w:val="20"/>
              </w:rPr>
              <w:t>属于抵押人的正常经营活动</w:t>
            </w:r>
          </w:p>
          <w:p w14:paraId="25329725">
            <w:pPr>
              <w:spacing w:before="21" w:beforeLines="5"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正常经营活动要同时满足两个要素：（1）属于出卖人营业执照明确记载的经营范围；（2）出卖人持续销售同类商品</w:t>
            </w:r>
          </w:p>
        </w:tc>
      </w:tr>
      <w:tr w14:paraId="495DC936">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vAlign w:val="center"/>
          </w:tcPr>
          <w:p w14:paraId="61D588E3">
            <w:pPr>
              <w:spacing w:before="21" w:beforeLines="5" w:after="42" w:afterLines="10" w:line="280" w:lineRule="exact"/>
              <w:jc w:val="center"/>
              <w:rPr>
                <w:rFonts w:ascii="汉仪中黑简" w:hAnsi="Times New Roman" w:eastAsia="汉仪中黑简" w:cs="Times New Roman"/>
                <w:sz w:val="20"/>
                <w:szCs w:val="20"/>
              </w:rPr>
            </w:pPr>
          </w:p>
        </w:tc>
        <w:tc>
          <w:tcPr>
            <w:tcW w:w="6814" w:type="dxa"/>
            <w:vAlign w:val="center"/>
          </w:tcPr>
          <w:p w14:paraId="57F16672">
            <w:pPr>
              <w:spacing w:before="21" w:beforeLines="5"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bCs/>
                <w:sz w:val="20"/>
                <w:szCs w:val="20"/>
              </w:rPr>
              <w:t>2．</w:t>
            </w:r>
            <w:r>
              <w:rPr>
                <w:rFonts w:hint="eastAsia" w:ascii="汉仪书宋一简" w:hAnsi="Times New Roman" w:eastAsia="汉仪书宋一简" w:cs="Times New Roman"/>
                <w:sz w:val="20"/>
                <w:szCs w:val="20"/>
              </w:rPr>
              <w:t>买受人</w:t>
            </w:r>
            <w:r>
              <w:rPr>
                <w:rFonts w:hint="eastAsia" w:ascii="汉仪书宋一简" w:hAnsi="Times New Roman" w:eastAsia="汉仪书宋一简" w:cs="Times New Roman"/>
                <w:bCs/>
                <w:sz w:val="20"/>
                <w:szCs w:val="20"/>
              </w:rPr>
              <w:t>已经支付</w:t>
            </w:r>
            <w:r>
              <w:rPr>
                <w:rFonts w:hint="eastAsia" w:ascii="汉仪书宋一简" w:hAnsi="Times New Roman" w:eastAsia="汉仪书宋一简" w:cs="Times New Roman"/>
                <w:sz w:val="20"/>
                <w:szCs w:val="20"/>
              </w:rPr>
              <w:t>合理价款</w:t>
            </w:r>
          </w:p>
          <w:p w14:paraId="62F41886">
            <w:pPr>
              <w:spacing w:before="21" w:beforeLines="5"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粗黑简" w:cs="Times New Roman"/>
                <w:color w:val="FF0000"/>
                <w:sz w:val="20"/>
                <w:szCs w:val="20"/>
              </w:rPr>
              <w:t>【注意】</w:t>
            </w:r>
            <w:r>
              <w:rPr>
                <w:rFonts w:hint="eastAsia" w:ascii="汉仪书宋一简" w:hAnsi="Times New Roman" w:eastAsia="汉仪书宋一简" w:cs="Times New Roman"/>
                <w:sz w:val="20"/>
                <w:szCs w:val="20"/>
              </w:rPr>
              <w:t>仅约定合理价款是不够的，须已支付（与善意取得不同！）</w:t>
            </w:r>
          </w:p>
        </w:tc>
      </w:tr>
      <w:tr w14:paraId="61BD7214">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vAlign w:val="center"/>
          </w:tcPr>
          <w:p w14:paraId="2DFCF21D">
            <w:pPr>
              <w:spacing w:before="21" w:beforeLines="5" w:after="42" w:afterLines="10" w:line="280" w:lineRule="exact"/>
              <w:jc w:val="center"/>
              <w:rPr>
                <w:rFonts w:ascii="汉仪中黑简" w:hAnsi="Times New Roman" w:eastAsia="汉仪中黑简" w:cs="Times New Roman"/>
                <w:sz w:val="20"/>
                <w:szCs w:val="20"/>
              </w:rPr>
            </w:pPr>
          </w:p>
        </w:tc>
        <w:tc>
          <w:tcPr>
            <w:tcW w:w="6814" w:type="dxa"/>
            <w:vAlign w:val="center"/>
          </w:tcPr>
          <w:p w14:paraId="5BE0FFAD">
            <w:pPr>
              <w:spacing w:before="21" w:beforeLines="5"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bCs/>
                <w:sz w:val="20"/>
                <w:szCs w:val="20"/>
              </w:rPr>
              <w:t>3．</w:t>
            </w:r>
            <w:r>
              <w:rPr>
                <w:rFonts w:hint="eastAsia" w:ascii="汉仪书宋一简" w:hAnsi="Times New Roman" w:eastAsia="汉仪书宋一简" w:cs="Times New Roman"/>
                <w:sz w:val="20"/>
                <w:szCs w:val="20"/>
              </w:rPr>
              <w:t>买受人</w:t>
            </w:r>
            <w:r>
              <w:rPr>
                <w:rFonts w:hint="eastAsia" w:ascii="汉仪书宋一简" w:hAnsi="Times New Roman" w:eastAsia="汉仪书宋一简" w:cs="Times New Roman"/>
                <w:bCs/>
                <w:sz w:val="20"/>
                <w:szCs w:val="20"/>
              </w:rPr>
              <w:t>已经取得</w:t>
            </w:r>
            <w:r>
              <w:rPr>
                <w:rFonts w:hint="eastAsia" w:ascii="汉仪书宋一简" w:hAnsi="Times New Roman" w:eastAsia="汉仪书宋一简" w:cs="Times New Roman"/>
                <w:sz w:val="20"/>
                <w:szCs w:val="20"/>
              </w:rPr>
              <w:t>抵押财产（已完成交付）</w:t>
            </w:r>
          </w:p>
        </w:tc>
      </w:tr>
      <w:tr w14:paraId="06E4E2C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restart"/>
            <w:vAlign w:val="center"/>
          </w:tcPr>
          <w:p w14:paraId="3BCE4820">
            <w:pPr>
              <w:spacing w:before="21" w:beforeLines="5"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不属于正常经营活动买受人的情形</w:t>
            </w:r>
          </w:p>
        </w:tc>
        <w:tc>
          <w:tcPr>
            <w:tcW w:w="6814" w:type="dxa"/>
            <w:vAlign w:val="center"/>
          </w:tcPr>
          <w:p w14:paraId="73B1CBD0">
            <w:pPr>
              <w:spacing w:before="21" w:beforeLines="5"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1．购买商品的数量明显超过一般买受人</w:t>
            </w:r>
          </w:p>
        </w:tc>
      </w:tr>
      <w:tr w14:paraId="1EB56BB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vAlign w:val="center"/>
          </w:tcPr>
          <w:p w14:paraId="15DBA0B7">
            <w:pPr>
              <w:spacing w:before="21" w:beforeLines="5" w:after="42" w:afterLines="10" w:line="280" w:lineRule="exact"/>
              <w:jc w:val="center"/>
              <w:rPr>
                <w:rFonts w:ascii="汉仪中黑简" w:hAnsi="Times New Roman" w:eastAsia="汉仪中黑简" w:cs="Times New Roman"/>
                <w:sz w:val="20"/>
                <w:szCs w:val="20"/>
              </w:rPr>
            </w:pPr>
          </w:p>
        </w:tc>
        <w:tc>
          <w:tcPr>
            <w:tcW w:w="6814" w:type="dxa"/>
            <w:vAlign w:val="center"/>
          </w:tcPr>
          <w:p w14:paraId="25B15277">
            <w:pPr>
              <w:spacing w:before="21" w:beforeLines="5"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2．购买出卖人的生产设备</w:t>
            </w:r>
          </w:p>
        </w:tc>
      </w:tr>
      <w:tr w14:paraId="0D14E4DD">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vAlign w:val="center"/>
          </w:tcPr>
          <w:p w14:paraId="30F2D03B">
            <w:pPr>
              <w:spacing w:before="21" w:beforeLines="5" w:after="42" w:afterLines="10" w:line="280" w:lineRule="exact"/>
              <w:jc w:val="center"/>
              <w:rPr>
                <w:rFonts w:ascii="汉仪中黑简" w:hAnsi="Times New Roman" w:eastAsia="汉仪中黑简" w:cs="Times New Roman"/>
                <w:sz w:val="20"/>
                <w:szCs w:val="20"/>
              </w:rPr>
            </w:pPr>
          </w:p>
        </w:tc>
        <w:tc>
          <w:tcPr>
            <w:tcW w:w="6814" w:type="dxa"/>
            <w:vAlign w:val="center"/>
          </w:tcPr>
          <w:p w14:paraId="6E2B4577">
            <w:pPr>
              <w:spacing w:before="21" w:beforeLines="5"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3．订立买卖合同的目的在于担保出卖人或者第三人履行债务</w:t>
            </w:r>
          </w:p>
        </w:tc>
      </w:tr>
      <w:tr w14:paraId="2463B371">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vAlign w:val="center"/>
          </w:tcPr>
          <w:p w14:paraId="759CA4DC">
            <w:pPr>
              <w:spacing w:before="21" w:beforeLines="5" w:after="42" w:afterLines="10" w:line="280" w:lineRule="exact"/>
              <w:jc w:val="center"/>
              <w:rPr>
                <w:rFonts w:ascii="汉仪中黑简" w:hAnsi="Times New Roman" w:eastAsia="汉仪中黑简" w:cs="Times New Roman"/>
                <w:sz w:val="20"/>
                <w:szCs w:val="20"/>
              </w:rPr>
            </w:pPr>
          </w:p>
        </w:tc>
        <w:tc>
          <w:tcPr>
            <w:tcW w:w="6814" w:type="dxa"/>
            <w:vAlign w:val="center"/>
          </w:tcPr>
          <w:p w14:paraId="156D7D11">
            <w:pPr>
              <w:spacing w:before="21" w:beforeLines="5" w:after="42" w:afterLines="10" w:line="280" w:lineRule="exact"/>
              <w:rPr>
                <w:rFonts w:ascii="汉仪书宋一简" w:hAnsi="Times New Roman" w:eastAsia="汉仪书宋一简" w:cs="Times New Roman"/>
                <w:bCs/>
                <w:sz w:val="20"/>
                <w:szCs w:val="20"/>
              </w:rPr>
            </w:pPr>
            <w:r>
              <w:rPr>
                <w:rFonts w:hint="eastAsia" w:ascii="汉仪书宋一简" w:hAnsi="Times New Roman" w:eastAsia="汉仪书宋一简" w:cs="Times New Roman"/>
                <w:sz w:val="20"/>
                <w:szCs w:val="20"/>
              </w:rPr>
              <w:t>4．买受人与出卖人存在直接或者间接的控制关系</w:t>
            </w:r>
          </w:p>
        </w:tc>
      </w:tr>
      <w:tr w14:paraId="18741C10">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restart"/>
            <w:vAlign w:val="center"/>
          </w:tcPr>
          <w:p w14:paraId="1FE7CDB8">
            <w:pPr>
              <w:spacing w:before="21" w:beforeLines="5" w:after="42" w:afterLines="10" w:line="280" w:lineRule="exact"/>
              <w:jc w:val="center"/>
              <w:rPr>
                <w:rFonts w:ascii="汉仪中黑简" w:hAnsi="Times New Roman" w:eastAsia="汉仪中黑简" w:cs="Times New Roman"/>
                <w:sz w:val="20"/>
                <w:szCs w:val="20"/>
              </w:rPr>
            </w:pPr>
            <w:r>
              <w:rPr>
                <w:rFonts w:hint="eastAsia" w:ascii="汉仪中黑简" w:hAnsi="Times New Roman" w:eastAsia="汉仪中黑简" w:cs="Times New Roman"/>
                <w:sz w:val="20"/>
                <w:szCs w:val="20"/>
              </w:rPr>
              <w:t>法律效果</w:t>
            </w:r>
          </w:p>
        </w:tc>
        <w:tc>
          <w:tcPr>
            <w:tcW w:w="6814" w:type="dxa"/>
            <w:vAlign w:val="center"/>
          </w:tcPr>
          <w:p w14:paraId="1ACBD341">
            <w:pPr>
              <w:spacing w:before="21" w:beforeLines="5"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1．如果构成正常经营活动买受人：买受人能够取得没有抵押权负担的动产所有权</w:t>
            </w:r>
          </w:p>
        </w:tc>
      </w:tr>
      <w:tr w14:paraId="210546CC">
        <w:tblPrEx>
          <w:tblBorders>
            <w:top w:val="single" w:color="FF0000" w:sz="8" w:space="0"/>
            <w:left w:val="single" w:color="FF0000" w:sz="8" w:space="0"/>
            <w:bottom w:val="single" w:color="FF0000" w:sz="8" w:space="0"/>
            <w:right w:val="single" w:color="FF0000" w:sz="8" w:space="0"/>
            <w:insideH w:val="single" w:color="FF0000" w:sz="8" w:space="0"/>
            <w:insideV w:val="single" w:color="FF0000" w:sz="8" w:space="0"/>
          </w:tblBorders>
          <w:tblCellMar>
            <w:top w:w="0" w:type="dxa"/>
            <w:left w:w="108" w:type="dxa"/>
            <w:bottom w:w="0" w:type="dxa"/>
            <w:right w:w="108" w:type="dxa"/>
          </w:tblCellMar>
        </w:tblPrEx>
        <w:trPr>
          <w:jc w:val="center"/>
        </w:trPr>
        <w:tc>
          <w:tcPr>
            <w:tcW w:w="1691" w:type="dxa"/>
            <w:vMerge w:val="continue"/>
            <w:vAlign w:val="center"/>
          </w:tcPr>
          <w:p w14:paraId="3965552C">
            <w:pPr>
              <w:spacing w:before="21" w:beforeLines="5" w:after="42" w:afterLines="10" w:line="280" w:lineRule="exact"/>
              <w:jc w:val="center"/>
              <w:rPr>
                <w:rFonts w:ascii="汉仪中黑简" w:hAnsi="Times New Roman" w:eastAsia="汉仪中黑简" w:cs="Times New Roman"/>
                <w:sz w:val="20"/>
                <w:szCs w:val="20"/>
              </w:rPr>
            </w:pPr>
          </w:p>
        </w:tc>
        <w:tc>
          <w:tcPr>
            <w:tcW w:w="6814" w:type="dxa"/>
            <w:vAlign w:val="center"/>
          </w:tcPr>
          <w:p w14:paraId="7F815E22">
            <w:pPr>
              <w:spacing w:before="21" w:beforeLines="5" w:after="42" w:afterLines="10" w:line="280" w:lineRule="exact"/>
              <w:rPr>
                <w:rFonts w:ascii="汉仪书宋一简" w:hAnsi="Times New Roman" w:eastAsia="汉仪书宋一简" w:cs="Times New Roman"/>
                <w:sz w:val="20"/>
                <w:szCs w:val="20"/>
              </w:rPr>
            </w:pPr>
            <w:r>
              <w:rPr>
                <w:rFonts w:hint="eastAsia" w:ascii="汉仪书宋一简" w:hAnsi="Times New Roman" w:eastAsia="汉仪书宋一简" w:cs="Times New Roman"/>
                <w:sz w:val="20"/>
                <w:szCs w:val="20"/>
              </w:rPr>
              <w:t>2．如果不构成正常经营活动买受人：买受人取得有抵押权负担的动产所有权</w:t>
            </w:r>
          </w:p>
        </w:tc>
      </w:tr>
    </w:tbl>
    <w:p w14:paraId="6279D11B">
      <w:pPr>
        <w:spacing w:line="384" w:lineRule="exact"/>
        <w:ind w:firstLine="420" w:firstLineChars="200"/>
        <w:rPr>
          <w:rFonts w:hint="eastAsia" w:ascii="汉仪书宋二简" w:eastAsia="汉仪书宋二简"/>
          <w:bCs/>
        </w:rPr>
      </w:pPr>
      <w:r>
        <w:rPr>
          <w:rFonts w:hint="eastAsia" w:ascii="宋体" w:hAnsi="宋体" w:eastAsia="宋体" w:cs="宋体"/>
          <w:bCs/>
          <w:color w:val="FF0000"/>
          <w:szCs w:val="21"/>
          <w:lang w:val="en-US" w:eastAsia="zh-CN"/>
        </w:rPr>
        <w:t>动产抵押未经登记不得对抗善意第三人，登记了也不能对抗正常经营买受人</w:t>
      </w:r>
    </w:p>
    <w:p w14:paraId="7657E035">
      <w:pPr>
        <w:spacing w:line="384" w:lineRule="exact"/>
        <w:ind w:firstLine="420" w:firstLineChars="200"/>
        <w:rPr>
          <w:rFonts w:hint="eastAsia" w:ascii="汉仪书宋二简" w:eastAsia="汉仪书宋二简"/>
          <w:bCs/>
        </w:rPr>
      </w:pPr>
      <w:r>
        <w:rPr>
          <w:rFonts w:hint="eastAsia" w:ascii="汉仪书宋二简" w:eastAsia="汉仪书宋二简"/>
          <w:bCs/>
        </w:rPr>
        <w:t>（3）</w:t>
      </w:r>
      <w:r>
        <w:rPr>
          <w:rFonts w:ascii="汉仪书宋二简" w:eastAsia="汉仪书宋二简"/>
          <w:bCs/>
        </w:rPr>
        <w:t>动产抵押</w:t>
      </w:r>
      <w:r>
        <w:rPr>
          <w:rFonts w:hint="eastAsia" w:ascii="汉仪书宋二简" w:eastAsia="汉仪书宋二简"/>
          <w:bCs/>
        </w:rPr>
        <w:t>+</w:t>
      </w:r>
      <w:r>
        <w:rPr>
          <w:rFonts w:ascii="汉仪书宋二简" w:eastAsia="汉仪书宋二简"/>
          <w:bCs/>
        </w:rPr>
        <w:t>未登记</w:t>
      </w:r>
      <w:r>
        <w:rPr>
          <w:rFonts w:hint="eastAsia" w:ascii="汉仪书宋二简" w:eastAsia="汉仪书宋二简"/>
          <w:bCs/>
        </w:rPr>
        <w:t>（民法典403/民法典担保制度解释54）</w:t>
      </w:r>
    </w:p>
    <w:p w14:paraId="24414492">
      <w:pPr>
        <w:spacing w:line="384" w:lineRule="exact"/>
        <w:ind w:firstLine="420" w:firstLineChars="200"/>
        <w:rPr>
          <w:rFonts w:hint="eastAsia" w:ascii="汉仪书宋二简" w:eastAsia="汉仪书宋二简"/>
          <w:bCs/>
        </w:rPr>
      </w:pPr>
      <w:r>
        <w:rPr>
          <w:rFonts w:hint="eastAsia" w:ascii="汉仪书宋二简" w:eastAsia="汉仪书宋二简"/>
          <w:bCs/>
        </w:rPr>
        <w:t>①买受人是已经取得占有的善意买受人：抵押权不得对抗买受人，即抵押权消灭（民法典403）。</w:t>
      </w:r>
    </w:p>
    <w:p w14:paraId="76F05D7E">
      <w:pPr>
        <w:spacing w:line="384" w:lineRule="exact"/>
        <w:ind w:firstLine="420" w:firstLineChars="200"/>
        <w:rPr>
          <w:rFonts w:hint="eastAsia" w:ascii="汉仪书宋二简" w:eastAsia="汉仪书宋二简"/>
          <w:bCs/>
        </w:rPr>
      </w:pPr>
      <w:r>
        <w:rPr>
          <w:rFonts w:hint="eastAsia" w:ascii="汉仪书宋二简" w:eastAsia="汉仪书宋二简"/>
          <w:bCs/>
        </w:rPr>
        <w:t>②买受人恶意或尚未取得占有，抵押权可以对抗买受人。</w:t>
      </w:r>
    </w:p>
    <w:p w14:paraId="12F749BE">
      <w:pPr>
        <w:spacing w:line="384" w:lineRule="exact"/>
        <w:ind w:left="210" w:leftChars="100" w:right="210" w:rightChars="100" w:firstLine="420" w:firstLineChars="200"/>
        <w:rPr>
          <w:rFonts w:hint="eastAsia" w:ascii="汉仪书宋二简" w:eastAsia="汉仪书宋二简" w:hAnsiTheme="minorEastAsia" w:cstheme="minorEastAsia"/>
          <w:kern w:val="0"/>
        </w:rPr>
      </w:pPr>
      <w:r>
        <w:rPr>
          <w:rFonts w:hint="eastAsia" w:ascii="汉仪书宋二简" w:eastAsia="汉仪书宋二简" w:hAnsiTheme="minorEastAsia" w:cstheme="minorEastAsia"/>
          <w:kern w:val="0"/>
        </w:rPr>
        <w:t>（3）动产抵押且未登记时：①阐明基础规则，动产抵押权于抵押合同生效时成立，未登记不得对抗善意第三人；②结合题干信息，阐明买受人是否为善意第三人，进而得出抵押权人可否对抗买受人的结论。</w:t>
      </w:r>
    </w:p>
    <w:p w14:paraId="71CF3EC4">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（四）抵押与租赁并存</w:t>
      </w:r>
    </w:p>
    <w:p w14:paraId="09E767CF">
      <w:pPr>
        <w:spacing w:line="276" w:lineRule="auto"/>
        <w:ind w:firstLine="480"/>
        <w:rPr>
          <w:rFonts w:hint="eastAsia" w:ascii="宋体" w:hAnsi="宋体" w:eastAsia="宋体" w:cs="宋体"/>
          <w:szCs w:val="21"/>
        </w:rPr>
      </w:pPr>
      <w:r>
        <w:rPr>
          <w:rFonts w:hint="eastAsia" w:ascii="宋体" w:hAnsi="宋体" w:eastAsia="宋体" w:cs="宋体"/>
          <w:szCs w:val="21"/>
        </w:rPr>
        <w:t>《民法典》第405条  抵押权设立前抵押财产已出租并转移占有的,原租赁关系不受该抵押权的影响。</w:t>
      </w:r>
    </w:p>
    <w:p w14:paraId="04303112">
      <w:pPr>
        <w:spacing w:line="276" w:lineRule="auto"/>
        <w:ind w:firstLine="480"/>
        <w:rPr>
          <w:rFonts w:hint="eastAsia" w:ascii="宋体" w:hAnsi="宋体" w:eastAsia="宋体" w:cs="宋体"/>
          <w:color w:val="FF0000"/>
        </w:rPr>
      </w:pPr>
      <w:r>
        <w:rPr>
          <w:rFonts w:hint="eastAsia" w:ascii="宋体" w:hAnsi="宋体" w:eastAsia="宋体" w:cs="宋体"/>
          <w:szCs w:val="21"/>
        </w:rPr>
        <w:t>1.</w:t>
      </w:r>
      <w:r>
        <w:rPr>
          <w:rFonts w:hint="eastAsia" w:ascii="宋体" w:hAnsi="宋体" w:eastAsia="宋体" w:cs="宋体"/>
          <w:szCs w:val="21"/>
          <w:u w:val="single"/>
        </w:rPr>
        <w:t>承租权在先的（抵押权设立时承租人已取得抵押财产的承租权的），原租赁关系不受抵押权的影响</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color w:val="FF0000"/>
          <w:lang w:val="en-US" w:eastAsia="zh-CN"/>
        </w:rPr>
        <w:t>需要满足承租人占有要件，抵押权实现时，承租人可以主张买卖不破租赁</w:t>
      </w:r>
      <w:r>
        <w:rPr>
          <w:rFonts w:hint="eastAsia" w:ascii="宋体" w:hAnsi="宋体" w:eastAsia="宋体" w:cs="宋体"/>
          <w:color w:val="FF0000"/>
          <w:lang w:eastAsia="zh-CN"/>
        </w:rPr>
        <w:t>）</w:t>
      </w:r>
      <w:r>
        <w:rPr>
          <w:rFonts w:hint="eastAsia" w:ascii="宋体" w:hAnsi="宋体" w:eastAsia="宋体" w:cs="宋体"/>
          <w:color w:val="FF0000"/>
        </w:rPr>
        <w:t>。</w:t>
      </w:r>
    </w:p>
    <w:p w14:paraId="34297E85">
      <w:pPr>
        <w:ind w:firstLine="420" w:firstLineChars="200"/>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u w:val="single"/>
        </w:rPr>
        <w:t>如果抵押权设立在先而租赁合同订立在后，则承租人不得以此租赁关系对抗已登记的抵押权</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lang w:val="en-US" w:eastAsia="zh-CN"/>
        </w:rPr>
        <w:t>行使抵押权不能主张买卖不破租赁</w:t>
      </w:r>
      <w:r>
        <w:rPr>
          <w:rFonts w:hint="eastAsia" w:ascii="宋体" w:hAnsi="宋体" w:eastAsia="宋体" w:cs="宋体"/>
          <w:szCs w:val="21"/>
          <w:lang w:eastAsia="zh-CN"/>
        </w:rPr>
        <w:t>）</w:t>
      </w:r>
    </w:p>
    <w:p w14:paraId="18319186">
      <w:pPr>
        <w:keepNext w:val="0"/>
        <w:keepLines w:val="0"/>
        <w:pageBreakBefore w:val="0"/>
        <w:widowControl w:val="0"/>
        <w:numPr>
          <w:ilvl w:val="0"/>
          <w:numId w:val="0"/>
        </w:numPr>
        <w:kinsoku/>
        <w:wordWrap/>
        <w:overflowPunct/>
        <w:topLinePunct w:val="0"/>
        <w:bidi w:val="0"/>
        <w:adjustRightInd/>
        <w:snapToGrid/>
        <w:spacing w:line="400" w:lineRule="atLeast"/>
        <w:jc w:val="both"/>
        <w:textAlignment w:val="auto"/>
        <w:rPr>
          <w:rFonts w:hint="default" w:ascii="宋体" w:hAnsi="宋体"/>
          <w:color w:val="FF0000"/>
          <w:sz w:val="24"/>
          <w:szCs w:val="24"/>
          <w:lang w:val="en-US" w:eastAsia="zh-CN"/>
        </w:rPr>
      </w:pPr>
      <w:r>
        <w:rPr>
          <w:rFonts w:hint="eastAsia" w:ascii="宋体" w:hAnsi="宋体"/>
          <w:color w:val="FF0000"/>
          <w:sz w:val="24"/>
          <w:szCs w:val="24"/>
          <w:lang w:val="en-US" w:eastAsia="zh-CN"/>
        </w:rPr>
        <w:t>房租承租人优先购买权不受影响</w:t>
      </w:r>
    </w:p>
    <w:p w14:paraId="42E39CDF">
      <w:pPr>
        <w:keepNext w:val="0"/>
        <w:keepLines w:val="0"/>
        <w:pageBreakBefore w:val="0"/>
        <w:widowControl w:val="0"/>
        <w:numPr>
          <w:ilvl w:val="0"/>
          <w:numId w:val="0"/>
        </w:numPr>
        <w:kinsoku/>
        <w:wordWrap/>
        <w:overflowPunct/>
        <w:topLinePunct w:val="0"/>
        <w:bidi w:val="0"/>
        <w:adjustRightInd/>
        <w:snapToGrid/>
        <w:spacing w:line="400" w:lineRule="atLeast"/>
        <w:ind w:firstLine="480" w:firstLineChars="200"/>
        <w:jc w:val="both"/>
        <w:textAlignment w:val="auto"/>
        <w:rPr>
          <w:rFonts w:hint="default" w:ascii="宋体" w:hAnsi="宋体"/>
          <w:color w:val="FF0000"/>
          <w:sz w:val="24"/>
          <w:szCs w:val="24"/>
          <w:lang w:val="en-US" w:eastAsia="zh-CN"/>
        </w:rPr>
      </w:pPr>
      <w:r>
        <w:rPr>
          <w:rFonts w:hint="eastAsia" w:ascii="宋体" w:hAnsi="宋体"/>
          <w:color w:val="FF0000"/>
          <w:sz w:val="24"/>
          <w:szCs w:val="24"/>
          <w:lang w:val="en-US" w:eastAsia="zh-CN"/>
        </w:rPr>
        <w:t>无论抵押在先、抵押在后，房屋承租人都可以主张优先购买权</w:t>
      </w:r>
    </w:p>
    <w:p w14:paraId="5CC3437C">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（五）浮动抵押</w:t>
      </w:r>
    </w:p>
    <w:p w14:paraId="2BC4B59F">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1．概念：</w:t>
      </w:r>
      <w:r>
        <w:rPr>
          <w:rFonts w:hint="eastAsia" w:ascii="汉仪书宋二简" w:eastAsia="汉仪书宋二简"/>
          <w:bCs/>
        </w:rPr>
        <w:t>作为抵押人的经营者与抵押权人约定，以其现有的和将有的所有经营性动产作为一个集合客体并在其上设立抵押权，在债务人不履行到期债务时，债权人有权对实现抵押权时的动产行使变价和优先受偿的权利。</w:t>
      </w:r>
    </w:p>
    <w:p w14:paraId="347866BC">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2．浮动抵押的法律特征</w:t>
      </w:r>
    </w:p>
    <w:p w14:paraId="0A0A0933">
      <w:pPr>
        <w:spacing w:line="384" w:lineRule="exact"/>
        <w:ind w:firstLine="420" w:firstLineChars="200"/>
        <w:rPr>
          <w:rFonts w:hint="eastAsia" w:ascii="汉仪书宋二简" w:eastAsia="汉仪书宋二简"/>
          <w:bCs/>
        </w:rPr>
      </w:pPr>
      <w:r>
        <w:rPr>
          <w:rFonts w:hint="eastAsia" w:ascii="汉仪书宋二简" w:eastAsia="汉仪书宋二简"/>
          <w:bCs/>
        </w:rPr>
        <w:t>（1）能够作为抵押人在自己的财产上设立浮动抵押权的必须是企业、个体工商户、农业生产经营者等经营者，非经营者不得为他人设立浮动抵押权。</w:t>
      </w:r>
    </w:p>
    <w:p w14:paraId="3E0FA745">
      <w:pPr>
        <w:spacing w:line="384" w:lineRule="exact"/>
        <w:ind w:firstLine="420" w:firstLineChars="200"/>
        <w:rPr>
          <w:rFonts w:hint="eastAsia" w:ascii="汉仪书宋二简" w:eastAsia="汉仪书宋二简"/>
          <w:bCs/>
        </w:rPr>
      </w:pPr>
      <w:r>
        <w:rPr>
          <w:rFonts w:hint="eastAsia" w:ascii="汉仪书宋二简" w:eastAsia="汉仪书宋二简"/>
          <w:bCs/>
        </w:rPr>
        <w:t>（2）抵押财产是抵押人现有的以及将有的生产设备、原材料、半成品、产品等动产，抵押财产处于不断变化之中，抵押权设立后抵押人新取得的动产自动成为抵押财产。</w:t>
      </w:r>
    </w:p>
    <w:p w14:paraId="7990CF50">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3．抵押权的设立：</w:t>
      </w:r>
      <w:r>
        <w:rPr>
          <w:rFonts w:hint="eastAsia" w:ascii="汉仪书宋二简" w:eastAsia="汉仪书宋二简"/>
          <w:bCs/>
        </w:rPr>
        <w:t>与普通动产抵押相同，即抵押合同生效时设立，未登记不得对抗善意第三人。</w:t>
      </w:r>
    </w:p>
    <w:p w14:paraId="76CE008C">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（六）最高额抵押</w:t>
      </w:r>
    </w:p>
    <w:p w14:paraId="249A0739">
      <w:pPr>
        <w:keepNext w:val="0"/>
        <w:keepLines w:val="0"/>
        <w:pageBreakBefore w:val="0"/>
        <w:widowControl w:val="0"/>
        <w:kinsoku/>
        <w:wordWrap/>
        <w:overflowPunct/>
        <w:topLinePunct w:val="0"/>
        <w:bidi w:val="0"/>
        <w:adjustRightInd/>
        <w:snapToGrid/>
        <w:spacing w:line="400" w:lineRule="atLeast"/>
        <w:ind w:firstLine="480"/>
        <w:textAlignment w:val="auto"/>
        <w:rPr>
          <w:rFonts w:ascii="宋体" w:hAnsi="宋体" w:eastAsia="宋体"/>
          <w:sz w:val="24"/>
          <w:szCs w:val="24"/>
        </w:rPr>
      </w:pPr>
      <w:r>
        <w:rPr>
          <w:rFonts w:hint="eastAsia" w:ascii="宋体" w:hAnsi="宋体" w:eastAsia="宋体"/>
          <w:sz w:val="24"/>
          <w:szCs w:val="24"/>
        </w:rPr>
        <w:t>最高额抵押是指在预定的最高限额内，为担保将来一定时期内连续性交易所生债权的清偿期而设定的抵押。最高额抵押权设立前已经存在的债权，经当事人同意，可以转入最高额抵押担保的债权范围。</w:t>
      </w:r>
    </w:p>
    <w:p w14:paraId="2C84D168">
      <w:pPr>
        <w:keepNext w:val="0"/>
        <w:keepLines w:val="0"/>
        <w:pageBreakBefore w:val="0"/>
        <w:widowControl w:val="0"/>
        <w:kinsoku/>
        <w:wordWrap/>
        <w:overflowPunct/>
        <w:topLinePunct w:val="0"/>
        <w:bidi w:val="0"/>
        <w:adjustRightInd/>
        <w:snapToGrid/>
        <w:spacing w:line="400" w:lineRule="atLeast"/>
        <w:textAlignment w:val="auto"/>
        <w:rPr>
          <w:rFonts w:hint="eastAsia" w:ascii="宋体" w:hAnsi="宋体" w:eastAsia="宋体"/>
          <w:sz w:val="24"/>
          <w:szCs w:val="24"/>
        </w:rPr>
      </w:pPr>
      <w:r>
        <w:rPr>
          <w:rFonts w:hint="eastAsia" w:ascii="宋体" w:hAnsi="宋体" w:eastAsia="宋体"/>
          <w:sz w:val="24"/>
          <w:szCs w:val="24"/>
        </w:rPr>
        <w:t>当事人约定或者法律规定的结算期届至，最高额抵押所担保的债权额确定</w:t>
      </w:r>
    </w:p>
    <w:p w14:paraId="04160D6A">
      <w:pPr>
        <w:keepNext w:val="0"/>
        <w:keepLines w:val="0"/>
        <w:pageBreakBefore w:val="0"/>
        <w:widowControl w:val="0"/>
        <w:kinsoku/>
        <w:wordWrap/>
        <w:overflowPunct/>
        <w:topLinePunct w:val="0"/>
        <w:bidi w:val="0"/>
        <w:adjustRightInd/>
        <w:snapToGrid/>
        <w:spacing w:line="400" w:lineRule="atLeast"/>
        <w:textAlignment w:val="auto"/>
        <w:rPr>
          <w:rFonts w:hint="eastAsia" w:ascii="楷体" w:hAnsi="楷体" w:eastAsia="楷体" w:cs="楷体"/>
          <w:sz w:val="24"/>
          <w:szCs w:val="24"/>
          <w:lang w:val="en-US" w:eastAsia="zh-CN"/>
        </w:rPr>
      </w:pPr>
      <w:r>
        <w:rPr>
          <w:rFonts w:hint="eastAsia" w:ascii="宋体" w:hAnsi="宋体"/>
          <w:sz w:val="24"/>
          <w:szCs w:val="24"/>
          <w:lang w:val="en-US" w:eastAsia="zh-CN"/>
        </w:rPr>
        <w:t xml:space="preserve">    </w:t>
      </w:r>
      <w:r>
        <w:rPr>
          <w:rFonts w:hint="eastAsia" w:ascii="楷体" w:hAnsi="楷体" w:eastAsia="楷体" w:cs="楷体"/>
          <w:sz w:val="24"/>
          <w:szCs w:val="24"/>
          <w:lang w:val="en-US" w:eastAsia="zh-CN"/>
        </w:rPr>
        <w:t xml:space="preserve"> 有下列情形之一的，抵押权人的债权确定：约定的债权确定期间届满；没有约定债权确定期间或者约定不明确，</w:t>
      </w:r>
      <w:r>
        <w:rPr>
          <w:rFonts w:hint="eastAsia" w:ascii="楷体" w:hAnsi="楷体" w:eastAsia="楷体" w:cs="楷体"/>
          <w:b/>
          <w:bCs/>
          <w:sz w:val="24"/>
          <w:szCs w:val="24"/>
          <w:lang w:val="en-US" w:eastAsia="zh-CN"/>
        </w:rPr>
        <w:t>抵押权人或者抵押人自最高额抵押权设立之日起满二年后请求确定债权</w:t>
      </w:r>
      <w:r>
        <w:rPr>
          <w:rFonts w:hint="eastAsia" w:ascii="楷体" w:hAnsi="楷体" w:eastAsia="楷体" w:cs="楷体"/>
          <w:sz w:val="24"/>
          <w:szCs w:val="24"/>
          <w:lang w:val="en-US" w:eastAsia="zh-CN"/>
        </w:rPr>
        <w:t>；新的债权不可能发生；抵押权人知道或者应当知道抵押财产被查封、扣押；债务人、抵押人被宣告破产或者解散；法律规定债权确定的其他情形。</w:t>
      </w:r>
    </w:p>
    <w:p w14:paraId="7DCD394B">
      <w:pPr>
        <w:spacing w:line="276" w:lineRule="auto"/>
        <w:ind w:firstLine="480"/>
        <w:rPr>
          <w:rFonts w:hint="eastAsia" w:ascii="宋体" w:hAnsi="宋体" w:eastAsia="宋体" w:cs="宋体"/>
          <w:szCs w:val="21"/>
        </w:rPr>
      </w:pPr>
      <w:r>
        <w:rPr>
          <w:rFonts w:hint="eastAsia" w:ascii="宋体" w:hAnsi="宋体" w:eastAsia="宋体" w:cs="宋体"/>
          <w:color w:val="FF0000"/>
          <w:szCs w:val="21"/>
          <w:u w:val="single"/>
        </w:rPr>
        <w:t>最高额抵押担保的债权确定前，部分债权转让的，最高额抵押权不得转让</w:t>
      </w:r>
      <w:r>
        <w:rPr>
          <w:rFonts w:hint="eastAsia" w:ascii="宋体" w:hAnsi="宋体" w:eastAsia="宋体" w:cs="宋体"/>
          <w:szCs w:val="21"/>
          <w:u w:val="single"/>
        </w:rPr>
        <w:t>。</w:t>
      </w:r>
    </w:p>
    <w:p w14:paraId="32F12AF5">
      <w:pPr>
        <w:numPr>
          <w:ilvl w:val="0"/>
          <w:numId w:val="0"/>
        </w:numPr>
        <w:ind w:left="210" w:leftChars="0"/>
        <w:rPr>
          <w:rFonts w:hint="eastAsia" w:ascii="宋体" w:hAnsi="宋体" w:eastAsia="宋体" w:cs="宋体"/>
          <w:b w:val="0"/>
          <w:bCs w:val="0"/>
          <w:szCs w:val="21"/>
          <w:lang w:val="en-US" w:eastAsia="zh-CN"/>
        </w:rPr>
      </w:pPr>
    </w:p>
    <w:p w14:paraId="2917412E">
      <w:pPr>
        <w:spacing w:line="384" w:lineRule="exact"/>
        <w:ind w:firstLine="420" w:firstLineChars="200"/>
        <w:rPr>
          <w:rFonts w:hint="eastAsia" w:ascii="汉仪书宋二简" w:eastAsia="汉仪书宋二简"/>
          <w:bCs/>
        </w:rPr>
      </w:pPr>
    </w:p>
    <w:p w14:paraId="7C69C05A">
      <w:pPr>
        <w:spacing w:line="384" w:lineRule="exact"/>
        <w:jc w:val="left"/>
        <w:rPr>
          <w:rFonts w:hint="eastAsia" w:ascii="汉仪大宋简" w:hAnsi="汉仪大宋简" w:eastAsia="汉仪大宋简" w:cs="汉仪大宋简"/>
          <w:bCs/>
          <w:color w:val="auto"/>
          <w:sz w:val="26"/>
          <w:szCs w:val="24"/>
        </w:rPr>
      </w:pPr>
      <w:r>
        <w:rPr>
          <w:rFonts w:hint="eastAsia" w:ascii="汉仪大宋简" w:hAnsi="汉仪大宋简" w:eastAsia="汉仪大宋简" w:cs="汉仪大宋简"/>
          <w:bCs/>
          <w:color w:val="auto"/>
          <w:sz w:val="26"/>
          <w:szCs w:val="24"/>
        </w:rPr>
        <w:t>四、动产质权</w:t>
      </w:r>
    </w:p>
    <w:p w14:paraId="00053C01">
      <w:pPr>
        <w:spacing w:line="384" w:lineRule="exact"/>
        <w:ind w:firstLine="420" w:firstLineChars="200"/>
        <w:rPr>
          <w:rFonts w:hint="eastAsia" w:ascii="汉仪书宋二简" w:eastAsia="汉仪书宋二简"/>
          <w:bCs/>
        </w:rPr>
      </w:pPr>
    </w:p>
    <w:p w14:paraId="63DB96DA">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（一）动产质权的设立</w:t>
      </w:r>
    </w:p>
    <w:p w14:paraId="1B6EE50E">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1．质押合同</w:t>
      </w:r>
    </w:p>
    <w:p w14:paraId="08560F06">
      <w:pPr>
        <w:spacing w:line="384" w:lineRule="exact"/>
        <w:ind w:firstLine="420" w:firstLineChars="200"/>
        <w:rPr>
          <w:rFonts w:hint="eastAsia" w:ascii="汉仪书宋二简" w:eastAsia="汉仪书宋二简"/>
          <w:bCs/>
        </w:rPr>
      </w:pPr>
      <w:r>
        <w:rPr>
          <w:rFonts w:hint="eastAsia" w:ascii="汉仪书宋二简" w:eastAsia="汉仪书宋二简"/>
          <w:bCs/>
        </w:rPr>
        <w:t>（1）合同形式：书面形式。</w:t>
      </w:r>
    </w:p>
    <w:p w14:paraId="688B10D9">
      <w:pPr>
        <w:spacing w:line="384" w:lineRule="exact"/>
        <w:ind w:firstLine="420" w:firstLineChars="200"/>
        <w:rPr>
          <w:rFonts w:hint="eastAsia" w:ascii="汉仪书宋二简" w:eastAsia="汉仪书宋二简"/>
          <w:bCs/>
        </w:rPr>
      </w:pPr>
      <w:r>
        <w:rPr>
          <w:rFonts w:hint="eastAsia" w:ascii="汉仪书宋二简" w:eastAsia="汉仪书宋二简"/>
          <w:bCs/>
        </w:rPr>
        <w:t>（2）合同性质：负担行为，出质人欠缺处分权不影响质押合同的效力。如果出质人签订质押合同后未按约交付，质权人有权请求交付。</w:t>
      </w:r>
    </w:p>
    <w:p w14:paraId="3A125376">
      <w:pPr>
        <w:spacing w:line="384" w:lineRule="exact"/>
        <w:ind w:firstLine="420" w:firstLineChars="200"/>
        <w:rPr>
          <w:rFonts w:hint="eastAsia" w:ascii="汉仪书宋二简" w:eastAsia="汉仪书宋二简"/>
          <w:bCs/>
        </w:rPr>
      </w:pPr>
      <w:r>
        <w:rPr>
          <w:rFonts w:hint="eastAsia" w:ascii="汉仪书宋二简" w:eastAsia="汉仪书宋二简"/>
          <w:bCs/>
        </w:rPr>
        <w:t>（3）合同生效时点：原则上自成立时生效，是否交付不影响质押合同的效力。</w:t>
      </w:r>
    </w:p>
    <w:p w14:paraId="6C18AEA8">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2．质权设立时点：</w:t>
      </w:r>
      <w:r>
        <w:rPr>
          <w:rFonts w:hint="eastAsia" w:ascii="汉仪书宋二简" w:eastAsia="汉仪书宋二简"/>
          <w:bCs/>
        </w:rPr>
        <w:t>交付时（民法典429）</w:t>
      </w:r>
    </w:p>
    <w:p w14:paraId="09F1463D">
      <w:pPr>
        <w:spacing w:line="384" w:lineRule="exact"/>
        <w:ind w:firstLine="420" w:firstLineChars="200"/>
        <w:rPr>
          <w:rFonts w:hint="eastAsia" w:ascii="汉仪书宋二简" w:eastAsia="汉仪书宋二简"/>
          <w:bCs/>
        </w:rPr>
      </w:pPr>
      <w:r>
        <w:rPr>
          <w:rFonts w:hint="eastAsia" w:eastAsia="汉仪粗黑简"/>
          <w:color w:val="FF0000"/>
          <w:lang w:val="zh-CN"/>
        </w:rPr>
        <w:drawing>
          <wp:anchor distT="0" distB="0" distL="114300" distR="114300" simplePos="0" relativeHeight="251659264" behindDoc="0" locked="0" layoutInCell="1" allowOverlap="1">
            <wp:simplePos x="0" y="0"/>
            <wp:positionH relativeFrom="column">
              <wp:posOffset>50800</wp:posOffset>
            </wp:positionH>
            <wp:positionV relativeFrom="paragraph">
              <wp:posOffset>50165</wp:posOffset>
            </wp:positionV>
            <wp:extent cx="161925" cy="161925"/>
            <wp:effectExtent l="0" t="0" r="3175" b="3175"/>
            <wp:wrapNone/>
            <wp:docPr id="1089878515" name="图形 1089878515" descr="星形 纯色填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78515" name="图形 1089878515" descr="星形 纯色填充"/>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2000" cy="162000"/>
                    </a:xfrm>
                    <a:prstGeom prst="rect">
                      <a:avLst/>
                    </a:prstGeom>
                  </pic:spPr>
                </pic:pic>
              </a:graphicData>
            </a:graphic>
          </wp:anchor>
        </w:drawing>
      </w:r>
      <w:r>
        <w:rPr>
          <w:rFonts w:hint="eastAsia" w:ascii="汉仪粗黑简" w:eastAsia="汉仪粗黑简"/>
          <w:bCs/>
          <w:color w:val="FF0000"/>
        </w:rPr>
        <w:t>注意：</w:t>
      </w:r>
      <w:r>
        <w:rPr>
          <w:rFonts w:hint="eastAsia" w:ascii="汉仪书宋二简" w:eastAsia="汉仪书宋二简"/>
          <w:bCs/>
        </w:rPr>
        <w:t>设立动产质权所要求的交付包括现实交付、简易交付与指示交付，不包括占有改定。指示交付时，动产质权自返还请求权让与通知到达直接占有人时设立（与动产买卖时不同！）此外，特殊动产（机动车、船舶、航空器）的质押也适用动产质押的规则，质权于交付时设立。</w:t>
      </w:r>
    </w:p>
    <w:p w14:paraId="60C30D6F">
      <w:pPr>
        <w:spacing w:line="384" w:lineRule="exact"/>
        <w:ind w:firstLine="420" w:firstLineChars="200"/>
        <w:rPr>
          <w:rFonts w:hint="default" w:ascii="楷体" w:hAnsi="楷体" w:eastAsia="楷体"/>
          <w:bCs/>
          <w:color w:val="0000FF"/>
          <w:lang w:val="en-US" w:eastAsia="zh-CN"/>
        </w:rPr>
      </w:pPr>
      <w:r>
        <w:rPr>
          <w:rFonts w:hint="eastAsia" w:ascii="楷体" w:hAnsi="楷体" w:eastAsia="楷体"/>
          <w:bCs/>
          <w:color w:val="0000FF"/>
          <w:lang w:val="en-US" w:eastAsia="zh-CN"/>
        </w:rPr>
        <w:t>占有改定不能设立质权</w:t>
      </w:r>
    </w:p>
    <w:p w14:paraId="3B81CD4D">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（二）存货质押</w:t>
      </w:r>
    </w:p>
    <w:p w14:paraId="69AD4BF5">
      <w:pPr>
        <w:spacing w:line="384" w:lineRule="exact"/>
        <w:ind w:firstLine="420" w:firstLineChars="200"/>
        <w:rPr>
          <w:rFonts w:hint="eastAsia" w:ascii="楷体" w:hAnsi="楷体" w:eastAsia="楷体"/>
        </w:rPr>
      </w:pPr>
    </w:p>
    <w:p w14:paraId="3847D34A">
      <w:pPr>
        <w:spacing w:line="384" w:lineRule="exact"/>
        <w:ind w:firstLine="440" w:firstLineChars="200"/>
        <w:rPr>
          <w:rFonts w:ascii="汉仪书宋一简" w:hAnsi="Times New Roman" w:eastAsia="汉仪书宋一简" w:cs="Times New Roman"/>
        </w:rPr>
      </w:pPr>
      <w:r>
        <w:rPr>
          <w:rFonts w:hint="eastAsia" w:ascii="汉仪中黑简" w:eastAsia="汉仪中黑简"/>
          <w:bCs/>
          <w:sz w:val="22"/>
          <w:szCs w:val="22"/>
        </w:rPr>
        <w:t>1．类型：</w:t>
      </w:r>
      <w:r>
        <w:rPr>
          <w:rFonts w:hint="eastAsia" w:ascii="汉仪书宋二简" w:eastAsia="汉仪书宋二简"/>
          <w:bCs/>
        </w:rPr>
        <w:t>（1）</w:t>
      </w:r>
      <w:r>
        <w:rPr>
          <w:rFonts w:hint="eastAsia" w:ascii="汉仪书宋一简" w:hAnsi="Times New Roman" w:eastAsia="汉仪书宋一简" w:cs="Times New Roman"/>
        </w:rPr>
        <w:t>固定的存货质押；（2）动态的存货质押。</w:t>
      </w:r>
    </w:p>
    <w:p w14:paraId="36819D31">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2．交易结构：</w:t>
      </w:r>
      <w:r>
        <w:rPr>
          <w:rFonts w:hint="eastAsia" w:ascii="汉仪书宋二简" w:eastAsia="汉仪书宋二简"/>
          <w:bCs/>
        </w:rPr>
        <w:t>（1）出质人与债权人：质押合同；（2）债权人与监管人：监管合同。</w:t>
      </w:r>
    </w:p>
    <w:p w14:paraId="25783C71">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3．质权的设立时点：</w:t>
      </w:r>
      <w:r>
        <w:rPr>
          <w:rFonts w:hint="eastAsia" w:ascii="汉仪书宋二简" w:eastAsia="汉仪书宋二简"/>
          <w:bCs/>
        </w:rPr>
        <w:t>债权人委托的监管人实际控制货物之日（</w:t>
      </w:r>
      <w:r>
        <w:rPr>
          <w:rFonts w:hint="eastAsia" w:ascii="汉仪中黑简" w:hAnsi="楷体" w:eastAsia="汉仪中黑简"/>
          <w:color w:val="FF0000"/>
        </w:rPr>
        <w:t>民法典担保制度解释55I</w:t>
      </w:r>
      <w:r>
        <w:rPr>
          <w:rFonts w:hint="eastAsia" w:ascii="汉仪书宋二简" w:eastAsia="汉仪书宋二简"/>
          <w:bCs/>
        </w:rPr>
        <w:t>）。如果监管人是受出质人委托而监管货物，或者虽然受债权人委托但是未实际履行监管职责，导致货物仍由出质人实际控制的，质权不设立（</w:t>
      </w:r>
      <w:r>
        <w:rPr>
          <w:rFonts w:hint="eastAsia" w:ascii="汉仪中黑简" w:hAnsi="楷体" w:eastAsia="汉仪中黑简"/>
          <w:color w:val="FF0000"/>
        </w:rPr>
        <w:t>民法典担保制度解释55II</w:t>
      </w:r>
      <w:r>
        <w:rPr>
          <w:rFonts w:hint="eastAsia" w:ascii="汉仪书宋二简" w:eastAsia="汉仪书宋二简"/>
          <w:bCs/>
        </w:rPr>
        <w:t>）。</w:t>
      </w:r>
    </w:p>
    <w:p w14:paraId="10B37426">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4．违约责任</w:t>
      </w:r>
    </w:p>
    <w:p w14:paraId="4F7B9904">
      <w:pPr>
        <w:spacing w:line="384" w:lineRule="exact"/>
        <w:ind w:firstLine="420" w:firstLineChars="200"/>
        <w:rPr>
          <w:rFonts w:ascii="汉仪书宋一简" w:hAnsi="Times New Roman" w:eastAsia="汉仪书宋一简" w:cs="Times New Roman"/>
        </w:rPr>
      </w:pPr>
      <w:r>
        <w:rPr>
          <w:rFonts w:hint="eastAsia" w:ascii="汉仪书宋一简" w:hAnsi="Times New Roman" w:eastAsia="汉仪书宋一简" w:cs="Times New Roman"/>
        </w:rPr>
        <w:t>（1）</w:t>
      </w:r>
      <w:r>
        <w:rPr>
          <w:rFonts w:ascii="汉仪书宋一简" w:hAnsi="Times New Roman" w:eastAsia="汉仪书宋一简" w:cs="Times New Roman"/>
        </w:rPr>
        <w:t>监管人违反约定向出质人或者其他人放货、因保管不善导致货物毁损灭失</w:t>
      </w:r>
      <w:r>
        <w:rPr>
          <w:rFonts w:hint="eastAsia" w:ascii="汉仪书宋一简" w:hAnsi="Times New Roman" w:eastAsia="汉仪书宋一简" w:cs="Times New Roman"/>
        </w:rPr>
        <w:t>：</w:t>
      </w:r>
      <w:r>
        <w:rPr>
          <w:rFonts w:ascii="汉仪书宋一简" w:hAnsi="Times New Roman" w:eastAsia="汉仪书宋一简" w:cs="Times New Roman"/>
        </w:rPr>
        <w:t>监管人应承担违约责任</w:t>
      </w:r>
      <w:r>
        <w:rPr>
          <w:rFonts w:hint="eastAsia" w:ascii="汉仪书宋二简" w:eastAsia="汉仪书宋二简"/>
          <w:bCs/>
        </w:rPr>
        <w:t>（</w:t>
      </w:r>
      <w:r>
        <w:rPr>
          <w:rFonts w:hint="eastAsia" w:ascii="汉仪中黑简" w:hAnsi="楷体" w:eastAsia="汉仪中黑简"/>
          <w:color w:val="FF0000"/>
        </w:rPr>
        <w:t>民法典担保制度解释55I</w:t>
      </w:r>
      <w:r>
        <w:rPr>
          <w:rFonts w:hint="eastAsia" w:ascii="汉仪书宋二简" w:eastAsia="汉仪书宋二简"/>
          <w:bCs/>
        </w:rPr>
        <w:t>）</w:t>
      </w:r>
      <w:r>
        <w:rPr>
          <w:rFonts w:hint="eastAsia" w:ascii="汉仪书宋一简" w:hAnsi="Times New Roman" w:eastAsia="汉仪书宋一简" w:cs="Times New Roman"/>
        </w:rPr>
        <w:t>。</w:t>
      </w:r>
    </w:p>
    <w:p w14:paraId="3CA85B72">
      <w:pPr>
        <w:spacing w:line="384" w:lineRule="exact"/>
        <w:ind w:firstLine="420" w:firstLineChars="200"/>
        <w:rPr>
          <w:rFonts w:hint="eastAsia" w:ascii="汉仪书宋二简" w:eastAsia="汉仪书宋二简"/>
          <w:bCs/>
        </w:rPr>
      </w:pPr>
      <w:r>
        <w:rPr>
          <w:rFonts w:hint="eastAsia" w:ascii="汉仪书宋一简" w:hAnsi="Times New Roman" w:eastAsia="汉仪书宋一简" w:cs="Times New Roman"/>
        </w:rPr>
        <w:t>（2）</w:t>
      </w:r>
      <w:r>
        <w:rPr>
          <w:rFonts w:ascii="汉仪书宋一简" w:hAnsi="Times New Roman" w:eastAsia="汉仪书宋一简" w:cs="Times New Roman"/>
        </w:rPr>
        <w:t>监管人</w:t>
      </w:r>
      <w:r>
        <w:rPr>
          <w:rFonts w:hint="eastAsia" w:ascii="汉仪书宋一简" w:hAnsi="Times New Roman" w:eastAsia="汉仪书宋一简" w:cs="Times New Roman"/>
        </w:rPr>
        <w:t>是</w:t>
      </w:r>
      <w:r>
        <w:rPr>
          <w:rFonts w:ascii="汉仪书宋一简" w:hAnsi="Times New Roman" w:eastAsia="汉仪书宋一简" w:cs="Times New Roman"/>
        </w:rPr>
        <w:t>受出质人委托</w:t>
      </w:r>
      <w:r>
        <w:rPr>
          <w:rFonts w:hint="eastAsia" w:ascii="汉仪书宋一简" w:hAnsi="Times New Roman" w:eastAsia="汉仪书宋一简" w:cs="Times New Roman"/>
        </w:rPr>
        <w:t>而</w:t>
      </w:r>
      <w:r>
        <w:rPr>
          <w:rFonts w:ascii="汉仪书宋一简" w:hAnsi="Times New Roman" w:eastAsia="汉仪书宋一简" w:cs="Times New Roman"/>
        </w:rPr>
        <w:t>监管货物，或者虽然受债权人委托但是未实际履行监管职责，导致货物仍由出质人实际控制</w:t>
      </w:r>
      <w:r>
        <w:rPr>
          <w:rFonts w:hint="eastAsia" w:ascii="汉仪书宋一简" w:hAnsi="Times New Roman" w:eastAsia="汉仪书宋一简" w:cs="Times New Roman"/>
        </w:rPr>
        <w:t>：</w:t>
      </w:r>
      <w:r>
        <w:rPr>
          <w:rFonts w:ascii="汉仪书宋一简" w:hAnsi="Times New Roman" w:eastAsia="汉仪书宋一简" w:cs="Times New Roman"/>
        </w:rPr>
        <w:t>债权人可以基于质押合同的约定请求出质人承担违约责任，但是不得超过质权有效设立时出质人应当承担的责任范围</w:t>
      </w:r>
      <w:r>
        <w:rPr>
          <w:rFonts w:hint="eastAsia" w:ascii="汉仪书宋二简" w:eastAsia="汉仪书宋二简"/>
          <w:bCs/>
        </w:rPr>
        <w:t>（</w:t>
      </w:r>
      <w:r>
        <w:rPr>
          <w:rFonts w:hint="eastAsia" w:ascii="汉仪中黑简" w:hAnsi="楷体" w:eastAsia="汉仪中黑简"/>
          <w:color w:val="FF0000"/>
        </w:rPr>
        <w:t>民法典担保制度解释55II</w:t>
      </w:r>
      <w:r>
        <w:rPr>
          <w:rFonts w:hint="eastAsia" w:ascii="汉仪书宋二简" w:eastAsia="汉仪书宋二简"/>
          <w:bCs/>
        </w:rPr>
        <w:t>）。</w:t>
      </w:r>
    </w:p>
    <w:p w14:paraId="289276B1">
      <w:pPr>
        <w:spacing w:line="384" w:lineRule="exact"/>
        <w:jc w:val="left"/>
        <w:rPr>
          <w:rFonts w:hint="eastAsia" w:ascii="汉仪书宋二简" w:eastAsia="汉仪书宋二简"/>
          <w:bCs/>
        </w:rPr>
      </w:pPr>
      <w:r>
        <w:rPr>
          <w:rFonts w:hint="eastAsia" w:ascii="汉仪大宋简" w:hAnsi="汉仪大宋简" w:eastAsia="汉仪大宋简" w:cs="汉仪大宋简"/>
          <w:bCs/>
          <w:color w:val="auto"/>
          <w:sz w:val="26"/>
          <w:szCs w:val="24"/>
        </w:rPr>
        <w:t>五、权利质权</w:t>
      </w:r>
    </w:p>
    <w:p w14:paraId="355C05F8">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（一）可以出质的权利范围</w:t>
      </w:r>
    </w:p>
    <w:p w14:paraId="255E9869">
      <w:pPr>
        <w:spacing w:line="384" w:lineRule="exact"/>
        <w:ind w:firstLine="420" w:firstLineChars="200"/>
        <w:rPr>
          <w:rFonts w:hint="eastAsia" w:ascii="汉仪书宋二简" w:eastAsia="汉仪书宋二简"/>
          <w:bCs/>
        </w:rPr>
      </w:pPr>
      <w:r>
        <w:rPr>
          <w:rFonts w:hint="eastAsia" w:ascii="汉仪书宋二简" w:eastAsia="汉仪书宋二简"/>
          <w:bCs/>
        </w:rPr>
        <w:t>依据《民法典》第440条的规定，债务人或第三人有权处分的下列权利可以出质：（1）汇票、支票、本票；（2）债券、存款单；（3）仓单、提单；（4）可以转让的基金份额、股权；（5）可以转让的注册商标专用权、专利权、著作权等知识产权中的财产权；（6）现有的以及将来的应收账款；（7）法律、行政法规规定可以出质的其他财产权利。</w:t>
      </w:r>
    </w:p>
    <w:p w14:paraId="3909C871">
      <w:pPr>
        <w:spacing w:line="384" w:lineRule="exact"/>
        <w:ind w:firstLine="312" w:firstLineChars="130"/>
        <w:rPr>
          <w:rFonts w:hint="eastAsia" w:ascii="汉仪大宋简" w:hAnsi="汉仪大宋简" w:eastAsia="汉仪大宋简" w:cs="汉仪大宋简"/>
          <w:bCs/>
          <w:color w:val="auto"/>
          <w:sz w:val="24"/>
          <w:szCs w:val="24"/>
        </w:rPr>
      </w:pPr>
      <w:r>
        <w:rPr>
          <w:rFonts w:hint="eastAsia" w:ascii="汉仪大宋简" w:hAnsi="汉仪大宋简" w:eastAsia="汉仪大宋简" w:cs="汉仪大宋简"/>
          <w:bCs/>
          <w:color w:val="auto"/>
          <w:sz w:val="24"/>
          <w:szCs w:val="24"/>
        </w:rPr>
        <w:t>（二）权利质权的设立</w:t>
      </w:r>
    </w:p>
    <w:p w14:paraId="475B57CA">
      <w:pPr>
        <w:spacing w:line="384" w:lineRule="exact"/>
        <w:ind w:firstLine="440" w:firstLineChars="200"/>
        <w:rPr>
          <w:rFonts w:hint="eastAsia" w:ascii="汉仪书宋二简" w:eastAsia="汉仪书宋二简"/>
          <w:bCs/>
        </w:rPr>
      </w:pPr>
      <w:r>
        <w:rPr>
          <w:rFonts w:hint="eastAsia" w:ascii="汉仪中黑简" w:eastAsia="汉仪中黑简"/>
          <w:bCs/>
          <w:sz w:val="22"/>
          <w:szCs w:val="22"/>
        </w:rPr>
        <w:t>1．设立流程：</w:t>
      </w:r>
      <w:r>
        <w:rPr>
          <w:rFonts w:hint="eastAsia" w:ascii="汉仪书宋二简" w:eastAsia="汉仪书宋二简"/>
          <w:bCs/>
        </w:rPr>
        <w:t>签订书面质押合同+交付凭证/办理质押登记。</w:t>
      </w:r>
    </w:p>
    <w:p w14:paraId="1643B7D4">
      <w:pPr>
        <w:spacing w:line="384" w:lineRule="exact"/>
        <w:ind w:firstLine="440" w:firstLineChars="200"/>
        <w:rPr>
          <w:rFonts w:hint="eastAsia" w:ascii="汉仪中黑简" w:eastAsia="汉仪中黑简"/>
          <w:bCs/>
          <w:sz w:val="22"/>
          <w:szCs w:val="22"/>
        </w:rPr>
      </w:pPr>
      <w:r>
        <w:rPr>
          <w:rFonts w:hint="eastAsia" w:ascii="汉仪中黑简" w:eastAsia="汉仪中黑简"/>
          <w:bCs/>
          <w:sz w:val="22"/>
          <w:szCs w:val="22"/>
        </w:rPr>
        <w:t>2．质权的设立时点</w:t>
      </w:r>
    </w:p>
    <w:p w14:paraId="3EEFF285">
      <w:pPr>
        <w:spacing w:line="384" w:lineRule="exact"/>
        <w:ind w:firstLine="420" w:firstLineChars="200"/>
        <w:rPr>
          <w:rFonts w:hint="eastAsia" w:ascii="汉仪书宋二简" w:eastAsia="汉仪书宋二简"/>
          <w:bCs/>
        </w:rPr>
      </w:pPr>
      <w:r>
        <w:rPr>
          <w:rFonts w:hint="eastAsia" w:ascii="汉仪书宋二简" w:eastAsia="汉仪书宋二简"/>
          <w:bCs/>
        </w:rPr>
        <w:t>（1）权利凭证交付时：有权利凭证的汇票、支票、本票、债券、存款单、仓单、提单出质。</w:t>
      </w:r>
    </w:p>
    <w:p w14:paraId="01B40961">
      <w:pPr>
        <w:spacing w:line="384" w:lineRule="exact"/>
        <w:ind w:firstLine="420" w:firstLineChars="200"/>
      </w:pPr>
      <w:r>
        <w:rPr>
          <w:rFonts w:hint="eastAsia" w:ascii="汉仪书宋二简" w:eastAsia="汉仪书宋二简"/>
          <w:bCs/>
        </w:rPr>
        <w:t>（2）登记时：没有权利凭证的权利出质。</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汉仪书宋二简">
    <w:altName w:val="宋体"/>
    <w:panose1 w:val="02010609000101010101"/>
    <w:charset w:val="86"/>
    <w:family w:val="modern"/>
    <w:pitch w:val="default"/>
    <w:sig w:usb0="00000000" w:usb1="00000000" w:usb2="00000012" w:usb3="00000000" w:csb0="00040000" w:csb1="00000000"/>
  </w:font>
  <w:font w:name="汉仪中黑简">
    <w:altName w:val="黑体"/>
    <w:panose1 w:val="02010609000101010101"/>
    <w:charset w:val="86"/>
    <w:family w:val="modern"/>
    <w:pitch w:val="default"/>
    <w:sig w:usb0="00000000" w:usb1="00000000" w:usb2="00000012" w:usb3="00000000" w:csb0="00040000" w:csb1="00000000"/>
  </w:font>
  <w:font w:name="汉仪大宋简">
    <w:altName w:val="微软雅黑"/>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汉仪书宋一简">
    <w:altName w:val="微软雅黑"/>
    <w:panose1 w:val="02010609000101010101"/>
    <w:charset w:val="86"/>
    <w:family w:val="modern"/>
    <w:pitch w:val="default"/>
    <w:sig w:usb0="00000000" w:usb1="00000000" w:usb2="00000012" w:usb3="00000000" w:csb0="00040000" w:csb1="00000000"/>
  </w:font>
  <w:font w:name="汉仪粗黑简">
    <w:altName w:val="微软雅黑"/>
    <w:panose1 w:val="02010609000101010101"/>
    <w:charset w:val="86"/>
    <w:family w:val="modern"/>
    <w:pitch w:val="default"/>
    <w:sig w:usb0="00000000" w:usb1="00000000" w:usb2="00000012" w:usb3="00000000" w:csb0="00040000" w:csb1="00000000"/>
  </w:font>
  <w:font w:name="等线">
    <w:panose1 w:val="02010600030101010101"/>
    <w:charset w:val="86"/>
    <w:family w:val="script"/>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A92491"/>
    <w:multiLevelType w:val="singleLevel"/>
    <w:tmpl w:val="ECA9249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91D6C"/>
    <w:rsid w:val="122E1876"/>
    <w:rsid w:val="13754D89"/>
    <w:rsid w:val="3A5506D2"/>
    <w:rsid w:val="3ED578A8"/>
    <w:rsid w:val="51F85ED6"/>
    <w:rsid w:val="6114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宋体" w:hAnsi="宋体" w:cs="宋体"/>
      <w:b/>
      <w:bCs/>
      <w:color w:val="FF0000"/>
      <w:sz w:val="32"/>
      <w:szCs w:val="32"/>
    </w:rPr>
  </w:style>
  <w:style w:type="table" w:styleId="4">
    <w:name w:val="Table Grid"/>
    <w:basedOn w:val="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sv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2025-06-27T14:36:34Z</dcterms:created>
  <dc:creator>cuplh</dc:creator>
  <cp:lastModifiedBy>韩富鹏</cp:lastModifiedBy>
  <dcterms:modified xsi:type="dcterms:W3CDTF">2025-06-27T15:11:15Z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eyJoZGlkIjoiMWFjYzQzMDc3NjcyYmQ4ODllY2M1ZTlhMDk0YzI1ZDQiLCJ1c2VySWQiOiI2MjgyMjQxMTMifQ==</vt:lpwstr>
  </property>
  <property fmtid="{D5CDD505-2E9C-101B-9397-08002B2CF9AE}" pid="4" name="ICV">
    <vt:lpwstr>0535548DC95A49568F3C0E302520482C_12</vt:lpwstr>
  </property>
</Properties>
</file>