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E7328" w14:textId="686EC240" w:rsidR="00A771AD" w:rsidRPr="00A771AD" w:rsidRDefault="00A771AD" w:rsidP="00A771AD">
      <w:pPr>
        <w:keepNext/>
        <w:keepLines/>
        <w:spacing w:after="0" w:line="480" w:lineRule="exact"/>
        <w:jc w:val="center"/>
        <w:outlineLvl w:val="0"/>
        <w:rPr>
          <w:rFonts w:ascii="宋体" w:eastAsia="宋体" w:hAnsi="宋体" w:cs="汉仪大宋简" w:hint="eastAsia"/>
          <w:b/>
          <w:bCs/>
          <w:kern w:val="44"/>
          <w:sz w:val="21"/>
          <w:szCs w:val="21"/>
          <w14:ligatures w14:val="none"/>
        </w:rPr>
      </w:pPr>
      <w:bookmarkStart w:id="0" w:name="_Toc200399935"/>
      <w:r w:rsidRPr="00A771AD">
        <w:rPr>
          <w:rFonts w:ascii="宋体" w:eastAsia="宋体" w:hAnsi="宋体" w:cs="汉仪大宋简" w:hint="eastAsia"/>
          <w:b/>
          <w:bCs/>
          <w:kern w:val="44"/>
          <w:sz w:val="21"/>
          <w:szCs w:val="21"/>
          <w14:ligatures w14:val="none"/>
        </w:rPr>
        <w:t>专题一  民事主体</w:t>
      </w:r>
      <w:bookmarkEnd w:id="0"/>
      <w:r w:rsidR="00D35497">
        <w:rPr>
          <w:rFonts w:ascii="宋体" w:eastAsia="宋体" w:hAnsi="宋体" w:cs="汉仪大宋简" w:hint="eastAsia"/>
          <w:b/>
          <w:bCs/>
          <w:kern w:val="44"/>
          <w:sz w:val="21"/>
          <w:szCs w:val="21"/>
          <w14:ligatures w14:val="none"/>
        </w:rPr>
        <w:t>（19:30-20:30）</w:t>
      </w:r>
    </w:p>
    <w:p w14:paraId="6B7F1A6B" w14:textId="77777777" w:rsidR="00A771AD" w:rsidRPr="00A771AD" w:rsidRDefault="00A771AD" w:rsidP="00A771AD">
      <w:pPr>
        <w:spacing w:after="0" w:line="384" w:lineRule="exact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一、胎儿利益的特殊保护</w:t>
      </w:r>
    </w:p>
    <w:p w14:paraId="15D07649" w14:textId="77777777" w:rsidR="00A771AD" w:rsidRPr="00A771AD" w:rsidRDefault="00A771AD" w:rsidP="00A771AD">
      <w:pPr>
        <w:spacing w:after="0" w:line="384" w:lineRule="exact"/>
        <w:ind w:firstLineChars="130" w:firstLine="274"/>
        <w:jc w:val="both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（一）适用范围</w:t>
      </w:r>
    </w:p>
    <w:p w14:paraId="06B785F6" w14:textId="1993524C" w:rsidR="00A771AD" w:rsidRPr="00A771AD" w:rsidRDefault="00A771AD" w:rsidP="00A771AD">
      <w:pPr>
        <w:spacing w:after="0" w:line="384" w:lineRule="exact"/>
        <w:ind w:firstLineChars="200" w:firstLine="420"/>
        <w:jc w:val="both"/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</w:pP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胎儿在出生前尚未取得民事权利能力，</w:t>
      </w:r>
      <w:r w:rsidRPr="00A771AD">
        <w:rPr>
          <w:rFonts w:ascii="宋体" w:eastAsia="宋体" w:hAnsi="宋体" w:cs="Times New Roman" w:hint="eastAsia"/>
          <w:color w:val="FF0000"/>
          <w:sz w:val="21"/>
          <w:szCs w:val="21"/>
          <w14:ligatures w14:val="none"/>
        </w:rPr>
        <w:t>胎儿利益保护的适用事项包括遗产继承、接受赠与、遭受人身损害等情形</w:t>
      </w: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。胎儿利益的特殊保护中，胎儿仅享有权利，不能负担义务。</w:t>
      </w:r>
    </w:p>
    <w:p w14:paraId="499ACFB6" w14:textId="77777777" w:rsidR="00A771AD" w:rsidRPr="00A771AD" w:rsidRDefault="00A771AD" w:rsidP="00A771AD">
      <w:pPr>
        <w:spacing w:after="0" w:line="384" w:lineRule="exact"/>
        <w:ind w:firstLineChars="130" w:firstLine="274"/>
        <w:jc w:val="both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（二）具体方式</w:t>
      </w:r>
    </w:p>
    <w:p w14:paraId="3363EF08" w14:textId="693F43F6" w:rsidR="00A771AD" w:rsidRPr="00A771AD" w:rsidRDefault="00A771AD" w:rsidP="00A771AD">
      <w:pPr>
        <w:spacing w:after="0" w:line="384" w:lineRule="exact"/>
        <w:ind w:firstLineChars="200" w:firstLine="420"/>
        <w:jc w:val="both"/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</w:pP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胎儿在出生前</w:t>
      </w:r>
      <w:r w:rsidRPr="00A771AD">
        <w:rPr>
          <w:rFonts w:ascii="宋体" w:eastAsia="宋体" w:hAnsi="宋体" w:cs="Times New Roman" w:hint="eastAsia"/>
          <w:color w:val="FF0000"/>
          <w:sz w:val="21"/>
          <w:szCs w:val="21"/>
          <w14:ligatures w14:val="none"/>
        </w:rPr>
        <w:t>被视为具有民事权利能力，</w:t>
      </w: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即</w:t>
      </w:r>
      <w:r w:rsidRPr="00A771AD">
        <w:rPr>
          <w:rFonts w:ascii="宋体" w:eastAsia="宋体" w:hAnsi="宋体" w:cs="Times New Roman" w:hint="eastAsia"/>
          <w:color w:val="FF0000"/>
          <w:sz w:val="21"/>
          <w:szCs w:val="21"/>
          <w14:ligatures w14:val="none"/>
        </w:rPr>
        <w:t>出生前就可以作为原告起诉接</w:t>
      </w: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受赠与、参与继承以及主张人身损害赔偿，</w:t>
      </w:r>
      <w:r w:rsidRPr="00A771AD">
        <w:rPr>
          <w:rFonts w:ascii="宋体" w:eastAsia="宋体" w:hAnsi="宋体" w:cs="Times New Roman" w:hint="eastAsia"/>
          <w:color w:val="FF0000"/>
          <w:sz w:val="21"/>
          <w:szCs w:val="21"/>
          <w14:ligatures w14:val="none"/>
        </w:rPr>
        <w:t>诉讼中父母作为法定代理人</w:t>
      </w: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。如果出生时为活体，则出生前取得的利益可以继续保有；</w:t>
      </w:r>
      <w:r w:rsidRPr="00A771AD">
        <w:rPr>
          <w:rFonts w:ascii="宋体" w:eastAsia="宋体" w:hAnsi="宋体" w:cs="Times New Roman" w:hint="eastAsia"/>
          <w:color w:val="FF0000"/>
          <w:sz w:val="21"/>
          <w:szCs w:val="21"/>
          <w14:ligatures w14:val="none"/>
        </w:rPr>
        <w:t>如果出生时为死体，其民事权利能力自始不存在，</w:t>
      </w: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出生前已经取得的利益，</w:t>
      </w:r>
      <w:r w:rsidRPr="00A771AD">
        <w:rPr>
          <w:rFonts w:ascii="宋体" w:eastAsia="宋体" w:hAnsi="宋体" w:cs="Times New Roman" w:hint="eastAsia"/>
          <w:color w:val="FF0000"/>
          <w:sz w:val="21"/>
          <w:szCs w:val="21"/>
          <w14:ligatures w14:val="none"/>
        </w:rPr>
        <w:t>将发生法律效果的反转</w:t>
      </w: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。</w:t>
      </w:r>
    </w:p>
    <w:p w14:paraId="74C4ED46" w14:textId="4CA2B301" w:rsidR="00A771AD" w:rsidRPr="00A771AD" w:rsidRDefault="00A771AD" w:rsidP="00A771AD">
      <w:pPr>
        <w:spacing w:after="0" w:line="384" w:lineRule="exact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二、监护制度</w:t>
      </w:r>
    </w:p>
    <w:p w14:paraId="41CF9429" w14:textId="77777777" w:rsidR="00A771AD" w:rsidRPr="00A771AD" w:rsidRDefault="00A771AD" w:rsidP="00A771AD">
      <w:pPr>
        <w:spacing w:after="0" w:line="384" w:lineRule="exact"/>
        <w:ind w:firstLineChars="130" w:firstLine="274"/>
        <w:jc w:val="both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（一）监护关系的设立</w:t>
      </w:r>
    </w:p>
    <w:p w14:paraId="79589D55" w14:textId="13BF8629" w:rsidR="00A771AD" w:rsidRPr="00A771AD" w:rsidRDefault="00A771AD" w:rsidP="002B7EBE">
      <w:pPr>
        <w:spacing w:after="0" w:line="384" w:lineRule="exact"/>
        <w:ind w:firstLineChars="200" w:firstLine="420"/>
        <w:jc w:val="both"/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</w:pPr>
      <w:r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监护关系的设立大体上有法定</w:t>
      </w:r>
      <w:r w:rsidR="002B7EBE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（</w:t>
      </w:r>
      <w:r w:rsidR="002B7EBE" w:rsidRPr="002B7EBE">
        <w:rPr>
          <w:rFonts w:ascii="宋体" w:eastAsia="宋体" w:hAnsi="宋体" w:cs="宋体" w:hint="eastAsia"/>
          <w:bCs/>
          <w:color w:val="4472C4" w:themeColor="accent1"/>
          <w:sz w:val="21"/>
          <w:szCs w:val="21"/>
          <w14:ligatures w14:val="none"/>
        </w:rPr>
        <w:t>法定监护</w:t>
      </w:r>
      <w:r w:rsidR="002B7EBE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、指定监护）</w:t>
      </w:r>
      <w:r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与意定</w:t>
      </w:r>
      <w:r w:rsidR="002B7EBE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（协议监护、</w:t>
      </w:r>
      <w:r w:rsidR="002B7EBE" w:rsidRPr="002B7EBE">
        <w:rPr>
          <w:rFonts w:ascii="宋体" w:eastAsia="宋体" w:hAnsi="宋体" w:cs="宋体" w:hint="eastAsia"/>
          <w:bCs/>
          <w:color w:val="4472C4" w:themeColor="accent1"/>
          <w:sz w:val="21"/>
          <w:szCs w:val="21"/>
          <w14:ligatures w14:val="none"/>
        </w:rPr>
        <w:t>遗嘱监护、成年人意定监护</w:t>
      </w:r>
      <w:r w:rsidR="002B7EBE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）</w:t>
      </w:r>
      <w:r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两大类。</w:t>
      </w:r>
    </w:p>
    <w:p w14:paraId="5798CA80" w14:textId="61874C31" w:rsidR="00A771AD" w:rsidRPr="00A771AD" w:rsidRDefault="00A771AD" w:rsidP="00A771AD">
      <w:pPr>
        <w:spacing w:after="0" w:line="384" w:lineRule="exact"/>
        <w:ind w:firstLineChars="130" w:firstLine="274"/>
        <w:jc w:val="both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（二）法定监护</w:t>
      </w:r>
      <w:r w:rsidR="002B7EBE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（</w:t>
      </w:r>
      <w:r w:rsidR="002B7EBE"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直接依据法律规定而成立监护关系</w:t>
      </w:r>
      <w:r w:rsidR="002B7EBE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）</w:t>
      </w:r>
    </w:p>
    <w:p w14:paraId="60AE8084" w14:textId="1EC5EA5E" w:rsidR="00A771AD" w:rsidRPr="00A771AD" w:rsidRDefault="00A771AD" w:rsidP="00A771AD">
      <w:pPr>
        <w:spacing w:after="0" w:line="384" w:lineRule="exact"/>
        <w:ind w:firstLineChars="200" w:firstLine="420"/>
        <w:jc w:val="both"/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</w:pP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对于未成年人，有法定监护资格的主体包括：父母—祖父母、外祖父母—兄、姐—其他愿意担任监护人的主体—民政部门+被监护人住所地的居民委员会、村民委员会兜底。</w:t>
      </w:r>
    </w:p>
    <w:p w14:paraId="21854011" w14:textId="4FD5F181" w:rsidR="00A771AD" w:rsidRPr="00A771AD" w:rsidRDefault="00A771AD" w:rsidP="00A771AD">
      <w:pPr>
        <w:spacing w:after="0" w:line="384" w:lineRule="exact"/>
        <w:ind w:firstLineChars="200" w:firstLine="420"/>
        <w:jc w:val="both"/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</w:pP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对于需要监护的成年人，有法定监护资格的主体包括：配偶—父母、子女—其他近亲属—其他愿意担任监护人的主体——民政部门+被监护人住所地的居民委员会、村民委员会兜底。</w:t>
      </w:r>
    </w:p>
    <w:p w14:paraId="0C867D12" w14:textId="4CF77C90" w:rsidR="00A771AD" w:rsidRPr="00A771AD" w:rsidRDefault="00A771AD" w:rsidP="002B7EBE">
      <w:pPr>
        <w:spacing w:after="0" w:line="384" w:lineRule="exact"/>
        <w:ind w:firstLineChars="200" w:firstLine="420"/>
        <w:jc w:val="both"/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</w:pP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父母作为未成年人第一顺位的法定监护人：</w:t>
      </w:r>
      <w:r w:rsidRPr="00A771AD">
        <w:rPr>
          <w:rFonts w:ascii="宋体" w:eastAsia="宋体" w:hAnsi="宋体" w:cs="Times New Roman" w:hint="eastAsia"/>
          <w:color w:val="FF0000"/>
          <w:sz w:val="21"/>
          <w:szCs w:val="21"/>
          <w14:ligatures w14:val="none"/>
        </w:rPr>
        <w:t>父母作为监护人具有法定性与强制性，不得约定免除监护职责</w:t>
      </w: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，约定免除监护职责的约定是无效的。</w:t>
      </w:r>
      <w:r w:rsidRPr="00A771AD">
        <w:rPr>
          <w:rFonts w:ascii="宋体" w:eastAsia="宋体" w:hAnsi="宋体" w:cs="Times New Roman" w:hint="eastAsia"/>
          <w:color w:val="FF0000"/>
          <w:sz w:val="21"/>
          <w:szCs w:val="21"/>
          <w14:ligatures w14:val="none"/>
        </w:rPr>
        <w:t>父母离婚并不影响与子女之间的监护关系，</w:t>
      </w: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离婚后父母仍是子女的监护人。</w:t>
      </w:r>
    </w:p>
    <w:p w14:paraId="72854870" w14:textId="4482A1EF" w:rsidR="00A771AD" w:rsidRPr="00A771AD" w:rsidRDefault="00A771AD" w:rsidP="009A7D90">
      <w:pPr>
        <w:spacing w:after="0" w:line="384" w:lineRule="exact"/>
        <w:ind w:firstLineChars="130" w:firstLine="274"/>
        <w:jc w:val="both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（三）遗嘱监护</w:t>
      </w:r>
    </w:p>
    <w:p w14:paraId="67C3807D" w14:textId="4DF4FE04" w:rsidR="00A771AD" w:rsidRPr="00A771AD" w:rsidRDefault="00A771AD" w:rsidP="00855290">
      <w:pPr>
        <w:spacing w:after="0" w:line="384" w:lineRule="exact"/>
        <w:ind w:firstLineChars="200" w:firstLine="420"/>
        <w:jc w:val="both"/>
        <w:rPr>
          <w:rFonts w:ascii="宋体" w:eastAsia="宋体" w:hAnsi="宋体" w:cs="宋体"/>
          <w:bCs/>
          <w:color w:val="000000"/>
          <w:sz w:val="21"/>
          <w:szCs w:val="21"/>
          <w14:ligatures w14:val="none"/>
        </w:rPr>
      </w:pPr>
      <w:r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1．遗嘱人与被指定人的范围</w:t>
      </w:r>
      <w:r w:rsidR="00855290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：</w:t>
      </w: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有权通过遗嘱指定监护人的主体为担任监护人的被监护人父母。（1）</w:t>
      </w:r>
      <w:r w:rsidRPr="00A771AD">
        <w:rPr>
          <w:rFonts w:ascii="宋体" w:eastAsia="宋体" w:hAnsi="宋体" w:cs="Times New Roman" w:hint="eastAsia"/>
          <w:color w:val="FF0000"/>
          <w:sz w:val="21"/>
          <w:szCs w:val="21"/>
          <w14:ligatures w14:val="none"/>
        </w:rPr>
        <w:t>被监护人父母以外的主体不得通过遗嘱指定监护人；</w:t>
      </w: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（2）</w:t>
      </w:r>
      <w:r w:rsidRPr="00A771AD">
        <w:rPr>
          <w:rFonts w:ascii="宋体" w:eastAsia="宋体" w:hAnsi="宋体" w:cs="Times New Roman" w:hint="eastAsia"/>
          <w:color w:val="FF0000"/>
          <w:sz w:val="21"/>
          <w:szCs w:val="21"/>
          <w14:ligatures w14:val="none"/>
        </w:rPr>
        <w:t>被监护人的父母不担任监护人时（如监护资格被撤销），也不得通过遗嘱指定监护人。</w:t>
      </w:r>
    </w:p>
    <w:p w14:paraId="522530AC" w14:textId="77777777" w:rsidR="00A771AD" w:rsidRPr="00A771AD" w:rsidRDefault="00A771AD" w:rsidP="00A771AD">
      <w:pPr>
        <w:spacing w:after="0" w:line="384" w:lineRule="exact"/>
        <w:ind w:firstLineChars="200" w:firstLine="420"/>
        <w:jc w:val="both"/>
        <w:rPr>
          <w:rFonts w:ascii="宋体" w:eastAsia="宋体" w:hAnsi="宋体" w:cs="Times New Roman"/>
          <w:color w:val="000000"/>
          <w:sz w:val="21"/>
          <w:szCs w:val="21"/>
          <w14:ligatures w14:val="none"/>
        </w:rPr>
      </w:pP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遗嘱监护中被指定人的范围并无特别限制，也不限于有法定监护资格者。</w:t>
      </w:r>
    </w:p>
    <w:p w14:paraId="77C91A96" w14:textId="77777777" w:rsidR="00A771AD" w:rsidRPr="00A771AD" w:rsidRDefault="00A771AD" w:rsidP="00A771AD">
      <w:pPr>
        <w:spacing w:after="0" w:line="384" w:lineRule="exact"/>
        <w:ind w:firstLineChars="200" w:firstLine="420"/>
        <w:jc w:val="both"/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</w:pPr>
      <w:r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2．遗嘱人死亡时监护人的确定</w:t>
      </w:r>
    </w:p>
    <w:p w14:paraId="245B5024" w14:textId="07ABA45E" w:rsidR="00A771AD" w:rsidRPr="00A771AD" w:rsidRDefault="00A771AD" w:rsidP="00A771AD">
      <w:pPr>
        <w:spacing w:after="0" w:line="384" w:lineRule="exact"/>
        <w:ind w:firstLineChars="200" w:firstLine="420"/>
        <w:jc w:val="both"/>
        <w:rPr>
          <w:rFonts w:ascii="宋体" w:eastAsia="宋体" w:hAnsi="宋体" w:cs="Times New Roman"/>
          <w:color w:val="000000"/>
          <w:sz w:val="21"/>
          <w:szCs w:val="21"/>
          <w14:ligatures w14:val="none"/>
        </w:rPr>
      </w:pP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（1）遗嘱人死亡时，其</w:t>
      </w:r>
      <w:r w:rsidRPr="00A771AD">
        <w:rPr>
          <w:rFonts w:ascii="宋体" w:eastAsia="宋体" w:hAnsi="宋体" w:cs="Times New Roman" w:hint="eastAsia"/>
          <w:color w:val="FF0000"/>
          <w:sz w:val="21"/>
          <w:szCs w:val="21"/>
          <w14:ligatures w14:val="none"/>
        </w:rPr>
        <w:t>生前的配偶健在且有监护能力，此时由其生前的配偶担任监护人</w:t>
      </w: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。</w:t>
      </w:r>
    </w:p>
    <w:p w14:paraId="5E1E30F2" w14:textId="03B23A60" w:rsidR="00A771AD" w:rsidRPr="00A771AD" w:rsidRDefault="00A771AD" w:rsidP="00A771AD">
      <w:pPr>
        <w:spacing w:after="0" w:line="384" w:lineRule="exact"/>
        <w:ind w:firstLineChars="200" w:firstLine="420"/>
        <w:jc w:val="both"/>
        <w:rPr>
          <w:rFonts w:ascii="宋体" w:eastAsia="宋体" w:hAnsi="宋体" w:cs="Times New Roman"/>
          <w:color w:val="000000"/>
          <w:sz w:val="21"/>
          <w:szCs w:val="21"/>
          <w14:ligatures w14:val="none"/>
        </w:rPr>
      </w:pP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（2）遗嘱人死亡时，其生前的配偶已死亡或无监护能力：（1）被指定者同意担任监护人，此时遗嘱发生效力，由遗嘱中被指定者担任监护人；（2）</w:t>
      </w:r>
      <w:r w:rsidRPr="00A771AD">
        <w:rPr>
          <w:rFonts w:ascii="宋体" w:eastAsia="宋体" w:hAnsi="宋体" w:cs="Times New Roman" w:hint="eastAsia"/>
          <w:color w:val="FF0000"/>
          <w:sz w:val="21"/>
          <w:szCs w:val="21"/>
          <w14:ligatures w14:val="none"/>
        </w:rPr>
        <w:t>被指定者不同意担任监护人，此时自然不能将监护职责强加给被指定人，遗嘱不能发生效力，仍应按照法定监护的规则确定监护人</w:t>
      </w: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。</w:t>
      </w:r>
    </w:p>
    <w:p w14:paraId="474892C6" w14:textId="5ECD5515" w:rsidR="00A771AD" w:rsidRPr="00A771AD" w:rsidRDefault="00A771AD" w:rsidP="00A771AD">
      <w:pPr>
        <w:spacing w:after="0" w:line="384" w:lineRule="exact"/>
        <w:ind w:firstLineChars="200" w:firstLine="420"/>
        <w:jc w:val="both"/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</w:pPr>
    </w:p>
    <w:p w14:paraId="3CC8FA84" w14:textId="77777777" w:rsidR="00A771AD" w:rsidRPr="00A771AD" w:rsidRDefault="00A771AD" w:rsidP="00A771AD">
      <w:pPr>
        <w:spacing w:after="0" w:line="384" w:lineRule="exact"/>
        <w:ind w:firstLineChars="130" w:firstLine="274"/>
        <w:jc w:val="both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lastRenderedPageBreak/>
        <w:t>（四）成年人意定监护</w:t>
      </w:r>
    </w:p>
    <w:p w14:paraId="6B4ED9CB" w14:textId="524591B7" w:rsidR="00A771AD" w:rsidRPr="00A771AD" w:rsidRDefault="00A771AD" w:rsidP="00A771AD">
      <w:pPr>
        <w:spacing w:after="0" w:line="384" w:lineRule="exact"/>
        <w:ind w:firstLineChars="200" w:firstLine="420"/>
        <w:jc w:val="both"/>
        <w:rPr>
          <w:rFonts w:ascii="宋体" w:eastAsia="宋体" w:hAnsi="宋体" w:cs="宋体" w:hint="eastAsia"/>
          <w:bCs/>
          <w:color w:val="EE0000"/>
          <w:sz w:val="21"/>
          <w:szCs w:val="21"/>
          <w14:ligatures w14:val="none"/>
        </w:rPr>
      </w:pPr>
      <w:r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完全民事行为能力人</w:t>
      </w:r>
      <w:r w:rsidR="00D35497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在</w:t>
      </w:r>
      <w:r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自己将来丧失（或部分丧失）民事行为能力时物色监护人，双方需要签订监护协议。监护协议要求采用书面形式，且合同订立时双方必须均为完全民事行为能力人。此协议签订时不会立即生效，而是于</w:t>
      </w:r>
      <w:r w:rsidRPr="00A771AD">
        <w:rPr>
          <w:rFonts w:ascii="宋体" w:eastAsia="宋体" w:hAnsi="宋体" w:cs="宋体" w:hint="eastAsia"/>
          <w:bCs/>
          <w:color w:val="EE0000"/>
          <w:sz w:val="21"/>
          <w:szCs w:val="21"/>
          <w14:ligatures w14:val="none"/>
        </w:rPr>
        <w:t>未来的被监护人丧失或部分丧失民事行为能力时生效（生效条件）。</w:t>
      </w:r>
    </w:p>
    <w:p w14:paraId="4B062E71" w14:textId="1693C4EC" w:rsidR="00A771AD" w:rsidRPr="00A771AD" w:rsidRDefault="00A771AD" w:rsidP="00A771AD">
      <w:pPr>
        <w:spacing w:after="0" w:line="384" w:lineRule="exact"/>
        <w:ind w:firstLineChars="200" w:firstLine="420"/>
        <w:jc w:val="both"/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</w:pPr>
      <w:r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监护协议的解除规则：（1）将来被监护者丧失或部分丧失民事行为能力前，协议双方均享有任意解除权；（2）将来被监护者丧失或者部分丧失民事行为能力之后：协议确定的监护人无正当理由不得解除协议。</w:t>
      </w:r>
    </w:p>
    <w:p w14:paraId="67DEA655" w14:textId="77777777" w:rsidR="00A771AD" w:rsidRPr="00A771AD" w:rsidRDefault="00A771AD" w:rsidP="00A771AD">
      <w:pPr>
        <w:spacing w:after="0" w:line="384" w:lineRule="exact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三、法定代表人</w:t>
      </w:r>
    </w:p>
    <w:p w14:paraId="5390ECAE" w14:textId="77777777" w:rsidR="00A771AD" w:rsidRPr="00A771AD" w:rsidRDefault="00A771AD" w:rsidP="00A771AD">
      <w:pPr>
        <w:spacing w:after="0" w:line="384" w:lineRule="exact"/>
        <w:ind w:firstLineChars="130" w:firstLine="274"/>
        <w:jc w:val="both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（一）法定代表人的代表权</w:t>
      </w:r>
    </w:p>
    <w:p w14:paraId="7037D471" w14:textId="17CE273B" w:rsidR="00A771AD" w:rsidRPr="00A771AD" w:rsidRDefault="00A771AD" w:rsidP="00855290">
      <w:pPr>
        <w:spacing w:after="0" w:line="384" w:lineRule="exact"/>
        <w:ind w:firstLineChars="200" w:firstLine="420"/>
        <w:jc w:val="both"/>
        <w:rPr>
          <w:rFonts w:ascii="宋体" w:eastAsia="宋体" w:hAnsi="宋体" w:cs="宋体" w:hint="eastAsia"/>
          <w:bCs/>
          <w:color w:val="4472C4" w:themeColor="accent1"/>
          <w:sz w:val="21"/>
          <w:szCs w:val="21"/>
          <w14:ligatures w14:val="none"/>
        </w:rPr>
      </w:pPr>
      <w:r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一家公司的法定代表人只有一个自然人。</w:t>
      </w:r>
      <w:r w:rsidR="00855290" w:rsidRPr="00855290">
        <w:rPr>
          <w:rFonts w:ascii="宋体" w:eastAsia="宋体" w:hAnsi="宋体" w:cs="宋体" w:hint="eastAsia"/>
          <w:bCs/>
          <w:color w:val="4472C4" w:themeColor="accent1"/>
          <w:sz w:val="21"/>
          <w:szCs w:val="21"/>
          <w14:ligatures w14:val="none"/>
        </w:rPr>
        <w:t>（只能有一个人适用代表规则）</w:t>
      </w:r>
    </w:p>
    <w:p w14:paraId="73BE6566" w14:textId="77777777" w:rsidR="00855290" w:rsidRDefault="00A771AD" w:rsidP="00855290">
      <w:pPr>
        <w:spacing w:after="0" w:line="384" w:lineRule="exact"/>
        <w:ind w:firstLineChars="130" w:firstLine="274"/>
        <w:jc w:val="both"/>
        <w:rPr>
          <w:rFonts w:ascii="宋体" w:eastAsia="宋体" w:hAnsi="宋体" w:cs="汉仪大宋简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（二）法定代表人的代表权限制</w:t>
      </w:r>
      <w:r w:rsidR="00855290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（</w:t>
      </w:r>
      <w:r w:rsidR="00855290" w:rsidRPr="00A771AD">
        <w:rPr>
          <w:rFonts w:ascii="宋体" w:eastAsia="宋体" w:hAnsi="宋体" w:cs="宋体" w:hint="eastAsia"/>
          <w:bCs/>
          <w:color w:val="FF0000"/>
          <w:sz w:val="21"/>
          <w:szCs w:val="21"/>
          <w14:ligatures w14:val="none"/>
        </w:rPr>
        <w:t>分为法定限制与意定限制</w:t>
      </w:r>
      <w:r w:rsidR="00855290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）</w:t>
      </w:r>
    </w:p>
    <w:p w14:paraId="636871C6" w14:textId="5366D642" w:rsidR="00A771AD" w:rsidRPr="00A771AD" w:rsidRDefault="00A771AD" w:rsidP="00855290">
      <w:pPr>
        <w:spacing w:after="0" w:line="384" w:lineRule="exact"/>
        <w:ind w:firstLineChars="130" w:firstLine="273"/>
        <w:jc w:val="both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意定限制</w:t>
      </w:r>
      <w:r w:rsidR="00855290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（内部限制）</w:t>
      </w:r>
      <w:r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如果相对方善意，则合同对法人生效；如果相对方恶意，合同对法人不生效。</w:t>
      </w:r>
    </w:p>
    <w:p w14:paraId="38E1B6F6" w14:textId="6D6D48C4" w:rsidR="00A771AD" w:rsidRPr="00A771AD" w:rsidRDefault="00A771AD" w:rsidP="00A771AD">
      <w:pPr>
        <w:spacing w:after="0" w:line="384" w:lineRule="exact"/>
        <w:ind w:firstLineChars="200" w:firstLine="420"/>
        <w:jc w:val="both"/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</w:pPr>
      <w:r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法定限制</w:t>
      </w:r>
      <w:r w:rsidR="00855290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：对外担保。</w:t>
      </w:r>
    </w:p>
    <w:p w14:paraId="4634C2C6" w14:textId="75256B03" w:rsidR="00A771AD" w:rsidRPr="00A771AD" w:rsidRDefault="00A771AD" w:rsidP="00A771AD">
      <w:pPr>
        <w:spacing w:after="0" w:line="384" w:lineRule="exact"/>
        <w:ind w:firstLineChars="200" w:firstLine="420"/>
        <w:jc w:val="both"/>
        <w:rPr>
          <w:rFonts w:ascii="宋体" w:eastAsia="宋体" w:hAnsi="宋体" w:cs="宋体" w:hint="eastAsia"/>
          <w:bCs/>
          <w:color w:val="EE0000"/>
          <w:sz w:val="21"/>
          <w:szCs w:val="21"/>
          <w14:ligatures w14:val="none"/>
        </w:rPr>
      </w:pPr>
      <w:r w:rsidRPr="00A771AD">
        <w:rPr>
          <w:rFonts w:ascii="宋体" w:eastAsia="宋体" w:hAnsi="宋体" w:cs="宋体" w:hint="eastAsia"/>
          <w:bCs/>
          <w:color w:val="EE0000"/>
          <w:sz w:val="21"/>
          <w:szCs w:val="21"/>
          <w14:ligatures w14:val="none"/>
        </w:rPr>
        <w:t>法人的实际情况与登记的事项不一致的，不得对抗善意相对人。</w:t>
      </w:r>
    </w:p>
    <w:p w14:paraId="6721B209" w14:textId="77777777" w:rsidR="00A771AD" w:rsidRPr="00A771AD" w:rsidRDefault="00A771AD" w:rsidP="00A771AD">
      <w:pPr>
        <w:spacing w:after="0" w:line="384" w:lineRule="exact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四、法人的分支机构</w:t>
      </w:r>
    </w:p>
    <w:p w14:paraId="7BEA84C2" w14:textId="77777777" w:rsidR="00A771AD" w:rsidRPr="00A771AD" w:rsidRDefault="00A771AD" w:rsidP="00A771AD">
      <w:pPr>
        <w:spacing w:after="0" w:line="384" w:lineRule="exact"/>
        <w:ind w:firstLineChars="130" w:firstLine="274"/>
        <w:jc w:val="both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（一）概念与法律地位</w:t>
      </w:r>
    </w:p>
    <w:p w14:paraId="211BC545" w14:textId="62BD6163" w:rsidR="00A771AD" w:rsidRPr="00A771AD" w:rsidRDefault="00A771AD" w:rsidP="00F543F1">
      <w:pPr>
        <w:spacing w:after="0" w:line="384" w:lineRule="exact"/>
        <w:ind w:firstLineChars="200" w:firstLine="420"/>
        <w:jc w:val="both"/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</w:pPr>
      <w:r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分之机构没有法人地位，其只是法人的一部分，也不是非法人组织；法人的分支机构对外可以独立地，</w:t>
      </w:r>
      <w:r w:rsidRPr="00A771AD">
        <w:rPr>
          <w:rFonts w:ascii="宋体" w:eastAsia="宋体" w:hAnsi="宋体" w:cs="宋体" w:hint="eastAsia"/>
          <w:bCs/>
          <w:color w:val="EE0000"/>
          <w:sz w:val="21"/>
          <w:szCs w:val="21"/>
          <w14:ligatures w14:val="none"/>
        </w:rPr>
        <w:t>以自己的名义签订合同</w:t>
      </w:r>
      <w:r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，相应的合同是合法有效的，与此同时，分支机构也可以独立地参与诉讼，作为诉讼当事人。</w:t>
      </w:r>
    </w:p>
    <w:p w14:paraId="416BAEB9" w14:textId="77777777" w:rsidR="00A771AD" w:rsidRPr="00A771AD" w:rsidRDefault="00A771AD" w:rsidP="00A771AD">
      <w:pPr>
        <w:spacing w:after="0" w:line="384" w:lineRule="exact"/>
        <w:ind w:firstLineChars="130" w:firstLine="274"/>
        <w:jc w:val="both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（二）责任承担</w:t>
      </w:r>
    </w:p>
    <w:p w14:paraId="5B1AD40F" w14:textId="05F0C003" w:rsidR="00A771AD" w:rsidRPr="00A771AD" w:rsidRDefault="00A771AD" w:rsidP="00A771AD">
      <w:pPr>
        <w:spacing w:after="0" w:line="384" w:lineRule="exact"/>
        <w:ind w:firstLineChars="200" w:firstLine="420"/>
        <w:jc w:val="both"/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</w:pPr>
      <w:r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法人的分支机构没有独立的责任承担能力，相关民事责任由法人承担，债权人既可以请求执行分支机构管理的财产，也可以请求执行法人的财产</w:t>
      </w:r>
      <w:r w:rsidR="00F543F1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。</w:t>
      </w:r>
      <w:r w:rsidRPr="00A771AD">
        <w:rPr>
          <w:rFonts w:ascii="宋体" w:eastAsia="宋体" w:hAnsi="宋体" w:cs="宋体" w:hint="eastAsia"/>
          <w:bCs/>
          <w:color w:val="4472C4" w:themeColor="accent1"/>
          <w:sz w:val="21"/>
          <w:szCs w:val="21"/>
          <w14:ligatures w14:val="none"/>
        </w:rPr>
        <w:t>没有财产的执行先后顺序</w:t>
      </w:r>
    </w:p>
    <w:p w14:paraId="232DAB17" w14:textId="77777777" w:rsidR="00A771AD" w:rsidRPr="00A771AD" w:rsidRDefault="00A771AD" w:rsidP="00A771AD">
      <w:pPr>
        <w:spacing w:after="0" w:line="384" w:lineRule="exact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五、非法人组织</w:t>
      </w:r>
    </w:p>
    <w:p w14:paraId="30C8D65D" w14:textId="77777777" w:rsidR="00A771AD" w:rsidRPr="00A771AD" w:rsidRDefault="00A771AD" w:rsidP="00A771AD">
      <w:pPr>
        <w:spacing w:after="0" w:line="384" w:lineRule="exact"/>
        <w:ind w:firstLineChars="130" w:firstLine="274"/>
        <w:jc w:val="both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（一）概念与法律地位</w:t>
      </w:r>
    </w:p>
    <w:p w14:paraId="2B191A29" w14:textId="008F620A" w:rsidR="00A771AD" w:rsidRPr="00A771AD" w:rsidRDefault="00A771AD" w:rsidP="00F543F1">
      <w:pPr>
        <w:spacing w:after="0" w:line="384" w:lineRule="exact"/>
        <w:ind w:firstLineChars="200" w:firstLine="420"/>
        <w:jc w:val="both"/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</w:pPr>
      <w:r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（1）非法人组织没有法人资格，但其属于独立的民事主体；（2）</w:t>
      </w:r>
      <w:r w:rsidRPr="00A771AD">
        <w:rPr>
          <w:rFonts w:ascii="宋体" w:eastAsia="宋体" w:hAnsi="宋体" w:cs="宋体" w:hint="eastAsia"/>
          <w:bCs/>
          <w:color w:val="FF0000"/>
          <w:sz w:val="21"/>
          <w:szCs w:val="21"/>
          <w14:ligatures w14:val="none"/>
        </w:rPr>
        <w:t>非法人组织可以独立地签订合同并参与诉讼（即作为诉讼当事人）。</w:t>
      </w:r>
    </w:p>
    <w:p w14:paraId="7D0D6857" w14:textId="77777777" w:rsidR="00A771AD" w:rsidRPr="00A771AD" w:rsidRDefault="00A771AD" w:rsidP="00A771AD">
      <w:pPr>
        <w:spacing w:after="0" w:line="384" w:lineRule="exact"/>
        <w:ind w:firstLineChars="130" w:firstLine="274"/>
        <w:jc w:val="both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（二）责任承担</w:t>
      </w:r>
    </w:p>
    <w:p w14:paraId="0668BC75" w14:textId="3B96636F" w:rsidR="00A771AD" w:rsidRPr="00A771AD" w:rsidRDefault="00A771AD" w:rsidP="00A771AD">
      <w:pPr>
        <w:spacing w:after="0" w:line="384" w:lineRule="exact"/>
        <w:ind w:firstLineChars="200" w:firstLine="420"/>
        <w:jc w:val="both"/>
        <w:rPr>
          <w:rFonts w:ascii="宋体" w:eastAsia="宋体" w:hAnsi="宋体" w:cs="Times New Roman"/>
          <w:color w:val="000000"/>
          <w:sz w:val="21"/>
          <w:szCs w:val="21"/>
          <w14:ligatures w14:val="none"/>
        </w:rPr>
      </w:pPr>
      <w:r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非法人组织对外负债后，其责任承担顺序为：（1）债权人应首先向非法人组织主张债权；（2）</w:t>
      </w:r>
      <w:r w:rsidRPr="00A771AD">
        <w:rPr>
          <w:rFonts w:ascii="宋体" w:eastAsia="宋体" w:hAnsi="宋体" w:cs="Times New Roman" w:hint="eastAsia"/>
          <w:color w:val="FF0000"/>
          <w:sz w:val="21"/>
          <w:szCs w:val="21"/>
          <w14:ligatures w14:val="none"/>
        </w:rPr>
        <w:t>非法人组织的财产不足以清偿的，债权人可向出资人或设立人要求承担无限责任</w:t>
      </w: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。</w:t>
      </w:r>
    </w:p>
    <w:p w14:paraId="3BFBC53F" w14:textId="6BDE1513" w:rsidR="00A771AD" w:rsidRPr="00A771AD" w:rsidRDefault="00A771AD" w:rsidP="00A771AD">
      <w:pPr>
        <w:keepNext/>
        <w:keepLines/>
        <w:spacing w:after="0" w:line="480" w:lineRule="exact"/>
        <w:jc w:val="center"/>
        <w:outlineLvl w:val="0"/>
        <w:rPr>
          <w:rFonts w:ascii="宋体" w:eastAsia="宋体" w:hAnsi="宋体" w:cs="汉仪大宋简" w:hint="eastAsia"/>
          <w:b/>
          <w:bCs/>
          <w:kern w:val="44"/>
          <w:sz w:val="21"/>
          <w:szCs w:val="21"/>
          <w14:ligatures w14:val="none"/>
        </w:rPr>
      </w:pPr>
      <w:bookmarkStart w:id="1" w:name="_Toc955"/>
      <w:bookmarkStart w:id="2" w:name="_Toc200399936"/>
      <w:r w:rsidRPr="00A771AD">
        <w:rPr>
          <w:rFonts w:ascii="宋体" w:eastAsia="宋体" w:hAnsi="宋体" w:cs="汉仪大宋简" w:hint="eastAsia"/>
          <w:b/>
          <w:bCs/>
          <w:kern w:val="44"/>
          <w:sz w:val="21"/>
          <w:szCs w:val="21"/>
          <w14:ligatures w14:val="none"/>
        </w:rPr>
        <w:t>专题二  民事法律行为与代理</w:t>
      </w:r>
      <w:bookmarkEnd w:id="1"/>
      <w:bookmarkEnd w:id="2"/>
      <w:r w:rsidR="00E16798">
        <w:rPr>
          <w:rFonts w:ascii="宋体" w:eastAsia="宋体" w:hAnsi="宋体" w:cs="汉仪大宋简" w:hint="eastAsia"/>
          <w:b/>
          <w:bCs/>
          <w:kern w:val="44"/>
          <w:sz w:val="21"/>
          <w:szCs w:val="21"/>
          <w14:ligatures w14:val="none"/>
        </w:rPr>
        <w:t>（20:</w:t>
      </w:r>
      <w:r w:rsidR="00D35497">
        <w:rPr>
          <w:rFonts w:ascii="宋体" w:eastAsia="宋体" w:hAnsi="宋体" w:cs="汉仪大宋简" w:hint="eastAsia"/>
          <w:b/>
          <w:bCs/>
          <w:kern w:val="44"/>
          <w:sz w:val="21"/>
          <w:szCs w:val="21"/>
          <w14:ligatures w14:val="none"/>
        </w:rPr>
        <w:t>40</w:t>
      </w:r>
      <w:r w:rsidR="00B22501">
        <w:rPr>
          <w:rFonts w:ascii="宋体" w:eastAsia="宋体" w:hAnsi="宋体" w:cs="汉仪大宋简" w:hint="eastAsia"/>
          <w:b/>
          <w:bCs/>
          <w:kern w:val="44"/>
          <w:sz w:val="21"/>
          <w:szCs w:val="21"/>
          <w14:ligatures w14:val="none"/>
        </w:rPr>
        <w:t>-22:15</w:t>
      </w:r>
      <w:r w:rsidR="00E16798">
        <w:rPr>
          <w:rFonts w:ascii="宋体" w:eastAsia="宋体" w:hAnsi="宋体" w:cs="汉仪大宋简" w:hint="eastAsia"/>
          <w:b/>
          <w:bCs/>
          <w:kern w:val="44"/>
          <w:sz w:val="21"/>
          <w:szCs w:val="21"/>
          <w14:ligatures w14:val="none"/>
        </w:rPr>
        <w:t>）</w:t>
      </w:r>
    </w:p>
    <w:p w14:paraId="3D5162E0" w14:textId="48715F0B" w:rsidR="00A771AD" w:rsidRPr="00A771AD" w:rsidRDefault="00A771AD" w:rsidP="00F543F1">
      <w:pPr>
        <w:spacing w:after="0" w:line="384" w:lineRule="exact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一、法律行为的效力要件</w:t>
      </w:r>
    </w:p>
    <w:p w14:paraId="36E5E2B9" w14:textId="03B6BD06" w:rsidR="00A771AD" w:rsidRPr="0034036A" w:rsidRDefault="00A771AD" w:rsidP="00E16798">
      <w:pPr>
        <w:spacing w:after="0" w:line="384" w:lineRule="exact"/>
        <w:ind w:firstLineChars="130" w:firstLine="274"/>
        <w:jc w:val="both"/>
        <w:rPr>
          <w:rFonts w:ascii="宋体" w:eastAsia="宋体" w:hAnsi="宋体" w:cs="汉仪大宋简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（一）民事法律行为的成立要件与生效要件</w:t>
      </w:r>
    </w:p>
    <w:p w14:paraId="7C1CEB4F" w14:textId="68A52C5B" w:rsidR="0034036A" w:rsidRPr="00A771AD" w:rsidRDefault="0034036A" w:rsidP="0034036A">
      <w:pPr>
        <w:spacing w:after="0" w:line="384" w:lineRule="exact"/>
        <w:ind w:firstLineChars="200" w:firstLine="420"/>
        <w:jc w:val="both"/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</w:pPr>
      <w:r>
        <w:rPr>
          <w:rFonts w:ascii="宋体" w:eastAsia="宋体" w:hAnsi="宋体" w:cs="汉仪大宋简" w:hint="eastAsia"/>
          <w:bCs/>
          <w:sz w:val="21"/>
          <w:szCs w:val="21"/>
          <w14:ligatures w14:val="none"/>
        </w:rPr>
        <w:t>成立条件：</w:t>
      </w:r>
      <w:r w:rsidRPr="00A771AD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实践行为：物之交付</w:t>
      </w:r>
      <w:r w:rsidRPr="0034036A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（1）定金合同：定金交付时成立（2）自然人之间的借款：借款提供时成立（3）保管合同：保管物交付时成立</w:t>
      </w:r>
      <w:r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。</w:t>
      </w:r>
    </w:p>
    <w:p w14:paraId="0DAB917F" w14:textId="79607FD5" w:rsidR="00A771AD" w:rsidRPr="00A771AD" w:rsidRDefault="00A771AD" w:rsidP="00E16798">
      <w:pPr>
        <w:spacing w:after="0" w:line="384" w:lineRule="exact"/>
        <w:ind w:firstLineChars="130" w:firstLine="274"/>
        <w:jc w:val="both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lastRenderedPageBreak/>
        <w:t>（二）批准生效的合同</w:t>
      </w:r>
    </w:p>
    <w:tbl>
      <w:tblPr>
        <w:tblStyle w:val="12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559"/>
        <w:gridCol w:w="4971"/>
      </w:tblGrid>
      <w:tr w:rsidR="00A771AD" w:rsidRPr="00A771AD" w14:paraId="082987A4" w14:textId="77777777" w:rsidTr="00AD4BFA">
        <w:trPr>
          <w:jc w:val="center"/>
        </w:trPr>
        <w:tc>
          <w:tcPr>
            <w:tcW w:w="1975" w:type="dxa"/>
            <w:vMerge w:val="restart"/>
            <w:vAlign w:val="center"/>
          </w:tcPr>
          <w:p w14:paraId="09F978BA" w14:textId="79934893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批准前的效力状态</w:t>
            </w:r>
          </w:p>
        </w:tc>
        <w:tc>
          <w:tcPr>
            <w:tcW w:w="6530" w:type="dxa"/>
            <w:gridSpan w:val="2"/>
            <w:vAlign w:val="center"/>
          </w:tcPr>
          <w:p w14:paraId="429924E7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1．关于报批义务的条款：独立生效</w:t>
            </w:r>
          </w:p>
        </w:tc>
      </w:tr>
      <w:tr w:rsidR="00A771AD" w:rsidRPr="00A771AD" w14:paraId="1E2C30CA" w14:textId="77777777" w:rsidTr="00AD4BFA">
        <w:trPr>
          <w:trHeight w:val="80"/>
          <w:jc w:val="center"/>
        </w:trPr>
        <w:tc>
          <w:tcPr>
            <w:tcW w:w="1975" w:type="dxa"/>
            <w:vMerge/>
            <w:vAlign w:val="center"/>
          </w:tcPr>
          <w:p w14:paraId="3C454A43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93EC235" w14:textId="102F3C0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2．其他条款：成立但未生效</w:t>
            </w:r>
            <w:r w:rsidRPr="00A771AD">
              <w:rPr>
                <w:rFonts w:ascii="宋体" w:eastAsia="宋体" w:hAnsi="宋体" w:cs="Times New Roman" w:hint="eastAsia"/>
                <w:color w:val="4472C4" w:themeColor="accent1"/>
                <w:sz w:val="21"/>
                <w:szCs w:val="21"/>
              </w:rPr>
              <w:t>（并非无效）</w:t>
            </w:r>
          </w:p>
        </w:tc>
        <w:tc>
          <w:tcPr>
            <w:tcW w:w="4971" w:type="dxa"/>
            <w:vAlign w:val="center"/>
          </w:tcPr>
          <w:p w14:paraId="07AD4B3E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（1）一方无权起诉请求对方履行合同约定的主要义务</w:t>
            </w:r>
          </w:p>
        </w:tc>
      </w:tr>
      <w:tr w:rsidR="00A771AD" w:rsidRPr="00A771AD" w14:paraId="7693FAA0" w14:textId="77777777" w:rsidTr="00AD4BFA">
        <w:trPr>
          <w:jc w:val="center"/>
        </w:trPr>
        <w:tc>
          <w:tcPr>
            <w:tcW w:w="1975" w:type="dxa"/>
            <w:vMerge/>
            <w:vAlign w:val="center"/>
          </w:tcPr>
          <w:p w14:paraId="20586FC1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BC405B1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vAlign w:val="center"/>
          </w:tcPr>
          <w:p w14:paraId="2A1B5B8D" w14:textId="30C52895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（2）若起诉，则法院释明；释明后若拒绝变更诉讼请求——法院驳回诉讼请求——不影响再次起诉</w:t>
            </w:r>
          </w:p>
        </w:tc>
      </w:tr>
      <w:tr w:rsidR="00A771AD" w:rsidRPr="00A771AD" w14:paraId="73CFA7BF" w14:textId="77777777" w:rsidTr="00AD4BFA">
        <w:trPr>
          <w:jc w:val="center"/>
        </w:trPr>
        <w:tc>
          <w:tcPr>
            <w:tcW w:w="1975" w:type="dxa"/>
            <w:vMerge w:val="restart"/>
            <w:vAlign w:val="center"/>
          </w:tcPr>
          <w:p w14:paraId="2602B421" w14:textId="5386E886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报批义务不履行的救济（二选一）</w:t>
            </w:r>
          </w:p>
        </w:tc>
        <w:tc>
          <w:tcPr>
            <w:tcW w:w="6530" w:type="dxa"/>
            <w:gridSpan w:val="2"/>
            <w:vAlign w:val="center"/>
          </w:tcPr>
          <w:p w14:paraId="50C50DF6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1．另一方有权起诉请求履行报批义务，法院判决继续履行</w:t>
            </w:r>
          </w:p>
          <w:p w14:paraId="32B56425" w14:textId="5F71EE7B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FF0000"/>
                <w:sz w:val="21"/>
                <w:szCs w:val="21"/>
              </w:rPr>
              <w:t>【注意】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判决后若仍不履行报批义务，另一方有权解除合同+参照违反合同的违约责任请求赔偿</w:t>
            </w:r>
          </w:p>
        </w:tc>
      </w:tr>
      <w:tr w:rsidR="00A771AD" w:rsidRPr="00A771AD" w14:paraId="3E71BC85" w14:textId="77777777" w:rsidTr="00AD4BFA">
        <w:trPr>
          <w:jc w:val="center"/>
        </w:trPr>
        <w:tc>
          <w:tcPr>
            <w:tcW w:w="1975" w:type="dxa"/>
            <w:vMerge/>
            <w:vAlign w:val="center"/>
          </w:tcPr>
          <w:p w14:paraId="00632F18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81263FD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2．另一方有权直接解除合同，主张损害赔偿</w:t>
            </w:r>
          </w:p>
        </w:tc>
        <w:tc>
          <w:tcPr>
            <w:tcW w:w="4971" w:type="dxa"/>
            <w:vAlign w:val="center"/>
          </w:tcPr>
          <w:p w14:paraId="7492CA8F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（1）若对报批义务约定了违约金，另一方有权主张违约金</w:t>
            </w:r>
          </w:p>
        </w:tc>
      </w:tr>
      <w:tr w:rsidR="00A771AD" w:rsidRPr="00A771AD" w14:paraId="610ED510" w14:textId="77777777" w:rsidTr="00AD4BFA">
        <w:trPr>
          <w:jc w:val="center"/>
        </w:trPr>
        <w:tc>
          <w:tcPr>
            <w:tcW w:w="1975" w:type="dxa"/>
            <w:vMerge/>
            <w:vAlign w:val="center"/>
          </w:tcPr>
          <w:p w14:paraId="2C5A1BCD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7E94704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vAlign w:val="center"/>
          </w:tcPr>
          <w:p w14:paraId="6B561920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（2）若未约定，则赔偿整个合同的缔约过失责任</w:t>
            </w:r>
          </w:p>
        </w:tc>
      </w:tr>
      <w:tr w:rsidR="00A771AD" w:rsidRPr="00A771AD" w14:paraId="7098E3AF" w14:textId="77777777" w:rsidTr="00AD4BFA">
        <w:trPr>
          <w:jc w:val="center"/>
        </w:trPr>
        <w:tc>
          <w:tcPr>
            <w:tcW w:w="1975" w:type="dxa"/>
            <w:vMerge w:val="restart"/>
            <w:vAlign w:val="center"/>
          </w:tcPr>
          <w:p w14:paraId="1110AB25" w14:textId="23A38736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有关部门不批准的后果</w:t>
            </w:r>
          </w:p>
        </w:tc>
        <w:tc>
          <w:tcPr>
            <w:tcW w:w="6530" w:type="dxa"/>
            <w:gridSpan w:val="2"/>
            <w:vAlign w:val="center"/>
          </w:tcPr>
          <w:p w14:paraId="4782663C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1．相对方原则上不得主张损害赔偿责任</w:t>
            </w:r>
          </w:p>
        </w:tc>
      </w:tr>
      <w:tr w:rsidR="00A771AD" w:rsidRPr="00A771AD" w14:paraId="1029EA84" w14:textId="77777777" w:rsidTr="00AD4BFA">
        <w:trPr>
          <w:jc w:val="center"/>
        </w:trPr>
        <w:tc>
          <w:tcPr>
            <w:tcW w:w="1975" w:type="dxa"/>
            <w:vMerge/>
            <w:vAlign w:val="center"/>
          </w:tcPr>
          <w:p w14:paraId="3463B340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530" w:type="dxa"/>
            <w:gridSpan w:val="2"/>
            <w:vAlign w:val="center"/>
          </w:tcPr>
          <w:p w14:paraId="6FE06FB2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2．因当事人迟延履行报批义务等可归责的原因导致合同未获批准，对方可以主张缔约过失责任</w:t>
            </w:r>
          </w:p>
        </w:tc>
      </w:tr>
    </w:tbl>
    <w:p w14:paraId="043526C0" w14:textId="22541ED3" w:rsidR="00A771AD" w:rsidRPr="00A771AD" w:rsidRDefault="00A771AD" w:rsidP="0034036A">
      <w:pPr>
        <w:spacing w:after="0" w:line="384" w:lineRule="exact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二、无效的民事法律行为</w:t>
      </w:r>
    </w:p>
    <w:tbl>
      <w:tblPr>
        <w:tblW w:w="8522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276"/>
        <w:gridCol w:w="5555"/>
      </w:tblGrid>
      <w:tr w:rsidR="005F2DBF" w:rsidRPr="00A771AD" w14:paraId="17471700" w14:textId="77777777" w:rsidTr="005F2DBF">
        <w:trPr>
          <w:trHeight w:val="706"/>
          <w:jc w:val="center"/>
        </w:trPr>
        <w:tc>
          <w:tcPr>
            <w:tcW w:w="1691" w:type="dxa"/>
            <w:shd w:val="clear" w:color="auto" w:fill="auto"/>
            <w:vAlign w:val="center"/>
          </w:tcPr>
          <w:p w14:paraId="061C5697" w14:textId="77777777" w:rsidR="005F2DBF" w:rsidRPr="00A771AD" w:rsidRDefault="005F2DBF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无效事由</w:t>
            </w: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0832933C" w14:textId="2B19982F" w:rsidR="005F2DBF" w:rsidRPr="00A771AD" w:rsidRDefault="005F2DBF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1．无民事行为能力2．虚假通谋行为3．违反强制性规定4．违反公序良俗原则5．恶意串通损害他人合法权益</w:t>
            </w:r>
          </w:p>
        </w:tc>
      </w:tr>
      <w:tr w:rsidR="00A771AD" w:rsidRPr="00A771AD" w14:paraId="43909977" w14:textId="77777777" w:rsidTr="00AD4BFA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14:paraId="19A81F2F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无民事行为能力</w:t>
            </w: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61C0FC01" w14:textId="3E6F95D9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民事法律行为一律无效（不考虑是否纯获利益）</w:t>
            </w:r>
            <w:r w:rsidR="00AA7B01" w:rsidRPr="00AA7B01">
              <w:rPr>
                <w:rFonts w:ascii="宋体" w:eastAsia="宋体" w:hAnsi="宋体" w:cs="Times New Roman" w:hint="eastAsia"/>
                <w:color w:val="4472C4" w:themeColor="accent1"/>
                <w:sz w:val="21"/>
                <w:szCs w:val="21"/>
                <w14:ligatures w14:val="none"/>
              </w:rPr>
              <w:t>【重点审查年龄】</w:t>
            </w:r>
          </w:p>
        </w:tc>
      </w:tr>
      <w:tr w:rsidR="00A771AD" w:rsidRPr="00A771AD" w14:paraId="5C280C81" w14:textId="77777777" w:rsidTr="00AD4BFA">
        <w:trPr>
          <w:jc w:val="center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14:paraId="1D5C41AD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虚假通谋行为</w:t>
            </w: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77503C59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1．行为结构：表面行为+隐藏行为</w:t>
            </w:r>
          </w:p>
        </w:tc>
      </w:tr>
      <w:tr w:rsidR="00A771AD" w:rsidRPr="00A771AD" w14:paraId="57329943" w14:textId="77777777" w:rsidTr="00AD4BFA">
        <w:trPr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14:paraId="0774998B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1F331375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2．表面行为的效力：无效</w:t>
            </w:r>
          </w:p>
          <w:p w14:paraId="057E3E8F" w14:textId="43376226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例外：中标的建设工程施工合同（表面行为）仍可能有效</w:t>
            </w:r>
          </w:p>
        </w:tc>
      </w:tr>
      <w:tr w:rsidR="00A771AD" w:rsidRPr="00A771AD" w14:paraId="296CD8F3" w14:textId="77777777" w:rsidTr="00AD4BFA">
        <w:trPr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14:paraId="4B2E8AB6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48777268" w14:textId="797F5AEE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3．隐藏行为的效力：单独评价</w:t>
            </w:r>
          </w:p>
        </w:tc>
      </w:tr>
      <w:tr w:rsidR="00A771AD" w:rsidRPr="00A771AD" w14:paraId="63AFE1E1" w14:textId="77777777" w:rsidTr="00AD4BFA">
        <w:trPr>
          <w:jc w:val="center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14:paraId="4FCB9B99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违反强制性规定</w:t>
            </w: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511D14B2" w14:textId="677DAFA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1．明确规定了无效效果的强制性规定</w:t>
            </w:r>
          </w:p>
        </w:tc>
      </w:tr>
      <w:tr w:rsidR="00A771AD" w:rsidRPr="00A771AD" w14:paraId="1825B776" w14:textId="77777777" w:rsidTr="00AD4BFA">
        <w:trPr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14:paraId="6D79602F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646BD70B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2．未明确规定无效效果的强制性规定：结合规范目的等因素综合判断（考查概率较低）</w:t>
            </w:r>
          </w:p>
        </w:tc>
      </w:tr>
      <w:tr w:rsidR="00A771AD" w:rsidRPr="00A771AD" w14:paraId="42221F50" w14:textId="77777777" w:rsidTr="00AD4BFA">
        <w:trPr>
          <w:jc w:val="center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14:paraId="79FBE402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违反公序良俗</w:t>
            </w: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4F671F21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1．类型：公共秩序+善良风俗</w:t>
            </w:r>
          </w:p>
        </w:tc>
      </w:tr>
      <w:tr w:rsidR="00A771AD" w:rsidRPr="00A771AD" w14:paraId="28D2CAF5" w14:textId="77777777" w:rsidTr="00AD4BFA">
        <w:trPr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14:paraId="3218103D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033B545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2．典型例证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3ABE125A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（1）违背性道德：卖淫合同、淫秽表演合同等</w:t>
            </w:r>
          </w:p>
        </w:tc>
      </w:tr>
      <w:tr w:rsidR="00A771AD" w:rsidRPr="00A771AD" w14:paraId="05827347" w14:textId="77777777" w:rsidTr="00AD4BFA">
        <w:trPr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14:paraId="39C0DEB0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2BDCEE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28C76BE2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（2）违背家庭伦理：代孕合同、为维持不正当男女关系将夫妻财产赠与婚外异性等</w:t>
            </w:r>
          </w:p>
        </w:tc>
      </w:tr>
      <w:tr w:rsidR="00A771AD" w:rsidRPr="00A771AD" w14:paraId="463EECAE" w14:textId="77777777" w:rsidTr="00AD4BFA">
        <w:trPr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14:paraId="788D2AC7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AAF1924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A6455DE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（3）违背职业道德：刑事、行政案件的风险代理合同等</w:t>
            </w:r>
          </w:p>
        </w:tc>
      </w:tr>
      <w:tr w:rsidR="00A771AD" w:rsidRPr="00A771AD" w14:paraId="3900C4F3" w14:textId="77777777" w:rsidTr="00AD4BFA">
        <w:trPr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14:paraId="770AB08A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0239C76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21363E4D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（4）过度限制自由：以不得再生育作为离婚条件等</w:t>
            </w:r>
          </w:p>
        </w:tc>
      </w:tr>
      <w:tr w:rsidR="00A771AD" w:rsidRPr="00A771AD" w14:paraId="6D0AD7D5" w14:textId="77777777" w:rsidTr="00AD4BFA">
        <w:trPr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14:paraId="6D9061DC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072EFB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49A228FA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（5）破坏公平竞争秩序：请托安排工作、安排入学等</w:t>
            </w:r>
          </w:p>
        </w:tc>
      </w:tr>
      <w:tr w:rsidR="00A771AD" w:rsidRPr="00A771AD" w14:paraId="4BADEC8A" w14:textId="77777777" w:rsidTr="00AD4BFA">
        <w:trPr>
          <w:jc w:val="center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14:paraId="5406FE7D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恶意串通损害他人合法权益</w:t>
            </w: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2B5DE1D8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1．行为构成：串通+损害他人的故意</w:t>
            </w:r>
          </w:p>
        </w:tc>
      </w:tr>
      <w:tr w:rsidR="00A771AD" w:rsidRPr="00A771AD" w14:paraId="18E9EF06" w14:textId="77777777" w:rsidTr="00AD4BFA">
        <w:trPr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14:paraId="6A585880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A4815B1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2．典型例证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1A75166C" w14:textId="5BC887D0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（1）一房二卖中的恶意串通</w:t>
            </w:r>
          </w:p>
        </w:tc>
      </w:tr>
      <w:tr w:rsidR="00A771AD" w:rsidRPr="00A771AD" w14:paraId="24E690A1" w14:textId="77777777" w:rsidTr="00AD4BFA">
        <w:trPr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14:paraId="61837F16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CAF5AE4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3E3EA5E2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（2）债务人与第三人恶意串通逃避债务</w:t>
            </w:r>
          </w:p>
          <w:p w14:paraId="046EACC4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FF0000"/>
                <w:sz w:val="21"/>
                <w:szCs w:val="21"/>
                <w14:ligatures w14:val="none"/>
              </w:rPr>
              <w:t>【注意】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此时债权人可选择确认合同无效或撤销诈害行为</w:t>
            </w:r>
          </w:p>
        </w:tc>
      </w:tr>
    </w:tbl>
    <w:p w14:paraId="12881A81" w14:textId="704202DB" w:rsidR="00A771AD" w:rsidRPr="00A771AD" w:rsidRDefault="00A771AD" w:rsidP="00E16798">
      <w:pPr>
        <w:spacing w:after="0" w:line="384" w:lineRule="exact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lastRenderedPageBreak/>
        <w:t>三、可撤销法律行为</w:t>
      </w:r>
    </w:p>
    <w:tbl>
      <w:tblPr>
        <w:tblW w:w="8522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76"/>
        <w:gridCol w:w="5980"/>
      </w:tblGrid>
      <w:tr w:rsidR="005F2DBF" w:rsidRPr="00A771AD" w14:paraId="58A9F3D2" w14:textId="77777777" w:rsidTr="005F2DBF">
        <w:trPr>
          <w:trHeight w:val="346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0A6D84DF" w14:textId="77777777" w:rsidR="005F2DBF" w:rsidRPr="00A771AD" w:rsidRDefault="005F2DBF" w:rsidP="00A771AD">
            <w:pPr>
              <w:spacing w:beforeLines="10" w:before="31" w:afterLines="15" w:after="46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可撤销事由</w:t>
            </w:r>
          </w:p>
        </w:tc>
        <w:tc>
          <w:tcPr>
            <w:tcW w:w="7256" w:type="dxa"/>
            <w:gridSpan w:val="2"/>
            <w:shd w:val="clear" w:color="auto" w:fill="auto"/>
            <w:vAlign w:val="center"/>
          </w:tcPr>
          <w:p w14:paraId="268F0B1C" w14:textId="6DCF0ED4" w:rsidR="005F2DBF" w:rsidRPr="00A771AD" w:rsidRDefault="005F2DBF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1．重大误解2．欺诈3．胁迫4．显失公平</w:t>
            </w:r>
          </w:p>
        </w:tc>
      </w:tr>
      <w:tr w:rsidR="00A771AD" w:rsidRPr="00A771AD" w14:paraId="2BDF973C" w14:textId="77777777" w:rsidTr="00AD4BFA">
        <w:trPr>
          <w:jc w:val="center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744CBFB7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重大误解</w:t>
            </w:r>
          </w:p>
        </w:tc>
        <w:tc>
          <w:tcPr>
            <w:tcW w:w="7256" w:type="dxa"/>
            <w:gridSpan w:val="2"/>
            <w:shd w:val="clear" w:color="auto" w:fill="auto"/>
            <w:vAlign w:val="center"/>
          </w:tcPr>
          <w:p w14:paraId="3F63D740" w14:textId="2B08010B" w:rsidR="00A771AD" w:rsidRPr="00A771AD" w:rsidRDefault="00A771AD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1．典型例证：对行为的性质、对方当事人或者标的物的品种、质量、规格、价格、数量等产生错误认识</w:t>
            </w:r>
          </w:p>
          <w:p w14:paraId="7445912E" w14:textId="35BF5E53" w:rsidR="00A771AD" w:rsidRPr="00A771AD" w:rsidRDefault="00A771AD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不得撤销的情形：</w:t>
            </w:r>
            <w:r w:rsidRPr="00A771AD">
              <w:rPr>
                <w:rFonts w:ascii="宋体" w:eastAsia="宋体" w:hAnsi="宋体" w:cs="Times New Roman" w:hint="eastAsia"/>
                <w:color w:val="4472C4" w:themeColor="accent1"/>
                <w:sz w:val="21"/>
                <w:szCs w:val="21"/>
                <w14:ligatures w14:val="none"/>
              </w:rPr>
              <w:t>大部分动机错误、风险行为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（如赌石、古玩交易等）</w:t>
            </w:r>
          </w:p>
        </w:tc>
      </w:tr>
      <w:tr w:rsidR="00A771AD" w:rsidRPr="00A771AD" w14:paraId="5E1EF759" w14:textId="77777777" w:rsidTr="00AD4BFA">
        <w:trPr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3BB9A6A6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256" w:type="dxa"/>
            <w:gridSpan w:val="2"/>
            <w:shd w:val="clear" w:color="auto" w:fill="auto"/>
            <w:vAlign w:val="center"/>
          </w:tcPr>
          <w:p w14:paraId="5C3AFD94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2．法律效果：发生重大误解的一方有权撤销民事法律行为</w:t>
            </w:r>
          </w:p>
        </w:tc>
      </w:tr>
      <w:tr w:rsidR="00A771AD" w:rsidRPr="00A771AD" w14:paraId="155638E1" w14:textId="77777777" w:rsidTr="00AD4BFA">
        <w:trPr>
          <w:jc w:val="center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6503F057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欺诈</w:t>
            </w:r>
          </w:p>
        </w:tc>
        <w:tc>
          <w:tcPr>
            <w:tcW w:w="7256" w:type="dxa"/>
            <w:gridSpan w:val="2"/>
            <w:shd w:val="clear" w:color="auto" w:fill="auto"/>
            <w:vAlign w:val="center"/>
          </w:tcPr>
          <w:p w14:paraId="63281FBB" w14:textId="69CC040D" w:rsidR="00A771AD" w:rsidRPr="00A771AD" w:rsidRDefault="00A771AD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1．类型：相对方欺诈+第三人欺诈</w:t>
            </w:r>
            <w:r w:rsidR="00AA7B01" w:rsidRPr="00AA7B01">
              <w:rPr>
                <w:rFonts w:ascii="宋体" w:eastAsia="宋体" w:hAnsi="宋体" w:cs="Times New Roman" w:hint="eastAsia"/>
                <w:color w:val="4472C4" w:themeColor="accent1"/>
                <w:sz w:val="21"/>
                <w:szCs w:val="21"/>
                <w14:ligatures w14:val="none"/>
              </w:rPr>
              <w:t>（区分相对方欺诈还是第三方欺诈）</w:t>
            </w:r>
          </w:p>
        </w:tc>
      </w:tr>
      <w:tr w:rsidR="00A771AD" w:rsidRPr="00A771AD" w14:paraId="4A290548" w14:textId="77777777" w:rsidTr="00AD4BFA">
        <w:trPr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27D0D174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256" w:type="dxa"/>
            <w:gridSpan w:val="2"/>
            <w:shd w:val="clear" w:color="auto" w:fill="auto"/>
            <w:vAlign w:val="center"/>
          </w:tcPr>
          <w:p w14:paraId="11000E15" w14:textId="59D4746E" w:rsidR="00A771AD" w:rsidRPr="00A771AD" w:rsidRDefault="00A771AD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2．相对方欺诈的构成要件：欺诈行为（积极+消极）+因果关系+欺诈故意</w:t>
            </w:r>
          </w:p>
        </w:tc>
      </w:tr>
      <w:tr w:rsidR="00A771AD" w:rsidRPr="00A771AD" w14:paraId="6B44BB25" w14:textId="77777777" w:rsidTr="00AD4BFA">
        <w:trPr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22BC8A34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256" w:type="dxa"/>
            <w:gridSpan w:val="2"/>
            <w:shd w:val="clear" w:color="auto" w:fill="auto"/>
            <w:vAlign w:val="center"/>
          </w:tcPr>
          <w:p w14:paraId="360EA7B6" w14:textId="46838E8E" w:rsidR="00A771AD" w:rsidRPr="00A771AD" w:rsidRDefault="00A771AD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2．第三人欺诈的特别构成要件：相对方对欺诈行为知道或应知</w:t>
            </w:r>
          </w:p>
        </w:tc>
      </w:tr>
      <w:tr w:rsidR="00A771AD" w:rsidRPr="00A771AD" w14:paraId="29FB7AC0" w14:textId="77777777" w:rsidTr="00AD4BFA">
        <w:trPr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46CC65F7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A708162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3．法律效果</w:t>
            </w:r>
          </w:p>
        </w:tc>
        <w:tc>
          <w:tcPr>
            <w:tcW w:w="5980" w:type="dxa"/>
            <w:shd w:val="clear" w:color="auto" w:fill="auto"/>
            <w:vAlign w:val="center"/>
          </w:tcPr>
          <w:p w14:paraId="39205F79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（1）受欺诈方有权撤销民事法律行为</w:t>
            </w:r>
          </w:p>
        </w:tc>
      </w:tr>
      <w:tr w:rsidR="00A771AD" w:rsidRPr="00A771AD" w14:paraId="103D7952" w14:textId="77777777" w:rsidTr="00AD4BFA">
        <w:trPr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2FA0F0C4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4160F3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03312AA4" w14:textId="771F1B8B" w:rsidR="00A771AD" w:rsidRPr="00A771AD" w:rsidRDefault="00A771AD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（2）经营者欺诈时的惩罚性赔偿：3倍；10倍</w:t>
            </w:r>
          </w:p>
        </w:tc>
      </w:tr>
      <w:tr w:rsidR="00A771AD" w:rsidRPr="00A771AD" w14:paraId="6BF62612" w14:textId="77777777" w:rsidTr="00AD4BFA">
        <w:trPr>
          <w:jc w:val="center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21640AEC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胁迫</w:t>
            </w:r>
          </w:p>
        </w:tc>
        <w:tc>
          <w:tcPr>
            <w:tcW w:w="7256" w:type="dxa"/>
            <w:gridSpan w:val="2"/>
            <w:shd w:val="clear" w:color="auto" w:fill="auto"/>
            <w:vAlign w:val="center"/>
          </w:tcPr>
          <w:p w14:paraId="27D68697" w14:textId="5F8588D1" w:rsidR="00A771AD" w:rsidRPr="00A771AD" w:rsidRDefault="00A771AD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1．类型：相对人胁迫+第三人胁迫</w:t>
            </w:r>
          </w:p>
        </w:tc>
      </w:tr>
      <w:tr w:rsidR="00A771AD" w:rsidRPr="00A771AD" w14:paraId="3110FFDA" w14:textId="77777777" w:rsidTr="00AD4BFA">
        <w:trPr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5D1F6ADC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256" w:type="dxa"/>
            <w:gridSpan w:val="2"/>
            <w:shd w:val="clear" w:color="auto" w:fill="auto"/>
            <w:vAlign w:val="center"/>
          </w:tcPr>
          <w:p w14:paraId="19537089" w14:textId="5873BECC" w:rsidR="00A771AD" w:rsidRPr="00A771AD" w:rsidRDefault="00A771AD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2．构成要件：胁迫行为+违法性+因果关系+故意</w:t>
            </w:r>
          </w:p>
        </w:tc>
      </w:tr>
      <w:tr w:rsidR="00A771AD" w:rsidRPr="00A771AD" w14:paraId="67323397" w14:textId="77777777" w:rsidTr="00AD4BFA">
        <w:trPr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74341DFE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256" w:type="dxa"/>
            <w:gridSpan w:val="2"/>
            <w:shd w:val="clear" w:color="auto" w:fill="auto"/>
            <w:vAlign w:val="center"/>
          </w:tcPr>
          <w:p w14:paraId="0E6F8446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3．法律效果：受胁迫方有权撤销民事法律行为</w:t>
            </w:r>
          </w:p>
        </w:tc>
      </w:tr>
      <w:tr w:rsidR="00A771AD" w:rsidRPr="00A771AD" w14:paraId="7142AC6D" w14:textId="77777777" w:rsidTr="00AD4BFA">
        <w:trPr>
          <w:jc w:val="center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0BF2109C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显失公平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073E199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1．构成要件</w:t>
            </w:r>
          </w:p>
        </w:tc>
        <w:tc>
          <w:tcPr>
            <w:tcW w:w="5980" w:type="dxa"/>
            <w:shd w:val="clear" w:color="auto" w:fill="auto"/>
            <w:vAlign w:val="center"/>
          </w:tcPr>
          <w:p w14:paraId="58A29BDF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（1）主观要件：一方利用对方处于危困状态、缺乏判断能力等情形</w:t>
            </w:r>
          </w:p>
        </w:tc>
      </w:tr>
      <w:tr w:rsidR="00A771AD" w:rsidRPr="00A771AD" w14:paraId="140C7E7D" w14:textId="77777777" w:rsidTr="00AD4BFA">
        <w:trPr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25DDB973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6204153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5E76F11B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（2）客观要件：</w:t>
            </w: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民事法律行为成立时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显失公平</w:t>
            </w:r>
          </w:p>
        </w:tc>
      </w:tr>
      <w:tr w:rsidR="00A771AD" w:rsidRPr="00A771AD" w14:paraId="43E8A8E1" w14:textId="77777777" w:rsidTr="00AD4BFA">
        <w:trPr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3E5D478B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256" w:type="dxa"/>
            <w:gridSpan w:val="2"/>
            <w:shd w:val="clear" w:color="auto" w:fill="auto"/>
            <w:vAlign w:val="center"/>
          </w:tcPr>
          <w:p w14:paraId="1B8E79F0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2．法律效果：受损害方有权撤销民事法律行为</w:t>
            </w:r>
          </w:p>
        </w:tc>
      </w:tr>
      <w:tr w:rsidR="00A771AD" w:rsidRPr="00A771AD" w14:paraId="0D3DB2DD" w14:textId="77777777" w:rsidTr="00AD4BFA">
        <w:trPr>
          <w:jc w:val="center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4FA39E86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撤销权</w:t>
            </w:r>
          </w:p>
        </w:tc>
        <w:tc>
          <w:tcPr>
            <w:tcW w:w="7256" w:type="dxa"/>
            <w:gridSpan w:val="2"/>
            <w:shd w:val="clear" w:color="auto" w:fill="auto"/>
            <w:vAlign w:val="center"/>
          </w:tcPr>
          <w:p w14:paraId="53054BE7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1．权利性质：形成权</w:t>
            </w:r>
          </w:p>
        </w:tc>
      </w:tr>
      <w:tr w:rsidR="00A771AD" w:rsidRPr="00A771AD" w14:paraId="5D8F12D8" w14:textId="77777777" w:rsidTr="00AD4BFA">
        <w:trPr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130388E0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256" w:type="dxa"/>
            <w:gridSpan w:val="2"/>
            <w:shd w:val="clear" w:color="auto" w:fill="auto"/>
            <w:vAlign w:val="center"/>
          </w:tcPr>
          <w:p w14:paraId="09A6C2E2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2．</w:t>
            </w:r>
            <w:r w:rsidRPr="00A771AD">
              <w:rPr>
                <w:rFonts w:ascii="宋体" w:eastAsia="宋体" w:hAnsi="宋体" w:cs="Times New Roman" w:hint="eastAsia"/>
                <w:color w:val="EE0000"/>
                <w:sz w:val="21"/>
                <w:szCs w:val="21"/>
                <w14:ligatures w14:val="none"/>
              </w:rPr>
              <w:t>行使方式：诉讼或仲裁</w:t>
            </w:r>
          </w:p>
        </w:tc>
      </w:tr>
      <w:tr w:rsidR="00A771AD" w:rsidRPr="00A771AD" w14:paraId="25EA7929" w14:textId="77777777" w:rsidTr="00AD4BFA">
        <w:trPr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54D2D1E4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256" w:type="dxa"/>
            <w:gridSpan w:val="2"/>
            <w:shd w:val="clear" w:color="auto" w:fill="auto"/>
            <w:vAlign w:val="center"/>
          </w:tcPr>
          <w:p w14:paraId="36CB0779" w14:textId="77777777" w:rsidR="00A771AD" w:rsidRPr="00A771AD" w:rsidRDefault="00A771AD" w:rsidP="00A771AD">
            <w:pPr>
              <w:spacing w:beforeLines="10" w:before="31" w:afterLines="15" w:after="46" w:line="280" w:lineRule="exact"/>
              <w:jc w:val="both"/>
              <w:rPr>
                <w:rFonts w:ascii="宋体" w:eastAsia="宋体" w:hAnsi="宋体" w:cs="Times New Roman"/>
                <w:bCs/>
                <w:color w:val="000000"/>
                <w:sz w:val="21"/>
                <w:szCs w:val="21"/>
                <w:u w:val="single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3．法律效果：与无效基本相同</w:t>
            </w:r>
          </w:p>
        </w:tc>
      </w:tr>
    </w:tbl>
    <w:p w14:paraId="02D5E804" w14:textId="24F76B74" w:rsidR="00A771AD" w:rsidRPr="00A771AD" w:rsidRDefault="00A771AD" w:rsidP="00E16798">
      <w:pPr>
        <w:spacing w:after="0" w:line="384" w:lineRule="exact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四、效力待定的民事法律行为</w:t>
      </w:r>
    </w:p>
    <w:tbl>
      <w:tblPr>
        <w:tblStyle w:val="12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842"/>
        <w:gridCol w:w="5113"/>
      </w:tblGrid>
      <w:tr w:rsidR="00AA7B01" w:rsidRPr="00A771AD" w14:paraId="5A618678" w14:textId="77777777" w:rsidTr="00AA7B01">
        <w:trPr>
          <w:trHeight w:val="724"/>
          <w:jc w:val="center"/>
        </w:trPr>
        <w:tc>
          <w:tcPr>
            <w:tcW w:w="1550" w:type="dxa"/>
            <w:vAlign w:val="center"/>
          </w:tcPr>
          <w:p w14:paraId="633284AB" w14:textId="77777777" w:rsidR="00AA7B01" w:rsidRPr="00A771AD" w:rsidRDefault="00AA7B01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效力待定事由</w:t>
            </w:r>
          </w:p>
        </w:tc>
        <w:tc>
          <w:tcPr>
            <w:tcW w:w="6955" w:type="dxa"/>
            <w:gridSpan w:val="2"/>
            <w:vAlign w:val="center"/>
          </w:tcPr>
          <w:p w14:paraId="24187C33" w14:textId="13D1B180" w:rsidR="00AA7B01" w:rsidRPr="00A771AD" w:rsidRDefault="00AA7B01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1．限制行为能力人实施的超越其民事行为能力的民事法律行为2．狭义的无权代理行为3．无权处分行为4．债务人与第三人达成的债务承担协议</w:t>
            </w:r>
          </w:p>
        </w:tc>
      </w:tr>
      <w:tr w:rsidR="00A771AD" w:rsidRPr="00A771AD" w14:paraId="49747B0F" w14:textId="77777777" w:rsidTr="00AD4BFA">
        <w:trPr>
          <w:jc w:val="center"/>
        </w:trPr>
        <w:tc>
          <w:tcPr>
            <w:tcW w:w="1550" w:type="dxa"/>
            <w:vMerge w:val="restart"/>
            <w:vAlign w:val="center"/>
          </w:tcPr>
          <w:p w14:paraId="685E3112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无权处分</w:t>
            </w:r>
          </w:p>
        </w:tc>
        <w:tc>
          <w:tcPr>
            <w:tcW w:w="1842" w:type="dxa"/>
            <w:vMerge w:val="restart"/>
            <w:vAlign w:val="center"/>
          </w:tcPr>
          <w:p w14:paraId="008D6871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1．负担行为（买卖合同）层面</w:t>
            </w:r>
          </w:p>
        </w:tc>
        <w:tc>
          <w:tcPr>
            <w:tcW w:w="5113" w:type="dxa"/>
            <w:vAlign w:val="center"/>
          </w:tcPr>
          <w:p w14:paraId="4BEC75EA" w14:textId="18ABDC9F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（1）效力：不受处分权有无的影响</w:t>
            </w:r>
            <w:r w:rsidR="00AA7B01" w:rsidRPr="00AA7B01">
              <w:rPr>
                <w:rFonts w:ascii="宋体" w:eastAsia="宋体" w:hAnsi="宋体" w:cs="Times New Roman" w:hint="eastAsia"/>
                <w:color w:val="EE0000"/>
                <w:sz w:val="21"/>
                <w:szCs w:val="21"/>
              </w:rPr>
              <w:t>（不是无效）</w:t>
            </w:r>
          </w:p>
        </w:tc>
      </w:tr>
      <w:tr w:rsidR="00A771AD" w:rsidRPr="00A771AD" w14:paraId="698B60C9" w14:textId="77777777" w:rsidTr="00AD4BFA">
        <w:trPr>
          <w:jc w:val="center"/>
        </w:trPr>
        <w:tc>
          <w:tcPr>
            <w:tcW w:w="1550" w:type="dxa"/>
            <w:vMerge/>
            <w:vAlign w:val="center"/>
          </w:tcPr>
          <w:p w14:paraId="14A1C6B8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1D513346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113" w:type="dxa"/>
            <w:vAlign w:val="center"/>
          </w:tcPr>
          <w:p w14:paraId="4F28C145" w14:textId="143B9110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（2）履行不能的救济：解除合同+违约损害赔偿</w:t>
            </w:r>
          </w:p>
        </w:tc>
      </w:tr>
      <w:tr w:rsidR="00A771AD" w:rsidRPr="00A771AD" w14:paraId="4EBB4217" w14:textId="77777777" w:rsidTr="00AD4BFA">
        <w:trPr>
          <w:jc w:val="center"/>
        </w:trPr>
        <w:tc>
          <w:tcPr>
            <w:tcW w:w="1550" w:type="dxa"/>
            <w:vMerge/>
            <w:vAlign w:val="center"/>
          </w:tcPr>
          <w:p w14:paraId="230CEE5D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2213C7A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2．处分行为（物权变动）层面</w:t>
            </w:r>
          </w:p>
        </w:tc>
        <w:tc>
          <w:tcPr>
            <w:tcW w:w="5113" w:type="dxa"/>
            <w:vAlign w:val="center"/>
          </w:tcPr>
          <w:p w14:paraId="1019F43B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（1）原权利人追认或授予处分权，处分行为有效（物权变动）</w:t>
            </w:r>
          </w:p>
        </w:tc>
      </w:tr>
      <w:tr w:rsidR="00A771AD" w:rsidRPr="00A771AD" w14:paraId="017CC3E4" w14:textId="77777777" w:rsidTr="00AD4BFA">
        <w:trPr>
          <w:jc w:val="center"/>
        </w:trPr>
        <w:tc>
          <w:tcPr>
            <w:tcW w:w="1550" w:type="dxa"/>
            <w:vMerge/>
            <w:vAlign w:val="center"/>
          </w:tcPr>
          <w:p w14:paraId="00E35137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2BAF4AD4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113" w:type="dxa"/>
            <w:vAlign w:val="center"/>
          </w:tcPr>
          <w:p w14:paraId="7ED6620F" w14:textId="4C38C95C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（2）原权利人不追认且不授予处分权，物权变动取决于善意取得是否构成</w:t>
            </w:r>
          </w:p>
        </w:tc>
      </w:tr>
    </w:tbl>
    <w:p w14:paraId="531D28FD" w14:textId="01293F5E" w:rsidR="00A771AD" w:rsidRPr="00A771AD" w:rsidRDefault="00A771AD" w:rsidP="00E16798">
      <w:pPr>
        <w:spacing w:after="0" w:line="384" w:lineRule="exact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五、民事法律行为不成立、无效、被撤销或者确定不发生效力的法律效果</w:t>
      </w:r>
    </w:p>
    <w:tbl>
      <w:tblPr>
        <w:tblW w:w="8522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418"/>
        <w:gridCol w:w="5271"/>
      </w:tblGrid>
      <w:tr w:rsidR="00A771AD" w:rsidRPr="00A771AD" w14:paraId="2D1EEE37" w14:textId="77777777" w:rsidTr="00AD4BFA">
        <w:trPr>
          <w:jc w:val="center"/>
        </w:trPr>
        <w:tc>
          <w:tcPr>
            <w:tcW w:w="1833" w:type="dxa"/>
            <w:vMerge w:val="restart"/>
            <w:shd w:val="clear" w:color="auto" w:fill="auto"/>
            <w:vAlign w:val="center"/>
          </w:tcPr>
          <w:p w14:paraId="20BA43CF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民事法律行为不成立、无效、被撤销或者确定不发生效力的法律效果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24C82422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1．自始无效，无效的效果溯及民事行为成立之时</w:t>
            </w:r>
          </w:p>
        </w:tc>
      </w:tr>
      <w:tr w:rsidR="00A771AD" w:rsidRPr="00A771AD" w14:paraId="3B9D61AC" w14:textId="77777777" w:rsidTr="00AD4BFA">
        <w:trPr>
          <w:jc w:val="center"/>
        </w:trPr>
        <w:tc>
          <w:tcPr>
            <w:tcW w:w="1833" w:type="dxa"/>
            <w:vMerge/>
            <w:shd w:val="clear" w:color="auto" w:fill="auto"/>
            <w:vAlign w:val="center"/>
          </w:tcPr>
          <w:p w14:paraId="16A580DC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664D3955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2．当然无效，不受诉讼时效或除斥期间的限制</w:t>
            </w:r>
          </w:p>
        </w:tc>
      </w:tr>
      <w:tr w:rsidR="00A771AD" w:rsidRPr="00A771AD" w14:paraId="210CDA79" w14:textId="77777777" w:rsidTr="00AD4BFA">
        <w:trPr>
          <w:jc w:val="center"/>
        </w:trPr>
        <w:tc>
          <w:tcPr>
            <w:tcW w:w="1833" w:type="dxa"/>
            <w:vMerge/>
            <w:shd w:val="clear" w:color="auto" w:fill="auto"/>
            <w:vAlign w:val="center"/>
          </w:tcPr>
          <w:p w14:paraId="1FB8DDA0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121B0A4F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3．返还财产：返还原物+孳息+使用收益</w:t>
            </w:r>
          </w:p>
          <w:p w14:paraId="3267419B" w14:textId="6D1C001F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FF0000"/>
                <w:sz w:val="21"/>
                <w:szCs w:val="21"/>
                <w14:ligatures w14:val="none"/>
              </w:rPr>
              <w:t>【注意1】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资金占用费的计算：（1）占用资金方对于合同不成立、无效、被撤销或者确定不发生效力有过错时按LPR计算；（2）占用资金方对于合同不成立、无效、被撤销或者确定不发生效力无过错时，以中国人民银行公布的同期同类存款基准利率计算</w:t>
            </w:r>
          </w:p>
          <w:p w14:paraId="1DB0C1F0" w14:textId="663D9CD8" w:rsidR="00A771AD" w:rsidRPr="00A771AD" w:rsidRDefault="00A771AD" w:rsidP="00B22501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FF0000"/>
                <w:sz w:val="21"/>
                <w:szCs w:val="21"/>
                <w14:ligatures w14:val="none"/>
              </w:rPr>
              <w:lastRenderedPageBreak/>
              <w:t>【注意2】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资金占用费（利息）与标的物使用费可互相抵销</w:t>
            </w:r>
            <w:r w:rsidRPr="00A771AD">
              <w:rPr>
                <w:rFonts w:ascii="宋体" w:eastAsia="宋体" w:hAnsi="宋体" w:cs="Times New Roman" w:hint="eastAsia"/>
                <w:color w:val="FF0000"/>
                <w:sz w:val="21"/>
                <w:szCs w:val="21"/>
                <w14:ligatures w14:val="none"/>
              </w:rPr>
              <w:t>【注意3】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互负返还义务时，可主张同时履行抗辩权</w:t>
            </w:r>
          </w:p>
        </w:tc>
      </w:tr>
      <w:tr w:rsidR="00A771AD" w:rsidRPr="00A771AD" w14:paraId="7A0BE01A" w14:textId="77777777" w:rsidTr="00AD4BFA">
        <w:trPr>
          <w:jc w:val="center"/>
        </w:trPr>
        <w:tc>
          <w:tcPr>
            <w:tcW w:w="1833" w:type="dxa"/>
            <w:vMerge/>
            <w:shd w:val="clear" w:color="auto" w:fill="auto"/>
            <w:vAlign w:val="center"/>
          </w:tcPr>
          <w:p w14:paraId="052615F9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125A5E9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4．折价补偿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3C5A94D1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（1）适用前提：不能返还（如标的物已经毁损灭失或者已经被第三人善意取得）或者没有必要返还（如返还会造成资源极大浪费）</w:t>
            </w:r>
          </w:p>
        </w:tc>
      </w:tr>
      <w:tr w:rsidR="00A771AD" w:rsidRPr="00A771AD" w14:paraId="51017F7C" w14:textId="77777777" w:rsidTr="00AD4BFA">
        <w:trPr>
          <w:jc w:val="center"/>
        </w:trPr>
        <w:tc>
          <w:tcPr>
            <w:tcW w:w="1833" w:type="dxa"/>
            <w:vMerge/>
            <w:shd w:val="clear" w:color="auto" w:fill="auto"/>
            <w:vAlign w:val="center"/>
          </w:tcPr>
          <w:p w14:paraId="34A13EE8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8F70EB1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5271" w:type="dxa"/>
            <w:shd w:val="clear" w:color="auto" w:fill="auto"/>
            <w:vAlign w:val="center"/>
          </w:tcPr>
          <w:p w14:paraId="28FB6FEC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（2）法律性质：不当得利返还</w:t>
            </w:r>
          </w:p>
        </w:tc>
      </w:tr>
      <w:tr w:rsidR="00A771AD" w:rsidRPr="00A771AD" w14:paraId="52826A76" w14:textId="77777777" w:rsidTr="00AD4BFA">
        <w:trPr>
          <w:jc w:val="center"/>
        </w:trPr>
        <w:tc>
          <w:tcPr>
            <w:tcW w:w="1833" w:type="dxa"/>
            <w:vMerge/>
            <w:shd w:val="clear" w:color="auto" w:fill="auto"/>
            <w:vAlign w:val="center"/>
          </w:tcPr>
          <w:p w14:paraId="41848E37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1550A97A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5．损害赔偿（性质为缔约过失责任）</w:t>
            </w:r>
          </w:p>
        </w:tc>
      </w:tr>
      <w:tr w:rsidR="00A771AD" w:rsidRPr="00A771AD" w14:paraId="4FF0E9E4" w14:textId="77777777" w:rsidTr="00AD4BFA">
        <w:trPr>
          <w:jc w:val="center"/>
        </w:trPr>
        <w:tc>
          <w:tcPr>
            <w:tcW w:w="1833" w:type="dxa"/>
            <w:vMerge/>
            <w:shd w:val="clear" w:color="auto" w:fill="auto"/>
            <w:vAlign w:val="center"/>
          </w:tcPr>
          <w:p w14:paraId="703B1318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255884F1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FF0000"/>
                <w:sz w:val="21"/>
                <w:szCs w:val="21"/>
                <w14:ligatures w14:val="none"/>
              </w:rPr>
              <w:t>【注意】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无效的法律效果也适用于民事法律行为不成立、被撤销或确定不发生效力的情形</w:t>
            </w:r>
          </w:p>
        </w:tc>
      </w:tr>
    </w:tbl>
    <w:p w14:paraId="67255142" w14:textId="11A8B6C1" w:rsidR="00A771AD" w:rsidRPr="00A771AD" w:rsidRDefault="00A771AD" w:rsidP="003E244B">
      <w:pPr>
        <w:spacing w:after="0" w:line="384" w:lineRule="exact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六、代理权的限制</w:t>
      </w:r>
    </w:p>
    <w:tbl>
      <w:tblPr>
        <w:tblStyle w:val="12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1691"/>
        <w:gridCol w:w="6814"/>
      </w:tblGrid>
      <w:tr w:rsidR="00A771AD" w:rsidRPr="00A771AD" w14:paraId="126C0A92" w14:textId="77777777" w:rsidTr="00AD4BFA">
        <w:trPr>
          <w:jc w:val="center"/>
        </w:trPr>
        <w:tc>
          <w:tcPr>
            <w:tcW w:w="1691" w:type="dxa"/>
            <w:vMerge w:val="restart"/>
            <w:vAlign w:val="center"/>
          </w:tcPr>
          <w:p w14:paraId="1DAB3143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自己代理</w:t>
            </w:r>
          </w:p>
        </w:tc>
        <w:tc>
          <w:tcPr>
            <w:tcW w:w="6814" w:type="dxa"/>
            <w:vAlign w:val="center"/>
          </w:tcPr>
          <w:p w14:paraId="4B8D9A7A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1．概念：代理人以被代理人名义与自己实施民事法律行为</w:t>
            </w:r>
          </w:p>
        </w:tc>
      </w:tr>
      <w:tr w:rsidR="00A771AD" w:rsidRPr="00A771AD" w14:paraId="05AC8E73" w14:textId="77777777" w:rsidTr="00AD4BFA">
        <w:trPr>
          <w:jc w:val="center"/>
        </w:trPr>
        <w:tc>
          <w:tcPr>
            <w:tcW w:w="1691" w:type="dxa"/>
            <w:vMerge/>
            <w:vAlign w:val="center"/>
          </w:tcPr>
          <w:p w14:paraId="55DE4B1E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814" w:type="dxa"/>
            <w:vAlign w:val="center"/>
          </w:tcPr>
          <w:p w14:paraId="4BF4B40F" w14:textId="1077B62D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2．法律效力：</w:t>
            </w:r>
            <w:r w:rsidRPr="00A771AD">
              <w:rPr>
                <w:rFonts w:ascii="宋体" w:eastAsia="宋体" w:hAnsi="宋体" w:cs="Times New Roman" w:hint="eastAsia"/>
                <w:color w:val="EE0000"/>
                <w:sz w:val="21"/>
                <w:szCs w:val="21"/>
              </w:rPr>
              <w:t>效力待定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，最终效力如何取决于是否存在被代理人的事前同意或者事后追认</w:t>
            </w:r>
          </w:p>
        </w:tc>
      </w:tr>
      <w:tr w:rsidR="00A771AD" w:rsidRPr="00A771AD" w14:paraId="63AF3C7A" w14:textId="77777777" w:rsidTr="00AD4BFA">
        <w:trPr>
          <w:jc w:val="center"/>
        </w:trPr>
        <w:tc>
          <w:tcPr>
            <w:tcW w:w="1691" w:type="dxa"/>
            <w:vMerge w:val="restart"/>
            <w:vAlign w:val="center"/>
          </w:tcPr>
          <w:p w14:paraId="47E193F0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双方代理</w:t>
            </w:r>
          </w:p>
        </w:tc>
        <w:tc>
          <w:tcPr>
            <w:tcW w:w="6814" w:type="dxa"/>
            <w:vAlign w:val="center"/>
          </w:tcPr>
          <w:p w14:paraId="33F546F0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1．概念：以被代理人的名义与自己同时代理的其他人实施民事法律行为</w:t>
            </w:r>
          </w:p>
        </w:tc>
      </w:tr>
      <w:tr w:rsidR="00A771AD" w:rsidRPr="00A771AD" w14:paraId="087947D9" w14:textId="77777777" w:rsidTr="00AD4BFA">
        <w:trPr>
          <w:jc w:val="center"/>
        </w:trPr>
        <w:tc>
          <w:tcPr>
            <w:tcW w:w="1691" w:type="dxa"/>
            <w:vMerge/>
            <w:vAlign w:val="center"/>
          </w:tcPr>
          <w:p w14:paraId="54B0059C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814" w:type="dxa"/>
            <w:vAlign w:val="center"/>
          </w:tcPr>
          <w:p w14:paraId="7FD42415" w14:textId="5B948854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2．法律效力：</w:t>
            </w:r>
            <w:r w:rsidRPr="00A771AD">
              <w:rPr>
                <w:rFonts w:ascii="宋体" w:eastAsia="宋体" w:hAnsi="宋体" w:cs="Times New Roman" w:hint="eastAsia"/>
                <w:color w:val="EE0000"/>
                <w:sz w:val="21"/>
                <w:szCs w:val="21"/>
              </w:rPr>
              <w:t>效力待定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，最终效力如何取决于被代理双方的事前同意或者事后追认</w:t>
            </w:r>
          </w:p>
        </w:tc>
      </w:tr>
      <w:tr w:rsidR="00A771AD" w:rsidRPr="00A771AD" w14:paraId="21942E76" w14:textId="77777777" w:rsidTr="00AD4BFA">
        <w:trPr>
          <w:jc w:val="center"/>
        </w:trPr>
        <w:tc>
          <w:tcPr>
            <w:tcW w:w="1691" w:type="dxa"/>
            <w:vMerge w:val="restart"/>
            <w:vAlign w:val="center"/>
          </w:tcPr>
          <w:p w14:paraId="2FC5FA05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代理人与相对人恶意串通</w:t>
            </w:r>
          </w:p>
        </w:tc>
        <w:tc>
          <w:tcPr>
            <w:tcW w:w="6814" w:type="dxa"/>
            <w:vAlign w:val="center"/>
          </w:tcPr>
          <w:p w14:paraId="59154F68" w14:textId="6C3EF041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1．代理行为效力：</w:t>
            </w:r>
            <w:r w:rsidRPr="00A771AD">
              <w:rPr>
                <w:rFonts w:ascii="宋体" w:eastAsia="宋体" w:hAnsi="宋体" w:cs="Times New Roman" w:hint="eastAsia"/>
                <w:color w:val="EE0000"/>
                <w:sz w:val="21"/>
                <w:szCs w:val="21"/>
              </w:rPr>
              <w:t>效力待定（而非无效！）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，最终效力如何取决于被代理人的追认</w:t>
            </w:r>
          </w:p>
        </w:tc>
      </w:tr>
      <w:tr w:rsidR="00A771AD" w:rsidRPr="00A771AD" w14:paraId="3F44A0BE" w14:textId="77777777" w:rsidTr="00AD4BFA">
        <w:trPr>
          <w:trHeight w:val="80"/>
          <w:jc w:val="center"/>
        </w:trPr>
        <w:tc>
          <w:tcPr>
            <w:tcW w:w="1691" w:type="dxa"/>
            <w:vMerge/>
            <w:vAlign w:val="center"/>
          </w:tcPr>
          <w:p w14:paraId="4CC72B00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814" w:type="dxa"/>
            <w:vAlign w:val="center"/>
          </w:tcPr>
          <w:p w14:paraId="0FC97971" w14:textId="4593E37A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2．对被代理人损害的赔偿：代理人和相对人承担连带责任</w:t>
            </w:r>
          </w:p>
        </w:tc>
      </w:tr>
    </w:tbl>
    <w:p w14:paraId="51938EAC" w14:textId="49DADBF9" w:rsidR="00A771AD" w:rsidRPr="00A771AD" w:rsidRDefault="00A771AD" w:rsidP="00E16798">
      <w:pPr>
        <w:spacing w:after="0" w:line="384" w:lineRule="exact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七、无权代理</w:t>
      </w:r>
    </w:p>
    <w:p w14:paraId="608B3B67" w14:textId="6455F747" w:rsidR="00A771AD" w:rsidRPr="00A771AD" w:rsidRDefault="00A771AD" w:rsidP="00E16798">
      <w:pPr>
        <w:spacing w:after="0" w:line="384" w:lineRule="exact"/>
        <w:ind w:firstLineChars="130" w:firstLine="274"/>
        <w:jc w:val="both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（一）表见代理</w:t>
      </w:r>
    </w:p>
    <w:tbl>
      <w:tblPr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134"/>
        <w:gridCol w:w="6672"/>
      </w:tblGrid>
      <w:tr w:rsidR="00A771AD" w:rsidRPr="00A771AD" w14:paraId="31BE8CA7" w14:textId="77777777" w:rsidTr="00AD4BFA">
        <w:trPr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14:paraId="5872CCDC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构成要件</w:t>
            </w:r>
          </w:p>
        </w:tc>
        <w:tc>
          <w:tcPr>
            <w:tcW w:w="7806" w:type="dxa"/>
            <w:gridSpan w:val="2"/>
            <w:shd w:val="clear" w:color="auto" w:fill="auto"/>
            <w:vAlign w:val="center"/>
          </w:tcPr>
          <w:p w14:paraId="472A0A15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1．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代理人欠缺代理权</w:t>
            </w: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（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自始缺乏代理权、超越代理权、代理权终止三种类型）</w:t>
            </w:r>
          </w:p>
          <w:p w14:paraId="32D1B2A1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FF0000"/>
                <w:sz w:val="21"/>
                <w:szCs w:val="21"/>
                <w14:ligatures w14:val="none"/>
              </w:rPr>
              <w:t>【注意】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代理人有代理权构成有权代理，</w:t>
            </w: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有权代理不可能同时构成表见代理</w:t>
            </w:r>
          </w:p>
        </w:tc>
      </w:tr>
      <w:tr w:rsidR="00A771AD" w:rsidRPr="00A771AD" w14:paraId="570F4A8B" w14:textId="77777777" w:rsidTr="00AD4BFA">
        <w:trPr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7626A50D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96E161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bCs/>
                <w:color w:val="000000"/>
                <w:sz w:val="21"/>
                <w:szCs w:val="21"/>
                <w:u w:val="single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2．存在代理权外观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0E51113F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bCs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（1）外观类型：持有公司公章、持有已经签章的空白合同书、持有授权委托书、存在特定的职务外观等</w:t>
            </w:r>
          </w:p>
        </w:tc>
      </w:tr>
      <w:tr w:rsidR="00A771AD" w:rsidRPr="00A771AD" w14:paraId="1485A383" w14:textId="77777777" w:rsidTr="00AD4BFA">
        <w:trPr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00AB9A3B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4873D8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6672" w:type="dxa"/>
            <w:shd w:val="clear" w:color="auto" w:fill="auto"/>
            <w:vAlign w:val="center"/>
          </w:tcPr>
          <w:p w14:paraId="4090F7F7" w14:textId="558A8E85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（2）举证责任：代理权外观由交易相对方举证证明</w:t>
            </w:r>
          </w:p>
        </w:tc>
      </w:tr>
      <w:tr w:rsidR="00A771AD" w:rsidRPr="00A771AD" w14:paraId="74C36FC3" w14:textId="77777777" w:rsidTr="00AD4BFA">
        <w:trPr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65DE97D4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806" w:type="dxa"/>
            <w:gridSpan w:val="2"/>
            <w:shd w:val="clear" w:color="auto" w:fill="auto"/>
            <w:vAlign w:val="center"/>
          </w:tcPr>
          <w:p w14:paraId="2773858C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bCs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3．被代理人具有可归责性</w:t>
            </w:r>
          </w:p>
          <w:p w14:paraId="15D7040F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bCs/>
                <w:color w:val="000000"/>
                <w:sz w:val="21"/>
                <w:szCs w:val="21"/>
                <w:u w:val="single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bCs/>
                <w:color w:val="FF0000"/>
                <w:sz w:val="21"/>
                <w:szCs w:val="21"/>
                <w14:ligatures w14:val="none"/>
              </w:rPr>
              <w:t>【注意】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被代理人没有可归责性的典型情形：代理人伪造代理权外观</w:t>
            </w:r>
          </w:p>
        </w:tc>
      </w:tr>
      <w:tr w:rsidR="00A771AD" w:rsidRPr="00A771AD" w14:paraId="2C87F6BB" w14:textId="77777777" w:rsidTr="00AD4BFA">
        <w:trPr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08A39483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85250F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bCs/>
                <w:color w:val="000000"/>
                <w:sz w:val="21"/>
                <w:szCs w:val="21"/>
                <w:u w:val="single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4．相对方善意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3CEB5E28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bCs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（1）含义：不知且无过失</w:t>
            </w:r>
          </w:p>
        </w:tc>
      </w:tr>
      <w:tr w:rsidR="00A771AD" w:rsidRPr="00A771AD" w14:paraId="7200437D" w14:textId="77777777" w:rsidTr="00AD4BFA">
        <w:trPr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7711215F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3A379D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6672" w:type="dxa"/>
            <w:shd w:val="clear" w:color="auto" w:fill="auto"/>
            <w:vAlign w:val="center"/>
          </w:tcPr>
          <w:p w14:paraId="3F7476D9" w14:textId="3F8A5DEE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（2）举证责任：推定善意，由被代理人举证推翻</w:t>
            </w:r>
          </w:p>
        </w:tc>
      </w:tr>
      <w:tr w:rsidR="00A771AD" w:rsidRPr="00A771AD" w14:paraId="7D7C2D47" w14:textId="77777777" w:rsidTr="00AD4BFA">
        <w:trPr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0F29F864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806" w:type="dxa"/>
            <w:gridSpan w:val="2"/>
            <w:shd w:val="clear" w:color="auto" w:fill="auto"/>
            <w:vAlign w:val="center"/>
          </w:tcPr>
          <w:p w14:paraId="582AD00B" w14:textId="1E00C49C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职务代理的规定是一种特殊的表见代理</w:t>
            </w:r>
          </w:p>
        </w:tc>
      </w:tr>
      <w:tr w:rsidR="00A771AD" w:rsidRPr="00A771AD" w14:paraId="5B84BA56" w14:textId="77777777" w:rsidTr="00AD4BFA">
        <w:trPr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14:paraId="1FE20397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法律效果</w:t>
            </w:r>
          </w:p>
        </w:tc>
        <w:tc>
          <w:tcPr>
            <w:tcW w:w="7806" w:type="dxa"/>
            <w:gridSpan w:val="2"/>
            <w:shd w:val="clear" w:color="auto" w:fill="auto"/>
            <w:vAlign w:val="center"/>
          </w:tcPr>
          <w:p w14:paraId="3CB08901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bCs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1．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被代理人与第三人：</w:t>
            </w: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代理行为有效</w:t>
            </w:r>
          </w:p>
        </w:tc>
      </w:tr>
      <w:tr w:rsidR="00A771AD" w:rsidRPr="00A771AD" w14:paraId="75784836" w14:textId="77777777" w:rsidTr="00AD4BFA">
        <w:trPr>
          <w:trHeight w:val="90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0DED6051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806" w:type="dxa"/>
            <w:gridSpan w:val="2"/>
            <w:shd w:val="clear" w:color="auto" w:fill="auto"/>
            <w:vAlign w:val="center"/>
          </w:tcPr>
          <w:p w14:paraId="6694CC8E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bCs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2．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代理人与第三人：原则上没有法律关系</w:t>
            </w:r>
          </w:p>
        </w:tc>
      </w:tr>
      <w:tr w:rsidR="00A771AD" w:rsidRPr="00A771AD" w14:paraId="294D73AC" w14:textId="77777777" w:rsidTr="00AD4BFA">
        <w:trPr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22773DA6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806" w:type="dxa"/>
            <w:gridSpan w:val="2"/>
            <w:shd w:val="clear" w:color="auto" w:fill="auto"/>
            <w:vAlign w:val="center"/>
          </w:tcPr>
          <w:p w14:paraId="5384D0DC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bCs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3．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被代理人与代理人：被代理人向代理人主张违约或侵权等救济</w:t>
            </w:r>
          </w:p>
        </w:tc>
      </w:tr>
    </w:tbl>
    <w:p w14:paraId="46342C49" w14:textId="6587E06C" w:rsidR="00A771AD" w:rsidRPr="00A771AD" w:rsidRDefault="00A771AD" w:rsidP="00E16798">
      <w:pPr>
        <w:spacing w:after="0" w:line="384" w:lineRule="exact"/>
        <w:ind w:firstLineChars="130" w:firstLine="274"/>
        <w:jc w:val="both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（二）狭义无权代理</w:t>
      </w:r>
    </w:p>
    <w:tbl>
      <w:tblPr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276"/>
        <w:gridCol w:w="6105"/>
      </w:tblGrid>
      <w:tr w:rsidR="00A771AD" w:rsidRPr="00A771AD" w14:paraId="0AD9BE0E" w14:textId="77777777" w:rsidTr="00AD4BFA">
        <w:trPr>
          <w:jc w:val="center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14:paraId="5A93D20C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构成要件</w:t>
            </w:r>
          </w:p>
        </w:tc>
        <w:tc>
          <w:tcPr>
            <w:tcW w:w="7381" w:type="dxa"/>
            <w:gridSpan w:val="2"/>
            <w:shd w:val="clear" w:color="auto" w:fill="auto"/>
            <w:vAlign w:val="center"/>
          </w:tcPr>
          <w:p w14:paraId="73EDF4EB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1．代理人欠缺代理权</w:t>
            </w:r>
          </w:p>
        </w:tc>
      </w:tr>
      <w:tr w:rsidR="00A771AD" w:rsidRPr="00A771AD" w14:paraId="78F55778" w14:textId="77777777" w:rsidTr="00AD4BFA">
        <w:trPr>
          <w:jc w:val="center"/>
        </w:trPr>
        <w:tc>
          <w:tcPr>
            <w:tcW w:w="1124" w:type="dxa"/>
            <w:vMerge/>
            <w:shd w:val="clear" w:color="auto" w:fill="auto"/>
            <w:vAlign w:val="center"/>
          </w:tcPr>
          <w:p w14:paraId="5E5CDB1A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381" w:type="dxa"/>
            <w:gridSpan w:val="2"/>
            <w:shd w:val="clear" w:color="auto" w:fill="auto"/>
            <w:vAlign w:val="center"/>
          </w:tcPr>
          <w:p w14:paraId="2B4E613E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2．不构成表见代理</w:t>
            </w:r>
          </w:p>
        </w:tc>
      </w:tr>
      <w:tr w:rsidR="00A771AD" w:rsidRPr="00A771AD" w14:paraId="1E95DD92" w14:textId="77777777" w:rsidTr="00AD4BFA">
        <w:trPr>
          <w:jc w:val="center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14:paraId="77298F86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lastRenderedPageBreak/>
              <w:t>法律效果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0740E7B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1．被代理人与相对人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4F5C2F78" w14:textId="02BAA8C9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（1）代理行为效力待定</w:t>
            </w:r>
          </w:p>
        </w:tc>
      </w:tr>
      <w:tr w:rsidR="00A771AD" w:rsidRPr="00A771AD" w14:paraId="5581BDD0" w14:textId="77777777" w:rsidTr="00AD4BFA">
        <w:trPr>
          <w:jc w:val="center"/>
        </w:trPr>
        <w:tc>
          <w:tcPr>
            <w:tcW w:w="1124" w:type="dxa"/>
            <w:vMerge/>
            <w:shd w:val="clear" w:color="auto" w:fill="auto"/>
            <w:vAlign w:val="center"/>
          </w:tcPr>
          <w:p w14:paraId="7661EEBF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1104E2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6105" w:type="dxa"/>
            <w:shd w:val="clear" w:color="auto" w:fill="auto"/>
            <w:vAlign w:val="center"/>
          </w:tcPr>
          <w:p w14:paraId="75F5105D" w14:textId="0783CC49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（2）被代理人的追认权</w:t>
            </w:r>
          </w:p>
        </w:tc>
      </w:tr>
      <w:tr w:rsidR="00A771AD" w:rsidRPr="00A771AD" w14:paraId="40AA4C68" w14:textId="77777777" w:rsidTr="00AD4BFA">
        <w:trPr>
          <w:jc w:val="center"/>
        </w:trPr>
        <w:tc>
          <w:tcPr>
            <w:tcW w:w="1124" w:type="dxa"/>
            <w:vMerge/>
            <w:shd w:val="clear" w:color="auto" w:fill="auto"/>
            <w:vAlign w:val="center"/>
          </w:tcPr>
          <w:p w14:paraId="6D5BC27B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40D46D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6105" w:type="dxa"/>
            <w:shd w:val="clear" w:color="auto" w:fill="auto"/>
            <w:vAlign w:val="center"/>
          </w:tcPr>
          <w:p w14:paraId="76226197" w14:textId="3AFC8D22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（3）相对人的催告权</w:t>
            </w:r>
          </w:p>
          <w:p w14:paraId="2006D1C6" w14:textId="05BF2E0B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FF0000"/>
                <w:sz w:val="21"/>
                <w:szCs w:val="21"/>
                <w14:ligatures w14:val="none"/>
              </w:rPr>
              <w:t>【注意】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催告后被代理人的沉默解释为拒绝追认</w:t>
            </w:r>
          </w:p>
        </w:tc>
      </w:tr>
      <w:tr w:rsidR="00A771AD" w:rsidRPr="00A771AD" w14:paraId="21D1115D" w14:textId="77777777" w:rsidTr="00AD4BFA">
        <w:trPr>
          <w:jc w:val="center"/>
        </w:trPr>
        <w:tc>
          <w:tcPr>
            <w:tcW w:w="1124" w:type="dxa"/>
            <w:vMerge/>
            <w:shd w:val="clear" w:color="auto" w:fill="auto"/>
            <w:vAlign w:val="center"/>
          </w:tcPr>
          <w:p w14:paraId="60420374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8B5287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6105" w:type="dxa"/>
            <w:shd w:val="clear" w:color="auto" w:fill="auto"/>
            <w:vAlign w:val="center"/>
          </w:tcPr>
          <w:p w14:paraId="711A879A" w14:textId="231293BA" w:rsidR="00A771AD" w:rsidRPr="00A771AD" w:rsidRDefault="00A771AD" w:rsidP="00B22501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（4）善意相对人的撤销权</w:t>
            </w:r>
            <w:r w:rsidRPr="00A771AD">
              <w:rPr>
                <w:rFonts w:ascii="宋体" w:eastAsia="宋体" w:hAnsi="宋体" w:cs="Times New Roman" w:hint="eastAsia"/>
                <w:color w:val="FF0000"/>
                <w:sz w:val="21"/>
                <w:szCs w:val="21"/>
                <w14:ligatures w14:val="none"/>
              </w:rPr>
              <w:t>【注意】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仅善意相对人享有撤销权</w:t>
            </w:r>
          </w:p>
        </w:tc>
      </w:tr>
      <w:tr w:rsidR="00A771AD" w:rsidRPr="00A771AD" w14:paraId="270E4AD9" w14:textId="77777777" w:rsidTr="00AD4BFA">
        <w:trPr>
          <w:jc w:val="center"/>
        </w:trPr>
        <w:tc>
          <w:tcPr>
            <w:tcW w:w="1124" w:type="dxa"/>
            <w:vMerge/>
            <w:shd w:val="clear" w:color="auto" w:fill="auto"/>
            <w:vAlign w:val="center"/>
          </w:tcPr>
          <w:p w14:paraId="6C93DE58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C5D3B2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2．代理人与相对人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63574C12" w14:textId="12560390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（1）善意相对人有权请求无权代理人履行债务或赔偿（二选一）</w:t>
            </w:r>
          </w:p>
        </w:tc>
      </w:tr>
      <w:tr w:rsidR="00A771AD" w:rsidRPr="00A771AD" w14:paraId="72C54AA0" w14:textId="77777777" w:rsidTr="00AD4BFA">
        <w:trPr>
          <w:jc w:val="center"/>
        </w:trPr>
        <w:tc>
          <w:tcPr>
            <w:tcW w:w="1124" w:type="dxa"/>
            <w:vMerge/>
            <w:shd w:val="clear" w:color="auto" w:fill="auto"/>
            <w:vAlign w:val="center"/>
          </w:tcPr>
          <w:p w14:paraId="6A5A276B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FA723BE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6105" w:type="dxa"/>
            <w:shd w:val="clear" w:color="auto" w:fill="auto"/>
            <w:vAlign w:val="center"/>
          </w:tcPr>
          <w:p w14:paraId="6A12EAC4" w14:textId="08D35B32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（2）恶意相对人有权请求无权代理人赔偿（过错相抵）</w:t>
            </w:r>
          </w:p>
        </w:tc>
      </w:tr>
    </w:tbl>
    <w:p w14:paraId="4FB59E22" w14:textId="22D8FBED" w:rsidR="00A771AD" w:rsidRPr="00A771AD" w:rsidRDefault="00A771AD" w:rsidP="00A771AD">
      <w:pPr>
        <w:keepNext/>
        <w:keepLines/>
        <w:spacing w:after="0" w:line="480" w:lineRule="exact"/>
        <w:jc w:val="center"/>
        <w:outlineLvl w:val="0"/>
        <w:rPr>
          <w:rFonts w:ascii="宋体" w:eastAsia="宋体" w:hAnsi="宋体" w:cs="汉仪大宋简" w:hint="eastAsia"/>
          <w:b/>
          <w:bCs/>
          <w:kern w:val="44"/>
          <w:sz w:val="21"/>
          <w:szCs w:val="21"/>
          <w14:ligatures w14:val="none"/>
        </w:rPr>
      </w:pPr>
      <w:bookmarkStart w:id="3" w:name="_Toc21165"/>
      <w:bookmarkStart w:id="4" w:name="_Toc200399937"/>
      <w:r w:rsidRPr="00A771AD">
        <w:rPr>
          <w:rFonts w:ascii="宋体" w:eastAsia="宋体" w:hAnsi="宋体" w:cs="汉仪大宋简" w:hint="eastAsia"/>
          <w:b/>
          <w:bCs/>
          <w:kern w:val="44"/>
          <w:sz w:val="21"/>
          <w:szCs w:val="21"/>
          <w14:ligatures w14:val="none"/>
        </w:rPr>
        <w:t>专题三  物权变动</w:t>
      </w:r>
      <w:bookmarkEnd w:id="3"/>
      <w:bookmarkEnd w:id="4"/>
      <w:r w:rsidR="003E244B">
        <w:rPr>
          <w:rFonts w:ascii="宋体" w:eastAsia="宋体" w:hAnsi="宋体" w:cs="汉仪大宋简" w:hint="eastAsia"/>
          <w:b/>
          <w:bCs/>
          <w:kern w:val="44"/>
          <w:sz w:val="21"/>
          <w:szCs w:val="21"/>
          <w14:ligatures w14:val="none"/>
        </w:rPr>
        <w:t>（22:15</w:t>
      </w:r>
      <w:r w:rsidR="00B22501">
        <w:rPr>
          <w:rFonts w:ascii="宋体" w:eastAsia="宋体" w:hAnsi="宋体" w:cs="汉仪大宋简" w:hint="eastAsia"/>
          <w:b/>
          <w:bCs/>
          <w:kern w:val="44"/>
          <w:sz w:val="21"/>
          <w:szCs w:val="21"/>
          <w14:ligatures w14:val="none"/>
        </w:rPr>
        <w:t>-22:47</w:t>
      </w:r>
      <w:r w:rsidR="003E244B">
        <w:rPr>
          <w:rFonts w:ascii="宋体" w:eastAsia="宋体" w:hAnsi="宋体" w:cs="汉仪大宋简" w:hint="eastAsia"/>
          <w:b/>
          <w:bCs/>
          <w:kern w:val="44"/>
          <w:sz w:val="21"/>
          <w:szCs w:val="21"/>
          <w14:ligatures w14:val="none"/>
        </w:rPr>
        <w:t>）</w:t>
      </w:r>
    </w:p>
    <w:p w14:paraId="6B7D34BC" w14:textId="77777777" w:rsidR="00A771AD" w:rsidRPr="00A771AD" w:rsidRDefault="00A771AD" w:rsidP="00A771AD">
      <w:pPr>
        <w:spacing w:after="0" w:line="384" w:lineRule="exact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一、物权变动的区分原则</w:t>
      </w:r>
    </w:p>
    <w:p w14:paraId="353FCEF1" w14:textId="32EFF87B" w:rsidR="00A771AD" w:rsidRPr="00A771AD" w:rsidRDefault="003E244B" w:rsidP="00A771AD">
      <w:pPr>
        <w:spacing w:after="0" w:line="384" w:lineRule="exact"/>
        <w:ind w:firstLineChars="200" w:firstLine="420"/>
        <w:jc w:val="both"/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1.</w:t>
      </w:r>
      <w:r w:rsidR="00A771AD"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动产买卖合同自成立时生效，是否交付影响动产所有权的变动，但不影响买卖合同的效力。</w:t>
      </w:r>
    </w:p>
    <w:p w14:paraId="6BF2B45D" w14:textId="018D1ED7" w:rsidR="00A771AD" w:rsidRPr="00A771AD" w:rsidRDefault="003E244B" w:rsidP="00A771AD">
      <w:pPr>
        <w:spacing w:after="0" w:line="384" w:lineRule="exact"/>
        <w:ind w:firstLineChars="200" w:firstLine="420"/>
        <w:jc w:val="both"/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2.</w:t>
      </w:r>
      <w:r w:rsidR="00A771AD"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当事人之间订立建设用地使用权出让或转让合同的，尽管建设用地使用权转让的物权效力自完成不动产登记之时始发生，但该出让或转让合同自订立之时发生效力。</w:t>
      </w:r>
    </w:p>
    <w:p w14:paraId="58FE4932" w14:textId="6E2AC636" w:rsidR="00A771AD" w:rsidRPr="00A771AD" w:rsidRDefault="00406037" w:rsidP="00A771AD">
      <w:pPr>
        <w:spacing w:after="0" w:line="384" w:lineRule="exact"/>
        <w:ind w:firstLineChars="200" w:firstLine="420"/>
        <w:jc w:val="both"/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3.</w:t>
      </w:r>
      <w:r w:rsidR="00A771AD"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以不动产作抵押的，抵押权自办理抵押登记时设立，但抵押合同仍自订立时生效。</w:t>
      </w:r>
    </w:p>
    <w:p w14:paraId="2E4AF548" w14:textId="3E130421" w:rsidR="00A771AD" w:rsidRPr="00A771AD" w:rsidRDefault="00406037" w:rsidP="00A771AD">
      <w:pPr>
        <w:spacing w:after="0" w:line="384" w:lineRule="exact"/>
        <w:ind w:firstLineChars="200" w:firstLine="420"/>
        <w:jc w:val="both"/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4.</w:t>
      </w:r>
      <w:r w:rsidR="00A771AD"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以动产质押时，质押合同自成立时生效，是否交付质押财产，影响质权是否成立，但不影响质押合同的效力。</w:t>
      </w:r>
    </w:p>
    <w:p w14:paraId="7F84708C" w14:textId="679BBCC4" w:rsidR="00A771AD" w:rsidRPr="00A771AD" w:rsidRDefault="00A771AD" w:rsidP="00292C97">
      <w:pPr>
        <w:spacing w:after="0" w:line="384" w:lineRule="exact"/>
        <w:rPr>
          <w:rFonts w:ascii="宋体" w:eastAsia="宋体" w:hAnsi="宋体" w:cs="汉仪大宋简" w:hint="eastAsia"/>
          <w:b/>
          <w:color w:val="4472C4" w:themeColor="accent1"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二、基于民事法律行为的物权变动</w:t>
      </w:r>
      <w:r w:rsidR="00406037" w:rsidRPr="00732EFF">
        <w:rPr>
          <w:rFonts w:ascii="宋体" w:eastAsia="宋体" w:hAnsi="宋体" w:cs="汉仪大宋简" w:hint="eastAsia"/>
          <w:b/>
          <w:color w:val="4472C4" w:themeColor="accent1"/>
          <w:sz w:val="21"/>
          <w:szCs w:val="21"/>
          <w14:ligatures w14:val="none"/>
        </w:rPr>
        <w:t>（</w:t>
      </w:r>
      <w:r w:rsidR="00732EFF" w:rsidRPr="00732EFF">
        <w:rPr>
          <w:rFonts w:ascii="宋体" w:eastAsia="宋体" w:hAnsi="宋体" w:cs="汉仪大宋简" w:hint="eastAsia"/>
          <w:b/>
          <w:color w:val="4472C4" w:themeColor="accent1"/>
          <w:sz w:val="21"/>
          <w:szCs w:val="21"/>
          <w14:ligatures w14:val="none"/>
        </w:rPr>
        <w:t>可以称之为交易，需要考虑交易安全</w:t>
      </w:r>
      <w:r w:rsidR="00406037" w:rsidRPr="00732EFF">
        <w:rPr>
          <w:rFonts w:ascii="宋体" w:eastAsia="宋体" w:hAnsi="宋体" w:cs="汉仪大宋简" w:hint="eastAsia"/>
          <w:b/>
          <w:color w:val="4472C4" w:themeColor="accent1"/>
          <w:sz w:val="21"/>
          <w:szCs w:val="21"/>
          <w14:ligatures w14:val="none"/>
        </w:rPr>
        <w:t>）</w:t>
      </w:r>
    </w:p>
    <w:p w14:paraId="16DEA033" w14:textId="77777777" w:rsidR="00A771AD" w:rsidRPr="00A771AD" w:rsidRDefault="00A771AD" w:rsidP="00A771AD">
      <w:pPr>
        <w:spacing w:after="0" w:line="384" w:lineRule="exact"/>
        <w:ind w:firstLineChars="130" w:firstLine="274"/>
        <w:jc w:val="both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（一）物权变动的公示原则</w:t>
      </w:r>
    </w:p>
    <w:p w14:paraId="75B48962" w14:textId="176B70D3" w:rsidR="00A771AD" w:rsidRPr="00A771AD" w:rsidRDefault="00A771AD" w:rsidP="00A771AD">
      <w:pPr>
        <w:spacing w:after="0" w:line="384" w:lineRule="exact"/>
        <w:ind w:firstLineChars="200" w:firstLine="420"/>
        <w:jc w:val="both"/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</w:pPr>
      <w:r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基于民事法律行为的物权变动需要公示（不动产登记与动产交付）；非基于民事法律行为的物权变动（如基于法律文书、继承、建造拆除等事实行为）不需要公示。</w:t>
      </w:r>
    </w:p>
    <w:p w14:paraId="1275CA68" w14:textId="5E0BD5BE" w:rsidR="00A771AD" w:rsidRPr="00A771AD" w:rsidRDefault="00A771AD" w:rsidP="00A771AD">
      <w:pPr>
        <w:spacing w:after="0" w:line="384" w:lineRule="exact"/>
        <w:ind w:firstLineChars="200" w:firstLine="420"/>
        <w:jc w:val="both"/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</w:pPr>
      <w:r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1</w:t>
      </w:r>
      <w:r w:rsidR="00732EFF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．</w:t>
      </w:r>
      <w:r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动产抵押权自抵押合同生效时成立，未登记不得对抗善意第三人。</w:t>
      </w:r>
    </w:p>
    <w:p w14:paraId="5288CC5F" w14:textId="1C9CB7CB" w:rsidR="00A771AD" w:rsidRPr="00A771AD" w:rsidRDefault="00A771AD" w:rsidP="00732EFF">
      <w:pPr>
        <w:spacing w:after="0" w:line="384" w:lineRule="exact"/>
        <w:ind w:firstLineChars="200" w:firstLine="420"/>
        <w:jc w:val="both"/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</w:pPr>
      <w:r w:rsidRPr="00A771AD">
        <w:rPr>
          <w:rFonts w:ascii="宋体" w:eastAsia="宋体" w:hAnsi="宋体" w:cs="宋体" w:hint="eastAsia"/>
          <w:bCs/>
          <w:color w:val="000000"/>
          <w:sz w:val="21"/>
          <w:szCs w:val="21"/>
          <w14:ligatures w14:val="none"/>
        </w:rPr>
        <w:t>2．所有权保留买卖中出卖人保留的所有权，未登记不得对抗善意第三人。</w:t>
      </w:r>
    </w:p>
    <w:p w14:paraId="319C6E5A" w14:textId="43439E0B" w:rsidR="00A771AD" w:rsidRPr="00A771AD" w:rsidRDefault="00A771AD" w:rsidP="00732EFF">
      <w:pPr>
        <w:spacing w:after="0" w:line="384" w:lineRule="exact"/>
        <w:ind w:firstLineChars="130" w:firstLine="274"/>
        <w:jc w:val="both"/>
        <w:rPr>
          <w:rFonts w:ascii="宋体" w:eastAsia="宋体" w:hAnsi="宋体" w:cs="汉仪大宋简" w:hint="eastAsia"/>
          <w:b/>
          <w:sz w:val="21"/>
          <w:szCs w:val="21"/>
          <w14:ligatures w14:val="none"/>
        </w:rPr>
      </w:pPr>
      <w:r w:rsidRPr="00A771AD">
        <w:rPr>
          <w:rFonts w:ascii="宋体" w:eastAsia="宋体" w:hAnsi="宋体" w:cs="汉仪大宋简" w:hint="eastAsia"/>
          <w:b/>
          <w:sz w:val="21"/>
          <w:szCs w:val="21"/>
          <w14:ligatures w14:val="none"/>
        </w:rPr>
        <w:t>（二）几种特殊的不动产登记</w:t>
      </w:r>
    </w:p>
    <w:tbl>
      <w:tblPr>
        <w:tblW w:w="8522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2268"/>
        <w:gridCol w:w="4988"/>
      </w:tblGrid>
      <w:tr w:rsidR="00A771AD" w:rsidRPr="00A771AD" w14:paraId="2EA0D815" w14:textId="77777777" w:rsidTr="00AD4BFA">
        <w:trPr>
          <w:jc w:val="center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59423707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更正登记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45FA8E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适用场景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03AA12D3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bCs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登记簿存在错误</w:t>
            </w:r>
          </w:p>
        </w:tc>
      </w:tr>
      <w:tr w:rsidR="00A771AD" w:rsidRPr="00A771AD" w14:paraId="30EEBE96" w14:textId="77777777" w:rsidTr="00AD4BFA">
        <w:trPr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6B8E76A4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6A69B0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权利人申请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3465655F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bCs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须提供证据证明登记错误</w:t>
            </w:r>
          </w:p>
        </w:tc>
      </w:tr>
      <w:tr w:rsidR="00A771AD" w:rsidRPr="00A771AD" w14:paraId="2637D701" w14:textId="77777777" w:rsidTr="00AD4BFA">
        <w:trPr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5212487F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741F55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利害关系人申请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5BE2C8A2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须经登记权利人书面同意</w:t>
            </w:r>
          </w:p>
        </w:tc>
      </w:tr>
      <w:tr w:rsidR="00A771AD" w:rsidRPr="00A771AD" w14:paraId="3E3F0DC1" w14:textId="77777777" w:rsidTr="00AD4BFA">
        <w:trPr>
          <w:jc w:val="center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47400745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异议登记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63CDF6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功能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55E145C9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bCs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对真正的不动产权利人提供临时性保护</w:t>
            </w:r>
          </w:p>
        </w:tc>
      </w:tr>
      <w:tr w:rsidR="00A771AD" w:rsidRPr="00A771AD" w14:paraId="70EE9E7E" w14:textId="77777777" w:rsidTr="00AD4BFA">
        <w:trPr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13FF87DF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0C38EC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法律效力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68F09770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阻却登记簿的公信力，防止第三人善意取得</w:t>
            </w:r>
          </w:p>
        </w:tc>
      </w:tr>
      <w:tr w:rsidR="00A771AD" w:rsidRPr="00A771AD" w14:paraId="24E9190E" w14:textId="77777777" w:rsidTr="00AD4BFA">
        <w:trPr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0D433CD1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80C6E9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失效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525BC032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bCs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申请人应在异议登记之日起15日内起诉，</w:t>
            </w:r>
            <w:r w:rsidRPr="00A771AD">
              <w:rPr>
                <w:rFonts w:ascii="宋体" w:eastAsia="宋体" w:hAnsi="宋体" w:cs="Times New Roman" w:hint="eastAsia"/>
                <w:bCs/>
                <w:color w:val="EE0000"/>
                <w:sz w:val="21"/>
                <w:szCs w:val="21"/>
                <w14:ligatures w14:val="none"/>
              </w:rPr>
              <w:t>逾期不起诉的，异议登记失去效力</w:t>
            </w:r>
          </w:p>
        </w:tc>
      </w:tr>
      <w:tr w:rsidR="00A771AD" w:rsidRPr="00A771AD" w14:paraId="00B515AF" w14:textId="77777777" w:rsidTr="00AD4BFA">
        <w:trPr>
          <w:jc w:val="center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1D72EE3A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所有权预告登记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29ED20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功能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2C7ADE76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bCs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防止开发商一房二卖，确保购房人取得房屋所有权</w:t>
            </w:r>
          </w:p>
        </w:tc>
      </w:tr>
      <w:tr w:rsidR="00A771AD" w:rsidRPr="00A771AD" w14:paraId="1F091270" w14:textId="77777777" w:rsidTr="00AD4BFA">
        <w:trPr>
          <w:trHeight w:val="60"/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3E0D929F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BEB282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适用场景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13D2F4E1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bCs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商品房预售等</w:t>
            </w:r>
          </w:p>
        </w:tc>
      </w:tr>
      <w:tr w:rsidR="00A771AD" w:rsidRPr="00A771AD" w14:paraId="377AABE7" w14:textId="77777777" w:rsidTr="00AD4BFA">
        <w:trPr>
          <w:trHeight w:val="60"/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3A151D18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09E35B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法律效力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3163F865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限制处分效力</w:t>
            </w: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，即未经预告登记的权利人同意而处分时，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不发生物权效力</w:t>
            </w:r>
          </w:p>
          <w:p w14:paraId="633D0877" w14:textId="6BD29828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bCs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bCs/>
                <w:color w:val="FF0000"/>
                <w:sz w:val="21"/>
                <w:szCs w:val="21"/>
                <w14:ligatures w14:val="none"/>
              </w:rPr>
              <w:t>【注意】</w:t>
            </w: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预告登记在债权层面不发生效力，办理预告登记后再签订房屋买卖合同，房屋买卖合同效力不受</w:t>
            </w: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lastRenderedPageBreak/>
              <w:t>影响</w:t>
            </w:r>
          </w:p>
        </w:tc>
      </w:tr>
      <w:tr w:rsidR="00A771AD" w:rsidRPr="00A771AD" w14:paraId="0C1EA2D9" w14:textId="77777777" w:rsidTr="00AD4BFA">
        <w:trPr>
          <w:trHeight w:val="60"/>
          <w:jc w:val="center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78217B41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lastRenderedPageBreak/>
              <w:t>抵押权预告登记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82719D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功能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224D5766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确保银行等债权人取得抵押权</w:t>
            </w:r>
          </w:p>
        </w:tc>
      </w:tr>
      <w:tr w:rsidR="00A771AD" w:rsidRPr="00A771AD" w14:paraId="3224C573" w14:textId="77777777" w:rsidTr="00AD4BFA">
        <w:trPr>
          <w:trHeight w:val="60"/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0E5A1A8E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B96425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适用场景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3043BFE0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预售商品房抵押</w:t>
            </w:r>
          </w:p>
        </w:tc>
      </w:tr>
      <w:tr w:rsidR="00A771AD" w:rsidRPr="00A771AD" w14:paraId="62365C6D" w14:textId="77777777" w:rsidTr="00AD4BFA">
        <w:trPr>
          <w:trHeight w:val="60"/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47B794C9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8D3ABD9" w14:textId="73A98D46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具备优先受偿效力的前提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1B7492F4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1．</w:t>
            </w:r>
            <w:r w:rsidRPr="00A771AD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已经办理建筑物所有权首次登记</w:t>
            </w:r>
          </w:p>
        </w:tc>
      </w:tr>
      <w:tr w:rsidR="00A771AD" w:rsidRPr="00A771AD" w14:paraId="3CD8D6AB" w14:textId="77777777" w:rsidTr="00AD4BFA">
        <w:trPr>
          <w:trHeight w:val="60"/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5A84ADDE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F0F098C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14:paraId="6EEE08E9" w14:textId="77777777" w:rsidR="00A771AD" w:rsidRPr="00A771AD" w:rsidRDefault="00A771AD" w:rsidP="00A771AD">
            <w:pPr>
              <w:spacing w:beforeLines="10" w:before="31" w:afterLines="20" w:after="62" w:line="280" w:lineRule="exact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A771AD">
              <w:rPr>
                <w:rFonts w:ascii="宋体" w:eastAsia="宋体" w:hAnsi="宋体" w:cs="Times New Roman" w:hint="eastAsia"/>
                <w:bCs/>
                <w:color w:val="000000"/>
                <w:sz w:val="21"/>
                <w:szCs w:val="21"/>
                <w14:ligatures w14:val="none"/>
              </w:rPr>
              <w:t>2．预告登记尚未失效</w:t>
            </w:r>
          </w:p>
        </w:tc>
      </w:tr>
    </w:tbl>
    <w:p w14:paraId="2026C9C7" w14:textId="77777777" w:rsidR="00A771AD" w:rsidRPr="00A771AD" w:rsidRDefault="00A771AD" w:rsidP="00B22501">
      <w:pPr>
        <w:spacing w:after="0" w:line="384" w:lineRule="exact"/>
        <w:ind w:firstLineChars="130" w:firstLine="273"/>
        <w:jc w:val="both"/>
        <w:rPr>
          <w:rFonts w:ascii="宋体" w:eastAsia="宋体" w:hAnsi="宋体"/>
          <w:sz w:val="21"/>
          <w:szCs w:val="21"/>
        </w:rPr>
      </w:pPr>
    </w:p>
    <w:sectPr w:rsidR="00A771AD" w:rsidRPr="00A771A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2E522" w14:textId="77777777" w:rsidR="00DE6760" w:rsidRDefault="00DE6760" w:rsidP="00B2250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AA72618" w14:textId="77777777" w:rsidR="00DE6760" w:rsidRDefault="00DE6760" w:rsidP="00B2250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EMY ENGRAVED LET PLAIN:1.0">
    <w:altName w:val="Wide Latin"/>
    <w:charset w:val="00"/>
    <w:family w:val="auto"/>
    <w:pitch w:val="default"/>
    <w:sig w:usb0="00000000" w:usb1="00000000" w:usb2="00000000" w:usb3="00000000" w:csb0="00000001" w:csb1="00000000"/>
  </w:font>
  <w:font w:name="汉仪大宋简">
    <w:altName w:val="微软雅黑"/>
    <w:charset w:val="86"/>
    <w:family w:val="modern"/>
    <w:pitch w:val="fixed"/>
    <w:sig w:usb0="00000001" w:usb1="080E0800" w:usb2="00000012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3314217"/>
      <w:docPartObj>
        <w:docPartGallery w:val="Page Numbers (Bottom of Page)"/>
        <w:docPartUnique/>
      </w:docPartObj>
    </w:sdtPr>
    <w:sdtContent>
      <w:p w14:paraId="5F74EE8F" w14:textId="67EF860F" w:rsidR="00B22501" w:rsidRDefault="00B22501">
        <w:pPr>
          <w:pStyle w:val="af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3CFFB6" w14:textId="77777777" w:rsidR="00B22501" w:rsidRDefault="00B22501">
    <w:pPr>
      <w:pStyle w:val="af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561AA" w14:textId="77777777" w:rsidR="00DE6760" w:rsidRDefault="00DE6760" w:rsidP="00B2250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25DC498" w14:textId="77777777" w:rsidR="00DE6760" w:rsidRDefault="00DE6760" w:rsidP="00B2250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AD"/>
    <w:rsid w:val="00292C97"/>
    <w:rsid w:val="002B7EBE"/>
    <w:rsid w:val="0034036A"/>
    <w:rsid w:val="003E244B"/>
    <w:rsid w:val="00406037"/>
    <w:rsid w:val="005F2DBF"/>
    <w:rsid w:val="00732EFF"/>
    <w:rsid w:val="00855290"/>
    <w:rsid w:val="009A7D90"/>
    <w:rsid w:val="00A771AD"/>
    <w:rsid w:val="00AA7B01"/>
    <w:rsid w:val="00AD71D6"/>
    <w:rsid w:val="00B22501"/>
    <w:rsid w:val="00D35497"/>
    <w:rsid w:val="00D43657"/>
    <w:rsid w:val="00D74DD6"/>
    <w:rsid w:val="00DE6760"/>
    <w:rsid w:val="00E16798"/>
    <w:rsid w:val="00F5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E91EA"/>
  <w15:chartTrackingRefBased/>
  <w15:docId w15:val="{2B45D422-D1A5-444D-9BD2-C8436F1D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77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A77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77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A77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qFormat/>
    <w:rsid w:val="00A77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qFormat/>
    <w:rsid w:val="00A77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A77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qFormat/>
    <w:rsid w:val="00A77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qFormat/>
    <w:rsid w:val="00A77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1AD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A77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1AD"/>
    <w:rPr>
      <w:b/>
      <w:bCs/>
      <w:smallCaps/>
      <w:color w:val="2F5496" w:themeColor="accent1" w:themeShade="BF"/>
      <w:spacing w:val="5"/>
    </w:rPr>
  </w:style>
  <w:style w:type="numbering" w:customStyle="1" w:styleId="11">
    <w:name w:val="无列表1"/>
    <w:next w:val="a2"/>
    <w:uiPriority w:val="99"/>
    <w:semiHidden/>
    <w:unhideWhenUsed/>
    <w:rsid w:val="00A771AD"/>
  </w:style>
  <w:style w:type="paragraph" w:styleId="TOC7">
    <w:name w:val="toc 7"/>
    <w:basedOn w:val="a"/>
    <w:next w:val="a"/>
    <w:uiPriority w:val="39"/>
    <w:unhideWhenUsed/>
    <w:qFormat/>
    <w:rsid w:val="00A771AD"/>
    <w:pPr>
      <w:spacing w:after="0" w:line="240" w:lineRule="auto"/>
      <w:ind w:left="1260"/>
      <w:jc w:val="both"/>
    </w:pPr>
    <w:rPr>
      <w:rFonts w:ascii="宋体" w:eastAsia="宋体" w:hAnsi="宋体" w:cs="宋体"/>
      <w:color w:val="000000"/>
      <w:sz w:val="21"/>
      <w:szCs w:val="21"/>
      <w14:ligatures w14:val="none"/>
    </w:rPr>
  </w:style>
  <w:style w:type="paragraph" w:styleId="ae">
    <w:name w:val="Document Map"/>
    <w:basedOn w:val="a"/>
    <w:link w:val="af"/>
    <w:unhideWhenUsed/>
    <w:qFormat/>
    <w:rsid w:val="00A771AD"/>
    <w:pPr>
      <w:spacing w:after="0" w:line="240" w:lineRule="auto"/>
      <w:jc w:val="both"/>
    </w:pPr>
    <w:rPr>
      <w:rFonts w:ascii="宋体" w:eastAsia="宋体" w:hAnsi="宋体" w:cs="宋体"/>
      <w:color w:val="000000"/>
      <w:sz w:val="24"/>
      <w14:ligatures w14:val="none"/>
    </w:rPr>
  </w:style>
  <w:style w:type="character" w:customStyle="1" w:styleId="af">
    <w:name w:val="文档结构图 字符"/>
    <w:basedOn w:val="a0"/>
    <w:link w:val="ae"/>
    <w:qFormat/>
    <w:rsid w:val="00A771AD"/>
    <w:rPr>
      <w:rFonts w:ascii="宋体" w:eastAsia="宋体" w:hAnsi="宋体" w:cs="宋体"/>
      <w:color w:val="000000"/>
      <w:sz w:val="24"/>
      <w14:ligatures w14:val="none"/>
    </w:rPr>
  </w:style>
  <w:style w:type="paragraph" w:styleId="af0">
    <w:name w:val="annotation text"/>
    <w:basedOn w:val="a"/>
    <w:link w:val="af1"/>
    <w:unhideWhenUsed/>
    <w:qFormat/>
    <w:rsid w:val="00A771AD"/>
    <w:pPr>
      <w:spacing w:after="0" w:line="240" w:lineRule="auto"/>
    </w:pPr>
    <w:rPr>
      <w:rFonts w:ascii="宋体" w:eastAsia="宋体" w:hAnsi="宋体" w:cs="宋体"/>
      <w:color w:val="000000"/>
      <w:sz w:val="21"/>
      <w:szCs w:val="21"/>
      <w14:ligatures w14:val="none"/>
    </w:rPr>
  </w:style>
  <w:style w:type="character" w:customStyle="1" w:styleId="af1">
    <w:name w:val="批注文字 字符"/>
    <w:basedOn w:val="a0"/>
    <w:link w:val="af0"/>
    <w:qFormat/>
    <w:rsid w:val="00A771AD"/>
    <w:rPr>
      <w:rFonts w:ascii="宋体" w:eastAsia="宋体" w:hAnsi="宋体" w:cs="宋体"/>
      <w:color w:val="000000"/>
      <w:sz w:val="21"/>
      <w:szCs w:val="21"/>
      <w14:ligatures w14:val="none"/>
    </w:rPr>
  </w:style>
  <w:style w:type="paragraph" w:styleId="TOC5">
    <w:name w:val="toc 5"/>
    <w:basedOn w:val="a"/>
    <w:next w:val="a"/>
    <w:uiPriority w:val="39"/>
    <w:unhideWhenUsed/>
    <w:qFormat/>
    <w:rsid w:val="00A771AD"/>
    <w:pPr>
      <w:spacing w:after="0" w:line="240" w:lineRule="auto"/>
      <w:ind w:left="840"/>
      <w:jc w:val="both"/>
    </w:pPr>
    <w:rPr>
      <w:rFonts w:ascii="宋体" w:eastAsia="宋体" w:hAnsi="宋体" w:cs="宋体"/>
      <w:color w:val="000000"/>
      <w:sz w:val="21"/>
      <w:szCs w:val="21"/>
      <w14:ligatures w14:val="none"/>
    </w:rPr>
  </w:style>
  <w:style w:type="paragraph" w:styleId="TOC3">
    <w:name w:val="toc 3"/>
    <w:basedOn w:val="a"/>
    <w:next w:val="a"/>
    <w:uiPriority w:val="39"/>
    <w:unhideWhenUsed/>
    <w:qFormat/>
    <w:rsid w:val="00A771AD"/>
    <w:pPr>
      <w:spacing w:after="0" w:line="240" w:lineRule="auto"/>
      <w:ind w:left="420"/>
      <w:jc w:val="both"/>
    </w:pPr>
    <w:rPr>
      <w:rFonts w:ascii="宋体" w:eastAsia="宋体" w:hAnsi="宋体" w:cs="宋体"/>
      <w:color w:val="000000"/>
      <w:sz w:val="21"/>
      <w:szCs w:val="21"/>
      <w14:ligatures w14:val="none"/>
    </w:rPr>
  </w:style>
  <w:style w:type="paragraph" w:styleId="af2">
    <w:name w:val="Plain Text"/>
    <w:basedOn w:val="a"/>
    <w:link w:val="af3"/>
    <w:unhideWhenUsed/>
    <w:qFormat/>
    <w:rsid w:val="00A771AD"/>
    <w:pPr>
      <w:spacing w:after="0" w:line="240" w:lineRule="auto"/>
      <w:jc w:val="both"/>
    </w:pPr>
    <w:rPr>
      <w:rFonts w:ascii="宋体" w:eastAsia="宋体" w:hAnsi="Courier New" w:cs="Courier New"/>
      <w:color w:val="000000"/>
      <w:kern w:val="0"/>
      <w:sz w:val="20"/>
      <w:szCs w:val="21"/>
      <w14:ligatures w14:val="none"/>
    </w:rPr>
  </w:style>
  <w:style w:type="character" w:customStyle="1" w:styleId="af3">
    <w:name w:val="纯文本 字符"/>
    <w:basedOn w:val="a0"/>
    <w:link w:val="af2"/>
    <w:qFormat/>
    <w:rsid w:val="00A771AD"/>
    <w:rPr>
      <w:rFonts w:ascii="宋体" w:eastAsia="宋体" w:hAnsi="Courier New" w:cs="Courier New"/>
      <w:color w:val="000000"/>
      <w:kern w:val="0"/>
      <w:sz w:val="20"/>
      <w:szCs w:val="21"/>
      <w14:ligatures w14:val="none"/>
    </w:rPr>
  </w:style>
  <w:style w:type="paragraph" w:styleId="TOC8">
    <w:name w:val="toc 8"/>
    <w:basedOn w:val="a"/>
    <w:next w:val="a"/>
    <w:uiPriority w:val="39"/>
    <w:unhideWhenUsed/>
    <w:qFormat/>
    <w:rsid w:val="00A771AD"/>
    <w:pPr>
      <w:spacing w:after="0" w:line="240" w:lineRule="auto"/>
      <w:ind w:left="1470"/>
      <w:jc w:val="both"/>
    </w:pPr>
    <w:rPr>
      <w:rFonts w:ascii="宋体" w:eastAsia="宋体" w:hAnsi="宋体" w:cs="宋体"/>
      <w:color w:val="000000"/>
      <w:sz w:val="21"/>
      <w:szCs w:val="21"/>
      <w14:ligatures w14:val="none"/>
    </w:rPr>
  </w:style>
  <w:style w:type="paragraph" w:styleId="af4">
    <w:name w:val="Balloon Text"/>
    <w:basedOn w:val="a"/>
    <w:link w:val="af5"/>
    <w:unhideWhenUsed/>
    <w:qFormat/>
    <w:rsid w:val="00A771AD"/>
    <w:pPr>
      <w:spacing w:after="0" w:line="240" w:lineRule="auto"/>
      <w:jc w:val="both"/>
    </w:pPr>
    <w:rPr>
      <w:rFonts w:ascii="宋体" w:eastAsia="宋体" w:hAnsi="宋体" w:cs="宋体"/>
      <w:color w:val="000000"/>
      <w:sz w:val="18"/>
      <w:szCs w:val="18"/>
      <w14:ligatures w14:val="none"/>
    </w:rPr>
  </w:style>
  <w:style w:type="character" w:customStyle="1" w:styleId="af5">
    <w:name w:val="批注框文本 字符"/>
    <w:basedOn w:val="a0"/>
    <w:link w:val="af4"/>
    <w:qFormat/>
    <w:rsid w:val="00A771AD"/>
    <w:rPr>
      <w:rFonts w:ascii="宋体" w:eastAsia="宋体" w:hAnsi="宋体" w:cs="宋体"/>
      <w:color w:val="000000"/>
      <w:sz w:val="18"/>
      <w:szCs w:val="18"/>
      <w14:ligatures w14:val="none"/>
    </w:rPr>
  </w:style>
  <w:style w:type="paragraph" w:styleId="af6">
    <w:name w:val="footer"/>
    <w:basedOn w:val="a"/>
    <w:link w:val="af7"/>
    <w:uiPriority w:val="99"/>
    <w:unhideWhenUsed/>
    <w:qFormat/>
    <w:rsid w:val="00A771AD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宋体" w:eastAsia="宋体" w:hAnsi="宋体" w:cs="宋体"/>
      <w:color w:val="000000"/>
      <w:sz w:val="18"/>
      <w:szCs w:val="18"/>
      <w14:ligatures w14:val="none"/>
    </w:rPr>
  </w:style>
  <w:style w:type="character" w:customStyle="1" w:styleId="af7">
    <w:name w:val="页脚 字符"/>
    <w:basedOn w:val="a0"/>
    <w:link w:val="af6"/>
    <w:uiPriority w:val="99"/>
    <w:qFormat/>
    <w:rsid w:val="00A771AD"/>
    <w:rPr>
      <w:rFonts w:ascii="宋体" w:eastAsia="宋体" w:hAnsi="宋体" w:cs="宋体"/>
      <w:color w:val="000000"/>
      <w:sz w:val="18"/>
      <w:szCs w:val="18"/>
      <w14:ligatures w14:val="none"/>
    </w:rPr>
  </w:style>
  <w:style w:type="paragraph" w:styleId="af8">
    <w:name w:val="header"/>
    <w:basedOn w:val="a"/>
    <w:link w:val="af9"/>
    <w:unhideWhenUsed/>
    <w:qFormat/>
    <w:rsid w:val="00A7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宋体" w:eastAsia="宋体" w:hAnsi="宋体" w:cs="宋体"/>
      <w:color w:val="000000"/>
      <w:sz w:val="18"/>
      <w:szCs w:val="18"/>
      <w14:ligatures w14:val="none"/>
    </w:rPr>
  </w:style>
  <w:style w:type="character" w:customStyle="1" w:styleId="af9">
    <w:name w:val="页眉 字符"/>
    <w:basedOn w:val="a0"/>
    <w:link w:val="af8"/>
    <w:qFormat/>
    <w:rsid w:val="00A771AD"/>
    <w:rPr>
      <w:rFonts w:ascii="宋体" w:eastAsia="宋体" w:hAnsi="宋体" w:cs="宋体"/>
      <w:color w:val="000000"/>
      <w:sz w:val="18"/>
      <w:szCs w:val="18"/>
      <w14:ligatures w14:val="none"/>
    </w:rPr>
  </w:style>
  <w:style w:type="paragraph" w:styleId="TOC1">
    <w:name w:val="toc 1"/>
    <w:basedOn w:val="a"/>
    <w:next w:val="a"/>
    <w:uiPriority w:val="39"/>
    <w:unhideWhenUsed/>
    <w:qFormat/>
    <w:rsid w:val="00A771AD"/>
    <w:pPr>
      <w:spacing w:after="0" w:line="240" w:lineRule="auto"/>
      <w:jc w:val="both"/>
    </w:pPr>
    <w:rPr>
      <w:rFonts w:ascii="宋体" w:eastAsia="宋体" w:hAnsi="宋体" w:cs="宋体"/>
      <w:color w:val="000000"/>
      <w:sz w:val="21"/>
      <w:szCs w:val="21"/>
      <w14:ligatures w14:val="none"/>
    </w:rPr>
  </w:style>
  <w:style w:type="paragraph" w:styleId="TOC4">
    <w:name w:val="toc 4"/>
    <w:basedOn w:val="a"/>
    <w:next w:val="a"/>
    <w:uiPriority w:val="39"/>
    <w:unhideWhenUsed/>
    <w:qFormat/>
    <w:rsid w:val="00A771AD"/>
    <w:pPr>
      <w:spacing w:after="0" w:line="240" w:lineRule="auto"/>
      <w:ind w:left="630"/>
      <w:jc w:val="both"/>
    </w:pPr>
    <w:rPr>
      <w:rFonts w:ascii="宋体" w:eastAsia="宋体" w:hAnsi="宋体" w:cs="宋体"/>
      <w:color w:val="000000"/>
      <w:sz w:val="21"/>
      <w:szCs w:val="21"/>
      <w14:ligatures w14:val="none"/>
    </w:rPr>
  </w:style>
  <w:style w:type="paragraph" w:styleId="afa">
    <w:name w:val="footnote text"/>
    <w:basedOn w:val="a"/>
    <w:link w:val="afb"/>
    <w:unhideWhenUsed/>
    <w:qFormat/>
    <w:rsid w:val="00A771AD"/>
    <w:pPr>
      <w:snapToGrid w:val="0"/>
      <w:spacing w:after="0" w:line="240" w:lineRule="auto"/>
    </w:pPr>
    <w:rPr>
      <w:rFonts w:ascii="宋体" w:eastAsia="宋体" w:hAnsi="宋体" w:cs="宋体"/>
      <w:color w:val="000000"/>
      <w:sz w:val="18"/>
      <w:szCs w:val="21"/>
      <w14:ligatures w14:val="none"/>
    </w:rPr>
  </w:style>
  <w:style w:type="character" w:customStyle="1" w:styleId="afb">
    <w:name w:val="脚注文本 字符"/>
    <w:basedOn w:val="a0"/>
    <w:link w:val="afa"/>
    <w:qFormat/>
    <w:rsid w:val="00A771AD"/>
    <w:rPr>
      <w:rFonts w:ascii="宋体" w:eastAsia="宋体" w:hAnsi="宋体" w:cs="宋体"/>
      <w:color w:val="000000"/>
      <w:sz w:val="18"/>
      <w:szCs w:val="21"/>
      <w14:ligatures w14:val="none"/>
    </w:rPr>
  </w:style>
  <w:style w:type="paragraph" w:styleId="TOC6">
    <w:name w:val="toc 6"/>
    <w:basedOn w:val="a"/>
    <w:next w:val="a"/>
    <w:uiPriority w:val="39"/>
    <w:unhideWhenUsed/>
    <w:qFormat/>
    <w:rsid w:val="00A771AD"/>
    <w:pPr>
      <w:spacing w:after="0" w:line="240" w:lineRule="auto"/>
      <w:ind w:left="1050"/>
      <w:jc w:val="both"/>
    </w:pPr>
    <w:rPr>
      <w:rFonts w:ascii="宋体" w:eastAsia="宋体" w:hAnsi="宋体" w:cs="宋体"/>
      <w:color w:val="000000"/>
      <w:sz w:val="21"/>
      <w:szCs w:val="21"/>
      <w14:ligatures w14:val="none"/>
    </w:rPr>
  </w:style>
  <w:style w:type="paragraph" w:styleId="TOC2">
    <w:name w:val="toc 2"/>
    <w:basedOn w:val="a"/>
    <w:next w:val="a"/>
    <w:uiPriority w:val="39"/>
    <w:unhideWhenUsed/>
    <w:qFormat/>
    <w:rsid w:val="00A771AD"/>
    <w:pPr>
      <w:spacing w:after="0" w:line="240" w:lineRule="auto"/>
      <w:ind w:left="210"/>
      <w:jc w:val="both"/>
    </w:pPr>
    <w:rPr>
      <w:rFonts w:ascii="宋体" w:eastAsia="宋体" w:hAnsi="宋体" w:cs="宋体"/>
      <w:color w:val="000000"/>
      <w:sz w:val="21"/>
      <w:szCs w:val="21"/>
      <w14:ligatures w14:val="none"/>
    </w:rPr>
  </w:style>
  <w:style w:type="paragraph" w:styleId="TOC9">
    <w:name w:val="toc 9"/>
    <w:basedOn w:val="a"/>
    <w:next w:val="a"/>
    <w:uiPriority w:val="39"/>
    <w:unhideWhenUsed/>
    <w:qFormat/>
    <w:rsid w:val="00A771AD"/>
    <w:pPr>
      <w:spacing w:after="0" w:line="240" w:lineRule="auto"/>
      <w:ind w:left="1680"/>
      <w:jc w:val="both"/>
    </w:pPr>
    <w:rPr>
      <w:rFonts w:ascii="宋体" w:eastAsia="宋体" w:hAnsi="宋体" w:cs="宋体"/>
      <w:color w:val="000000"/>
      <w:sz w:val="21"/>
      <w:szCs w:val="21"/>
      <w14:ligatures w14:val="none"/>
    </w:rPr>
  </w:style>
  <w:style w:type="paragraph" w:styleId="afc">
    <w:name w:val="Normal (Web)"/>
    <w:basedOn w:val="a"/>
    <w:uiPriority w:val="99"/>
    <w:unhideWhenUsed/>
    <w:qFormat/>
    <w:rsid w:val="00A771AD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afd">
    <w:name w:val="annotation subject"/>
    <w:basedOn w:val="af0"/>
    <w:next w:val="af0"/>
    <w:link w:val="afe"/>
    <w:unhideWhenUsed/>
    <w:qFormat/>
    <w:rsid w:val="00A771AD"/>
    <w:rPr>
      <w:b/>
      <w:bCs/>
    </w:rPr>
  </w:style>
  <w:style w:type="character" w:customStyle="1" w:styleId="afe">
    <w:name w:val="批注主题 字符"/>
    <w:basedOn w:val="af1"/>
    <w:link w:val="afd"/>
    <w:qFormat/>
    <w:rsid w:val="00A771AD"/>
    <w:rPr>
      <w:rFonts w:ascii="宋体" w:eastAsia="宋体" w:hAnsi="宋体" w:cs="宋体"/>
      <w:b/>
      <w:bCs/>
      <w:color w:val="000000"/>
      <w:sz w:val="21"/>
      <w:szCs w:val="21"/>
      <w14:ligatures w14:val="none"/>
    </w:rPr>
  </w:style>
  <w:style w:type="table" w:customStyle="1" w:styleId="12">
    <w:name w:val="网格型1"/>
    <w:basedOn w:val="a1"/>
    <w:next w:val="aff"/>
    <w:qFormat/>
    <w:rsid w:val="00A771AD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qFormat/>
    <w:rsid w:val="00A771AD"/>
    <w:rPr>
      <w:b/>
    </w:rPr>
  </w:style>
  <w:style w:type="character" w:styleId="aff1">
    <w:name w:val="page number"/>
    <w:basedOn w:val="a0"/>
    <w:uiPriority w:val="99"/>
    <w:unhideWhenUsed/>
    <w:qFormat/>
    <w:rsid w:val="00A771AD"/>
  </w:style>
  <w:style w:type="character" w:styleId="aff2">
    <w:name w:val="FollowedHyperlink"/>
    <w:basedOn w:val="a0"/>
    <w:uiPriority w:val="99"/>
    <w:semiHidden/>
    <w:unhideWhenUsed/>
    <w:qFormat/>
    <w:rsid w:val="00A771AD"/>
    <w:rPr>
      <w:color w:val="954F72"/>
      <w:u w:val="single"/>
    </w:rPr>
  </w:style>
  <w:style w:type="character" w:customStyle="1" w:styleId="13">
    <w:name w:val="超链接1"/>
    <w:basedOn w:val="a0"/>
    <w:uiPriority w:val="99"/>
    <w:unhideWhenUsed/>
    <w:qFormat/>
    <w:rsid w:val="00A771AD"/>
    <w:rPr>
      <w:color w:val="0563C1"/>
      <w:u w:val="single"/>
    </w:rPr>
  </w:style>
  <w:style w:type="character" w:styleId="aff3">
    <w:name w:val="annotation reference"/>
    <w:basedOn w:val="a0"/>
    <w:unhideWhenUsed/>
    <w:qFormat/>
    <w:rsid w:val="00A771AD"/>
    <w:rPr>
      <w:sz w:val="21"/>
      <w:szCs w:val="21"/>
    </w:rPr>
  </w:style>
  <w:style w:type="character" w:styleId="aff4">
    <w:name w:val="footnote reference"/>
    <w:basedOn w:val="a0"/>
    <w:unhideWhenUsed/>
    <w:qFormat/>
    <w:rsid w:val="00A771AD"/>
    <w:rPr>
      <w:vertAlign w:val="superscript"/>
    </w:rPr>
  </w:style>
  <w:style w:type="paragraph" w:customStyle="1" w:styleId="msolistparagraph0">
    <w:name w:val="msolistparagraph"/>
    <w:basedOn w:val="a"/>
    <w:qFormat/>
    <w:rsid w:val="00A771AD"/>
    <w:pPr>
      <w:spacing w:after="0" w:line="240" w:lineRule="auto"/>
      <w:ind w:firstLineChars="200" w:firstLine="420"/>
      <w:jc w:val="both"/>
    </w:pPr>
    <w:rPr>
      <w:rFonts w:ascii="宋体" w:eastAsia="宋体" w:hAnsi="宋体" w:cs="Times New Roman" w:hint="eastAsia"/>
      <w:color w:val="000000"/>
      <w:sz w:val="24"/>
      <w14:ligatures w14:val="none"/>
    </w:rPr>
  </w:style>
  <w:style w:type="character" w:customStyle="1" w:styleId="14">
    <w:name w:val="页脚 字符1"/>
    <w:basedOn w:val="a0"/>
    <w:uiPriority w:val="99"/>
    <w:semiHidden/>
    <w:qFormat/>
    <w:rsid w:val="00A771AD"/>
    <w:rPr>
      <w:rFonts w:ascii="Calibri" w:eastAsia="宋体" w:hAnsi="Calibri" w:cs="Times New Roman"/>
      <w:sz w:val="18"/>
      <w:szCs w:val="18"/>
    </w:rPr>
  </w:style>
  <w:style w:type="character" w:customStyle="1" w:styleId="15">
    <w:name w:val="批注框文本 字符1"/>
    <w:basedOn w:val="a0"/>
    <w:uiPriority w:val="99"/>
    <w:semiHidden/>
    <w:qFormat/>
    <w:rsid w:val="00A771AD"/>
    <w:rPr>
      <w:rFonts w:ascii="宋体" w:eastAsia="宋体" w:hAnsi="Calibri" w:cs="Times New Roman"/>
      <w:sz w:val="18"/>
      <w:szCs w:val="18"/>
    </w:rPr>
  </w:style>
  <w:style w:type="character" w:customStyle="1" w:styleId="16">
    <w:name w:val="文档结构图 字符1"/>
    <w:basedOn w:val="a0"/>
    <w:uiPriority w:val="99"/>
    <w:semiHidden/>
    <w:qFormat/>
    <w:rsid w:val="00A771AD"/>
    <w:rPr>
      <w:rFonts w:ascii="ACADEMY ENGRAVED LET PLAIN:1.0" w:eastAsia="宋体" w:hAnsi="ACADEMY ENGRAVED LET PLAIN:1.0" w:cs="Times New Roman"/>
      <w:sz w:val="26"/>
      <w:szCs w:val="26"/>
    </w:rPr>
  </w:style>
  <w:style w:type="character" w:customStyle="1" w:styleId="17">
    <w:name w:val="纯文本 字符1"/>
    <w:basedOn w:val="a0"/>
    <w:uiPriority w:val="99"/>
    <w:semiHidden/>
    <w:qFormat/>
    <w:rsid w:val="00A771AD"/>
    <w:rPr>
      <w:rFonts w:ascii="等线" w:hAnsi="Courier New" w:cs="Courier New"/>
      <w:sz w:val="21"/>
    </w:rPr>
  </w:style>
  <w:style w:type="character" w:customStyle="1" w:styleId="18">
    <w:name w:val="脚注文本 字符1"/>
    <w:basedOn w:val="a0"/>
    <w:uiPriority w:val="99"/>
    <w:semiHidden/>
    <w:qFormat/>
    <w:rsid w:val="00A771AD"/>
    <w:rPr>
      <w:rFonts w:ascii="Calibri" w:eastAsia="宋体" w:hAnsi="Calibri" w:cs="Times New Roman"/>
      <w:sz w:val="18"/>
      <w:szCs w:val="18"/>
    </w:rPr>
  </w:style>
  <w:style w:type="character" w:customStyle="1" w:styleId="19">
    <w:name w:val="页眉 字符1"/>
    <w:basedOn w:val="a0"/>
    <w:uiPriority w:val="99"/>
    <w:semiHidden/>
    <w:qFormat/>
    <w:rsid w:val="00A771AD"/>
    <w:rPr>
      <w:rFonts w:ascii="Calibri" w:eastAsia="宋体" w:hAnsi="Calibri" w:cs="Times New Roman"/>
      <w:sz w:val="18"/>
      <w:szCs w:val="18"/>
    </w:rPr>
  </w:style>
  <w:style w:type="paragraph" w:customStyle="1" w:styleId="1a">
    <w:name w:val="列出段落1"/>
    <w:basedOn w:val="a"/>
    <w:uiPriority w:val="34"/>
    <w:qFormat/>
    <w:rsid w:val="00A771AD"/>
    <w:pPr>
      <w:spacing w:after="0" w:line="240" w:lineRule="auto"/>
      <w:ind w:firstLineChars="200" w:firstLine="420"/>
      <w:jc w:val="both"/>
    </w:pPr>
    <w:rPr>
      <w:rFonts w:ascii="Calibri" w:eastAsia="宋体" w:hAnsi="Calibri" w:cs="Times New Roman"/>
      <w:sz w:val="21"/>
      <w14:ligatures w14:val="none"/>
    </w:rPr>
  </w:style>
  <w:style w:type="paragraph" w:customStyle="1" w:styleId="1b">
    <w:name w:val="无间隔1"/>
    <w:uiPriority w:val="1"/>
    <w:qFormat/>
    <w:rsid w:val="00A771AD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customStyle="1" w:styleId="110">
    <w:name w:val="列出段落11"/>
    <w:basedOn w:val="a"/>
    <w:uiPriority w:val="34"/>
    <w:qFormat/>
    <w:rsid w:val="00A771AD"/>
    <w:pPr>
      <w:spacing w:after="0" w:line="240" w:lineRule="auto"/>
      <w:ind w:firstLineChars="200" w:firstLine="420"/>
      <w:jc w:val="both"/>
    </w:pPr>
    <w:rPr>
      <w:rFonts w:ascii="Calibri" w:eastAsia="宋体" w:hAnsi="Calibri" w:cs="Times New Roman"/>
      <w:sz w:val="21"/>
      <w14:ligatures w14:val="none"/>
    </w:rPr>
  </w:style>
  <w:style w:type="table" w:customStyle="1" w:styleId="TableNormal">
    <w:name w:val="Table Normal"/>
    <w:qFormat/>
    <w:rsid w:val="00A771AD"/>
    <w:pPr>
      <w:spacing w:after="0" w:line="240" w:lineRule="auto"/>
    </w:pPr>
    <w:rPr>
      <w:rFonts w:ascii="Times New Roman" w:eastAsia="等线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5">
    <w:name w:val="无"/>
    <w:qFormat/>
    <w:rsid w:val="00A771AD"/>
  </w:style>
  <w:style w:type="table" w:customStyle="1" w:styleId="TableNormal1">
    <w:name w:val="Table Normal1"/>
    <w:qFormat/>
    <w:rsid w:val="00A771AD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.1"/>
    <w:basedOn w:val="aff5"/>
    <w:qFormat/>
    <w:rsid w:val="00A771AD"/>
    <w:rPr>
      <w:rFonts w:ascii="宋体" w:eastAsia="宋体" w:hAnsi="宋体" w:cs="宋体"/>
      <w:color w:val="000000"/>
      <w:u w:color="000000"/>
      <w:lang w:val="zh-TW" w:eastAsia="zh-TW"/>
    </w:rPr>
  </w:style>
  <w:style w:type="character" w:customStyle="1" w:styleId="Char">
    <w:name w:val="纯文本 Char"/>
    <w:qFormat/>
    <w:rsid w:val="00A771AD"/>
    <w:rPr>
      <w:rFonts w:ascii="宋体" w:eastAsia="宋体" w:hAnsi="Courier New" w:cs="Courier New"/>
      <w:szCs w:val="21"/>
    </w:rPr>
  </w:style>
  <w:style w:type="character" w:customStyle="1" w:styleId="Char1">
    <w:name w:val="纯文本 Char1"/>
    <w:qFormat/>
    <w:rsid w:val="00A771AD"/>
    <w:rPr>
      <w:rFonts w:ascii="宋体" w:eastAsia="宋体" w:hAnsi="Courier New" w:cs="Courier New"/>
      <w:szCs w:val="21"/>
    </w:rPr>
  </w:style>
  <w:style w:type="paragraph" w:customStyle="1" w:styleId="Other1">
    <w:name w:val="Other|1"/>
    <w:basedOn w:val="a"/>
    <w:qFormat/>
    <w:rsid w:val="00A771AD"/>
    <w:pPr>
      <w:spacing w:after="0" w:line="293" w:lineRule="exact"/>
      <w:jc w:val="both"/>
    </w:pPr>
    <w:rPr>
      <w:rFonts w:ascii="宋体" w:eastAsia="宋体" w:hAnsi="宋体" w:cs="宋体"/>
      <w:color w:val="2C1B1C"/>
      <w:sz w:val="19"/>
      <w:szCs w:val="19"/>
      <w:lang w:val="zh-TW" w:eastAsia="zh-TW" w:bidi="zh-TW"/>
      <w14:ligatures w14:val="none"/>
    </w:rPr>
  </w:style>
  <w:style w:type="paragraph" w:customStyle="1" w:styleId="-11">
    <w:name w:val="彩色列表 - 着色 11"/>
    <w:basedOn w:val="a"/>
    <w:uiPriority w:val="34"/>
    <w:unhideWhenUsed/>
    <w:qFormat/>
    <w:rsid w:val="00A771AD"/>
    <w:pPr>
      <w:spacing w:after="0" w:line="240" w:lineRule="auto"/>
      <w:ind w:firstLineChars="200" w:firstLine="420"/>
      <w:jc w:val="both"/>
    </w:pPr>
    <w:rPr>
      <w:rFonts w:ascii="Calibri" w:eastAsia="宋体" w:hAnsi="Calibri" w:cs="Times New Roman"/>
      <w:sz w:val="21"/>
      <w14:ligatures w14:val="none"/>
    </w:rPr>
  </w:style>
  <w:style w:type="character" w:customStyle="1" w:styleId="1c">
    <w:name w:val="未处理的提及1"/>
    <w:basedOn w:val="a0"/>
    <w:uiPriority w:val="99"/>
    <w:semiHidden/>
    <w:unhideWhenUsed/>
    <w:qFormat/>
    <w:rsid w:val="00A771AD"/>
    <w:rPr>
      <w:color w:val="605E5C"/>
      <w:shd w:val="clear" w:color="auto" w:fill="E1DFDD"/>
    </w:rPr>
  </w:style>
  <w:style w:type="table" w:styleId="aff">
    <w:name w:val="Table Grid"/>
    <w:basedOn w:val="a1"/>
    <w:uiPriority w:val="39"/>
    <w:rsid w:val="00A7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0"/>
    <w:uiPriority w:val="99"/>
    <w:semiHidden/>
    <w:unhideWhenUsed/>
    <w:rsid w:val="00A771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斌洋 王</dc:creator>
  <cp:keywords/>
  <dc:description/>
  <cp:lastModifiedBy>斌洋 王</cp:lastModifiedBy>
  <cp:revision>6</cp:revision>
  <dcterms:created xsi:type="dcterms:W3CDTF">2025-06-25T13:36:00Z</dcterms:created>
  <dcterms:modified xsi:type="dcterms:W3CDTF">2025-06-25T14:52:00Z</dcterms:modified>
</cp:coreProperties>
</file>