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E01CE">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考点25  </w:t>
      </w:r>
      <w:r>
        <w:rPr>
          <w:rFonts w:hint="eastAsia" w:ascii="汉仪粗宋简" w:hAnsi="Times New Roman" w:eastAsia="汉仪大宋简" w:cs="汉仪粗宋简"/>
          <w:b/>
          <w:bCs/>
          <w:color w:val="000000"/>
          <w:kern w:val="0"/>
          <w:position w:val="4"/>
          <w:sz w:val="26"/>
          <w:szCs w:val="26"/>
          <w:lang w:val="zh-CN"/>
        </w:rPr>
        <w:t>债权申报</w:t>
      </w:r>
    </w:p>
    <w:p w14:paraId="30F7DCCE">
      <w:pPr>
        <w:ind w:firstLine="420"/>
        <w:rPr>
          <w:rFonts w:hint="eastAsia" w:ascii="汉仪书宋二简" w:hAnsi="汉仪书宋二简" w:cs="汉仪书宋二简"/>
          <w:kern w:val="0"/>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723"/>
        <w:gridCol w:w="7782"/>
      </w:tblGrid>
      <w:tr w14:paraId="6D00A6F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40" w:hRule="atLeast"/>
          <w:jc w:val="center"/>
        </w:trPr>
        <w:tc>
          <w:tcPr>
            <w:tcW w:w="425" w:type="pct"/>
            <w:shd w:val="clear" w:color="auto" w:fill="auto"/>
            <w:vAlign w:val="center"/>
          </w:tcPr>
          <w:p w14:paraId="2FDEA1AE">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申报条件</w:t>
            </w:r>
          </w:p>
        </w:tc>
        <w:tc>
          <w:tcPr>
            <w:tcW w:w="4575" w:type="pct"/>
            <w:shd w:val="clear" w:color="auto" w:fill="auto"/>
            <w:vAlign w:val="center"/>
          </w:tcPr>
          <w:p w14:paraId="0AED57B2">
            <w:pPr>
              <w:pStyle w:val="8"/>
              <w:numPr>
                <w:ilvl w:val="0"/>
                <w:numId w:val="1"/>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须为以财产给付为内容的</w:t>
            </w:r>
          </w:p>
          <w:p w14:paraId="4E4A0614">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②须为法院受理前成立的债权</w:t>
            </w:r>
          </w:p>
          <w:p w14:paraId="08D812DF">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③须为平等主体之间的债权</w:t>
            </w:r>
          </w:p>
          <w:p w14:paraId="6458B42D">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④须为合法有效的债权</w:t>
            </w:r>
          </w:p>
          <w:p w14:paraId="3A0500E8">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但是该债权是否到期、是否有财产担保在所不问</w:t>
            </w:r>
          </w:p>
        </w:tc>
      </w:tr>
      <w:tr w14:paraId="67073B7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09" w:hRule="atLeast"/>
          <w:jc w:val="center"/>
        </w:trPr>
        <w:tc>
          <w:tcPr>
            <w:tcW w:w="425" w:type="pct"/>
            <w:shd w:val="clear" w:color="auto" w:fill="auto"/>
            <w:vAlign w:val="center"/>
          </w:tcPr>
          <w:p w14:paraId="4D120DAC">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申报程序</w:t>
            </w:r>
          </w:p>
        </w:tc>
        <w:tc>
          <w:tcPr>
            <w:tcW w:w="4575" w:type="pct"/>
            <w:shd w:val="clear" w:color="auto" w:fill="auto"/>
            <w:vAlign w:val="center"/>
          </w:tcPr>
          <w:p w14:paraId="48A36550">
            <w:pPr>
              <w:pStyle w:val="8"/>
              <w:numPr>
                <w:ilvl w:val="0"/>
                <w:numId w:val="2"/>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债权人未依法申报债权的，不得依破产法规定的程序行使权利</w:t>
            </w:r>
          </w:p>
          <w:p w14:paraId="3F728222">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②申报期限：法院确定。逾期未申报的，可以在破产财产最后分配前补充申报；但是，此前已进行的分配，不再对其补充分配。为审查和确认补充申报债权的费用，由补充申报人承担</w:t>
            </w:r>
          </w:p>
          <w:p w14:paraId="26F7248D">
            <w:pPr>
              <w:pStyle w:val="8"/>
              <w:numPr>
                <w:ilvl w:val="0"/>
                <w:numId w:val="2"/>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申报材料：债权人应当书面说明债权的数额和有无财产担保，并提交有关证据</w:t>
            </w:r>
          </w:p>
          <w:p w14:paraId="7241F2A9">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④确认和异议：债务人、债权人对债权表记载的债权无异议的，由法院裁定确认。债务人、债权人对债权表记载的债权有异议的，可以向受理破产申请的法院提起诉讼</w:t>
            </w:r>
          </w:p>
        </w:tc>
      </w:tr>
    </w:tbl>
    <w:p w14:paraId="1B826BF4">
      <w:pPr>
        <w:ind w:firstLine="420"/>
        <w:rPr>
          <w:rFonts w:hint="eastAsia" w:ascii="汉仪书宋二简" w:hAnsi="汉仪书宋二简" w:cs="汉仪书宋二简"/>
          <w:kern w:val="0"/>
        </w:rPr>
      </w:pPr>
      <w:r>
        <w:rPr>
          <w:rFonts w:hint="eastAsia" w:ascii="汉仪书宋二简" w:hAnsi="汉仪书宋二简" w:cs="汉仪书宋二简"/>
          <w:kern w:val="0"/>
        </w:rPr>
        <mc:AlternateContent>
          <mc:Choice Requires="wpg">
            <w:drawing>
              <wp:anchor distT="0" distB="0" distL="114300" distR="114300" simplePos="0" relativeHeight="251659264" behindDoc="1" locked="0" layoutInCell="1" allowOverlap="1">
                <wp:simplePos x="0" y="0"/>
                <wp:positionH relativeFrom="margin">
                  <wp:posOffset>89535</wp:posOffset>
                </wp:positionH>
                <wp:positionV relativeFrom="paragraph">
                  <wp:posOffset>178435</wp:posOffset>
                </wp:positionV>
                <wp:extent cx="5361305" cy="363220"/>
                <wp:effectExtent l="0" t="0" r="10795" b="0"/>
                <wp:wrapNone/>
                <wp:docPr id="963319684" name="组合 6"/>
                <wp:cNvGraphicFramePr/>
                <a:graphic xmlns:a="http://schemas.openxmlformats.org/drawingml/2006/main">
                  <a:graphicData uri="http://schemas.microsoft.com/office/word/2010/wordprocessingGroup">
                    <wpg:wgp>
                      <wpg:cNvGrpSpPr/>
                      <wpg:grpSpPr>
                        <a:xfrm>
                          <a:off x="0" y="0"/>
                          <a:ext cx="5361050" cy="362971"/>
                          <a:chOff x="0" y="0"/>
                          <a:chExt cx="5361050" cy="362971"/>
                        </a:xfrm>
                      </wpg:grpSpPr>
                      <wpg:grpSp>
                        <wpg:cNvPr id="2116845741" name="组合 5"/>
                        <wpg:cNvGrpSpPr/>
                        <wpg:grpSpPr>
                          <a:xfrm>
                            <a:off x="38100" y="126073"/>
                            <a:ext cx="5322950" cy="180134"/>
                            <a:chOff x="2321" y="16113"/>
                            <a:chExt cx="5322950" cy="180134"/>
                          </a:xfrm>
                        </wpg:grpSpPr>
                        <wps:wsp>
                          <wps:cNvPr id="95875586" name="矩形 1"/>
                          <wps:cNvSpPr/>
                          <wps:spPr>
                            <a:xfrm>
                              <a:off x="2321" y="16247"/>
                              <a:ext cx="828000" cy="1800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929411981" name="组合 4"/>
                          <wpg:cNvGrpSpPr/>
                          <wpg:grpSpPr>
                            <a:xfrm>
                              <a:off x="635903" y="30170"/>
                              <a:ext cx="144000" cy="144000"/>
                              <a:chOff x="-62661" y="0"/>
                              <a:chExt cx="144000" cy="144000"/>
                            </a:xfrm>
                          </wpg:grpSpPr>
                          <wps:wsp>
                            <wps:cNvPr id="2134032852" name="椭圆 2"/>
                            <wps:cNvSpPr/>
                            <wps:spPr>
                              <a:xfrm>
                                <a:off x="-62661" y="0"/>
                                <a:ext cx="144000" cy="144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09783974" name="等腰三角形 3"/>
                            <wps:cNvSpPr/>
                            <wps:spPr>
                              <a:xfrm rot="5400000">
                                <a:off x="-19190" y="36509"/>
                                <a:ext cx="83488" cy="71972"/>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54043509" name="矩形 1"/>
                          <wps:cNvSpPr/>
                          <wps:spPr>
                            <a:xfrm>
                              <a:off x="829434" y="16113"/>
                              <a:ext cx="4495837" cy="180000"/>
                            </a:xfrm>
                            <a:prstGeom prst="rect">
                              <a:avLst/>
                            </a:prstGeom>
                            <a:gradFill flip="none" rotWithShape="1">
                              <a:gsLst>
                                <a:gs pos="0">
                                  <a:schemeClr val="accent3">
                                    <a:lumMod val="10000"/>
                                    <a:lumOff val="90000"/>
                                  </a:schemeClr>
                                </a:gs>
                                <a:gs pos="74000">
                                  <a:schemeClr val="accent3">
                                    <a:lumMod val="45000"/>
                                    <a:lumOff val="55000"/>
                                  </a:schemeClr>
                                </a:gs>
                                <a:gs pos="83000">
                                  <a:schemeClr val="bg1">
                                    <a:lumMod val="85000"/>
                                  </a:schemeClr>
                                </a:gs>
                                <a:gs pos="100000">
                                  <a:schemeClr val="bg1">
                                    <a:lumMod val="75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27870360" name="矩形 1"/>
                        <wps:cNvSpPr/>
                        <wps:spPr>
                          <a:xfrm>
                            <a:off x="0" y="0"/>
                            <a:ext cx="735496" cy="362971"/>
                          </a:xfrm>
                          <a:prstGeom prst="rect">
                            <a:avLst/>
                          </a:prstGeom>
                          <a:noFill/>
                          <a:ln w="12700" cap="flat" cmpd="sng" algn="ctr">
                            <a:noFill/>
                            <a:prstDash val="solid"/>
                            <a:miter lim="800000"/>
                          </a:ln>
                          <a:effectLst/>
                        </wps:spPr>
                        <wps:txbx>
                          <w:txbxContent>
                            <w:p w14:paraId="057422B3">
                              <w:pPr>
                                <w:ind w:firstLine="0" w:firstLineChars="0"/>
                                <w:rPr>
                                  <w:rFonts w:hint="eastAsia" w:ascii="汉仪粗黑简" w:eastAsia="汉仪粗黑简"/>
                                  <w:color w:val="FFFFFF"/>
                                </w:rPr>
                              </w:pPr>
                              <w:r>
                                <w:rPr>
                                  <w:rFonts w:hint="eastAsia" w:ascii="汉仪粗黑简" w:eastAsia="汉仪粗黑简"/>
                                  <w:color w:val="FFFFFF"/>
                                </w:rPr>
                                <w:t>难点展开</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6" o:spid="_x0000_s1026" o:spt="203" style="position:absolute;left:0pt;margin-left:7.05pt;margin-top:14.05pt;height:28.6pt;width:422.15pt;mso-position-horizontal-relative:margin;z-index:-251657216;mso-width-relative:page;mso-height-relative:page;" coordsize="5361050,362971" o:gfxdata="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BxK0WE2AAAAAgBAAAPAAAAAAAAAAEAIAAAACIA&#10;AABkcnMvZG93bnJldi54bWxQSwECFAAUAAAACACHTuJA41L4HCcFAABXFgAADgAAAAAAAAABACAA&#10;AAAnAQAAZHJzL2Uyb0RvYy54bWxQSwUGAAAAAAYABgBZAQAAwAgAAAAA&#10;">
                <o:lock v:ext="edit" aspectratio="f"/>
                <v:group id="组合 5" o:spid="_x0000_s1026" o:spt="203" style="position:absolute;left:38100;top:126073;height:180134;width:5322950;" coordorigin="2321,16113" coordsize="5322950,180134" o:gfxdata="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DRI3EHEAAAA4wAAAA8AAAAAAAAAAQAgAAAAIgAAAGRycy9kb3du&#10;cmV2LnhtbFBLAQIUABQAAAAIAIdO4kAzLwWeOwAAADkAAAAVAAAAAAAAAAEAIAAAABMBAABkcnMv&#10;Z3JvdXBzaGFwZXhtbC54bWxQSwUGAAAAAAYABgBgAQAA0AMAAAAA&#10;">
                  <o:lock v:ext="edit" aspectratio="f"/>
                  <v:rect id="矩形 1" o:spid="_x0000_s1026" o:spt="1" style="position:absolute;left:2321;top:16247;height:180000;width:828000;v-text-anchor:middle;" fillcolor="#FF0000" filled="t" stroked="f" coordsize="21600,21600" o:gfxdata="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gX+L4A&#10;AADh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id="组合 4" o:spid="_x0000_s1026" o:spt="203" style="position:absolute;left:635903;top:30170;height:144000;width:144000;" coordorigin="-62661,0" coordsize="144000,144000" o:gfxdata="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HpZQwPEAAAA4gAAAA8AAAAAAAAAAQAgAAAAIgAAAGRycy9kb3du&#10;cmV2LnhtbFBLAQIUABQAAAAIAIdO4kAzLwWeOwAAADkAAAAVAAAAAAAAAAEAIAAAABMBAABkcnMv&#10;Z3JvdXBzaGFwZXhtbC54bWxQSwUGAAAAAAYABgBgAQAA0AMAAAAA&#10;">
                    <o:lock v:ext="edit" aspectratio="f"/>
                    <v:shape id="椭圆 2" o:spid="_x0000_s1026" o:spt="3" type="#_x0000_t3" style="position:absolute;left:-62661;top:0;height:144000;width:144000;v-text-anchor:middle;" fillcolor="#FFFFFF [3212]" filled="t" stroked="f" coordsize="21600,21600" o:gfxdata="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uGZFcQAAADjAAAADwAAAAAAAAABACAAAAAiAAAAZHJzL2Rvd25yZXYueG1sUEsBAhQAFAAAAAgA&#10;h07iQDMvBZ47AAAAOQAAABAAAAAAAAAAAQAgAAAAEwEAAGRycy9zaGFwZXhtbC54bWxQSwUGAAAA&#10;AAYABgBbAQAAvQMAAAAA&#10;">
                      <v:fill on="t" focussize="0,0"/>
                      <v:stroke on="f" weight="1pt" miterlimit="8" joinstyle="miter"/>
                      <v:imagedata o:title=""/>
                      <o:lock v:ext="edit" aspectratio="f"/>
                    </v:shape>
                    <v:shape id="等腰三角形 3" o:spid="_x0000_s1026" o:spt="5" type="#_x0000_t5" style="position:absolute;left:-19190;top:36509;height:71972;width:83488;rotation:5898240f;v-text-anchor:middle;" fillcolor="#FF0000" filled="t" stroked="f" coordsize="21600,21600" o:gfxdata="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N&#10;i2FswwAAAOMAAAAPAAAAAAAAAAEAIAAAACIAAABkcnMvZG93bnJldi54bWxQSwECFAAUAAAACACH&#10;TuJAMy8FnjsAAAA5AAAAEAAAAAAAAAABACAAAAASAQAAZHJzL3NoYXBleG1sLnhtbFBLBQYAAAAA&#10;BgAGAFsBAAC8AwAAAAA=&#10;" adj="10800">
                      <v:fill on="t" focussize="0,0"/>
                      <v:stroke on="f" weight="1pt" miterlimit="8" joinstyle="miter"/>
                      <v:imagedata o:title=""/>
                      <o:lock v:ext="edit" aspectratio="f"/>
                    </v:shape>
                  </v:group>
                  <v:rect id="矩形 1" o:spid="_x0000_s1026" o:spt="1" style="position:absolute;left:829434;top:16113;height:180000;width:4495837;v-text-anchor:middle;" fillcolor="#FFF9E5 [342]" filled="t" stroked="f" coordsize="21600,21600" o:gfxdata="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1bMAsQAAADiAAAADwAAAAAAAAABACAAAAAiAAAAZHJzL2Rvd25yZXYueG1sUEsBAhQAFAAAAAgA&#10;h07iQDMvBZ47AAAAOQAAABAAAAAAAAAAAQAgAAAAEwEAAGRycy9zaGFwZXhtbC54bWxQSwUGAAAA&#10;AAYABgBbAQAAvQMAAAAA&#10;">
                    <v:fill type="gradient" on="t" color2="#BFBFBF [2412]" colors="0f #FFF9E5;48497f #FEE388;54395f #D9D9D9;65536f #BFBFBF" angle="270" focus="100%" focussize="0,0" rotate="t"/>
                    <v:stroke on="f" weight="1pt" miterlimit="8" joinstyle="miter"/>
                    <v:imagedata o:title=""/>
                    <o:lock v:ext="edit" aspectratio="f"/>
                  </v:rect>
                </v:group>
                <v:rect id="矩形 1" o:spid="_x0000_s1026" o:spt="1" style="position:absolute;left:0;top:0;height:362971;width:735496;v-text-anchor:middle;" filled="f" stroked="f" coordsize="21600,21600" o:gfxdata="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TK8&#10;tcEAAADiAAAADwAAAAAAAAABACAAAAAiAAAAZHJzL2Rvd25yZXYueG1sUEsBAhQAFAAAAAgAh07i&#10;QDMvBZ47AAAAOQAAABAAAAAAAAAAAQAgAAAAEAEAAGRycy9zaGFwZXhtbC54bWxQSwUGAAAAAAYA&#10;BgBbAQAAugMAAAAA&#10;">
                  <v:fill on="f" focussize="0,0"/>
                  <v:stroke on="f" weight="1pt" miterlimit="8" joinstyle="miter"/>
                  <v:imagedata o:title=""/>
                  <o:lock v:ext="edit" aspectratio="f"/>
                  <v:textbox>
                    <w:txbxContent>
                      <w:p w14:paraId="057422B3">
                        <w:pPr>
                          <w:ind w:firstLine="0" w:firstLineChars="0"/>
                          <w:rPr>
                            <w:rFonts w:hint="eastAsia" w:ascii="汉仪粗黑简" w:eastAsia="汉仪粗黑简"/>
                            <w:color w:val="FFFFFF"/>
                          </w:rPr>
                        </w:pPr>
                        <w:r>
                          <w:rPr>
                            <w:rFonts w:hint="eastAsia" w:ascii="汉仪粗黑简" w:eastAsia="汉仪粗黑简"/>
                            <w:color w:val="FFFFFF"/>
                          </w:rPr>
                          <w:t>难点展开</w:t>
                        </w:r>
                      </w:p>
                    </w:txbxContent>
                  </v:textbox>
                </v:rect>
              </v:group>
            </w:pict>
          </mc:Fallback>
        </mc:AlternateContent>
      </w:r>
    </w:p>
    <w:p w14:paraId="757429EF">
      <w:pPr>
        <w:spacing w:after="156" w:afterLines="50"/>
        <w:ind w:left="1575" w:leftChars="750" w:firstLine="0" w:firstLineChars="0"/>
        <w:jc w:val="left"/>
        <w:rPr>
          <w:rFonts w:hint="eastAsia" w:ascii="汉仪中黑简" w:hAnsi="汉仪书宋二简" w:eastAsia="汉仪中黑简" w:cs="汉仪书宋二简"/>
          <w:kern w:val="0"/>
        </w:rPr>
      </w:pPr>
      <w:r>
        <w:rPr>
          <w:rFonts w:hint="eastAsia" w:ascii="汉仪中黑简" w:hAnsi="汉仪书宋二简" w:eastAsia="汉仪中黑简" w:cs="汉仪书宋二简"/>
          <w:kern w:val="0"/>
        </w:rPr>
        <w:t>债权申报的特殊情形</w:t>
      </w:r>
    </w:p>
    <w:p w14:paraId="04799BCE">
      <w:pPr>
        <w:widowControl/>
        <w:ind w:left="420" w:leftChars="200" w:right="420" w:rightChars="200" w:firstLine="420"/>
        <w:rPr>
          <w:rFonts w:hint="eastAsia" w:ascii="汉仪书宋二简"/>
        </w:rPr>
      </w:pPr>
      <w:r>
        <w:rPr>
          <w:rFonts w:hint="eastAsia" w:ascii="汉仪书宋二简" w:hAnsi="汉仪中黑简" w:cs="汉仪中黑简"/>
          <w:bCs/>
          <w:kern w:val="44"/>
        </w:rPr>
        <w:t>1．未到期的债权，在破产申请受理时视为到期</w:t>
      </w:r>
      <w:r>
        <w:rPr>
          <w:rFonts w:hint="eastAsia" w:ascii="汉仪书宋二简"/>
        </w:rPr>
        <w:t>。附利息的债权自破产申请受理时起</w:t>
      </w:r>
      <w:r>
        <w:rPr>
          <w:rFonts w:hint="eastAsia" w:ascii="汉仪书宋二简" w:hAnsi="楷体" w:eastAsia="汉仪中黑简" w:cs="楷体"/>
          <w:color w:val="FF0000"/>
        </w:rPr>
        <w:t>停止计息</w:t>
      </w:r>
      <w:r>
        <w:rPr>
          <w:rFonts w:hint="eastAsia" w:ascii="汉仪书宋二简"/>
        </w:rPr>
        <w:t>（破产申请受理后，债务人欠缴款项产生的滞纳金，包括债务人未履行生效法律文书应当加倍支付的迟延利息和劳动保险金的滞纳金，债权人作为破产债权申报的，法院不予确认）。</w:t>
      </w:r>
    </w:p>
    <w:p w14:paraId="485AE98E">
      <w:pPr>
        <w:widowControl/>
        <w:ind w:left="420" w:leftChars="200" w:right="420" w:rightChars="200" w:firstLine="420"/>
        <w:rPr>
          <w:rFonts w:hint="eastAsia" w:ascii="汉仪书宋二简"/>
        </w:rPr>
      </w:pPr>
      <w:r>
        <w:rPr>
          <w:rFonts w:hint="eastAsia" w:ascii="汉仪书宋二简" w:hAnsi="汉仪中黑简" w:cs="汉仪中黑简"/>
          <w:bCs/>
          <w:kern w:val="44"/>
        </w:rPr>
        <w:t>2．不确定的债权</w:t>
      </w:r>
      <w:r>
        <w:rPr>
          <w:rFonts w:hint="eastAsia" w:ascii="汉仪书宋二简"/>
        </w:rPr>
        <w:t>，如附条件、附期限的债权和诉讼、仲裁未决的债权，债权人可以申报。但是，除法院能够为其行使表决权而临时确定债权额的外，不得行使表决权。</w:t>
      </w:r>
    </w:p>
    <w:p w14:paraId="62BEBD82">
      <w:pPr>
        <w:widowControl/>
        <w:ind w:left="420" w:leftChars="200" w:right="420" w:rightChars="200" w:firstLine="420"/>
        <w:rPr>
          <w:rFonts w:hint="eastAsia" w:ascii="汉仪书宋二简"/>
        </w:rPr>
      </w:pPr>
      <w:r>
        <w:rPr>
          <w:rFonts w:hint="eastAsia" w:ascii="汉仪书宋二简" w:hAnsi="汉仪中黑简" w:cs="汉仪中黑简"/>
          <w:bCs/>
          <w:kern w:val="44"/>
        </w:rPr>
        <w:t>3．职工债权不必申报</w:t>
      </w:r>
    </w:p>
    <w:p w14:paraId="4A7904A9">
      <w:pPr>
        <w:widowControl/>
        <w:ind w:left="420" w:leftChars="200" w:right="420" w:rightChars="200" w:firstLine="420"/>
        <w:rPr>
          <w:rFonts w:hint="eastAsia" w:ascii="汉仪书宋二简"/>
        </w:rPr>
      </w:pPr>
      <w:r>
        <w:rPr>
          <w:rFonts w:hint="eastAsia" w:ascii="汉仪书宋二简" w:hAnsi="汉仪中黑简" w:cs="汉仪中黑简"/>
          <w:bCs/>
          <w:kern w:val="44"/>
        </w:rPr>
        <w:t>4．连带债权人可以由其中一人代表全体连带债权人申报债权，也可以共同申报债权</w:t>
      </w:r>
      <w:r>
        <w:rPr>
          <w:rFonts w:hint="eastAsia" w:ascii="汉仪书宋二简"/>
        </w:rPr>
        <w:t>。</w:t>
      </w:r>
    </w:p>
    <w:p w14:paraId="1FB49878">
      <w:pPr>
        <w:widowControl/>
        <w:ind w:left="420" w:leftChars="200" w:right="420" w:rightChars="200" w:firstLine="420"/>
        <w:rPr>
          <w:rFonts w:hint="eastAsia" w:ascii="汉仪书宋二简"/>
        </w:rPr>
      </w:pPr>
      <w:r>
        <w:rPr>
          <w:rFonts w:hint="eastAsia" w:ascii="汉仪书宋二简" w:hAnsi="汉仪中黑简" w:cs="汉仪中黑简"/>
          <w:bCs/>
          <w:kern w:val="44"/>
        </w:rPr>
        <w:t>5．有保证关系的债权申报</w:t>
      </w:r>
    </w:p>
    <w:p w14:paraId="2E6CB0CF">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1．仅债务人破产</w:t>
      </w:r>
    </w:p>
    <w:p w14:paraId="1AC7BC29">
      <w:pPr>
        <w:ind w:firstLine="420"/>
        <w:rPr>
          <w:rFonts w:hint="eastAsia" w:ascii="汉仪书宋二简" w:hAnsi="汉仪书宋二简" w:cs="汉仪书宋二简"/>
          <w:kern w:val="0"/>
        </w:rPr>
      </w:pPr>
      <w:r>
        <w:rPr>
          <w:rFonts w:hint="eastAsia" w:ascii="汉仪书宋二简" w:hAnsi="汉仪书宋二简" w:cs="汉仪书宋二简"/>
          <w:kern w:val="0"/>
        </w:rPr>
        <w:t>债务人的保证人或其他连带债务人已经代替债务人清偿债务的，以其对债务人的求偿权申报债权。债务人的保证人或其他连带债务人尚未代替债务人清偿债务的，以其对债务人的</w:t>
      </w:r>
      <w:r>
        <w:rPr>
          <w:rFonts w:hint="eastAsia" w:ascii="汉仪书宋二简" w:hAnsi="汉仪书宋二简" w:cs="汉仪书宋二简"/>
          <w:color w:val="0000FF"/>
          <w:kern w:val="0"/>
        </w:rPr>
        <w:t>将来求偿权申报债权</w:t>
      </w:r>
      <w:r>
        <w:rPr>
          <w:rFonts w:hint="eastAsia" w:ascii="汉仪书宋二简" w:hAnsi="汉仪书宋二简" w:cs="汉仪书宋二简"/>
          <w:kern w:val="0"/>
        </w:rPr>
        <w:t>，但是，债权人已经向管理人申报全部债权的除外</w:t>
      </w:r>
      <w:r>
        <w:rPr>
          <w:rFonts w:hint="eastAsia" w:ascii="楷体" w:hAnsi="楷体" w:eastAsia="楷体" w:cs="汉仪书宋二简"/>
          <w:color w:val="FF0000"/>
          <w:kern w:val="0"/>
        </w:rPr>
        <w:t>（《破产法》第51条）</w:t>
      </w:r>
      <w:r>
        <w:rPr>
          <w:rFonts w:hint="eastAsia" w:ascii="汉仪书宋二简" w:hAnsi="汉仪书宋二简" w:cs="汉仪书宋二简"/>
          <w:kern w:val="0"/>
        </w:rPr>
        <w:t>。</w:t>
      </w:r>
    </w:p>
    <w:p w14:paraId="7B8A24E4">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2．仅保证人破产</w:t>
      </w:r>
    </w:p>
    <w:p w14:paraId="7DB64146">
      <w:pPr>
        <w:ind w:firstLine="420"/>
        <w:rPr>
          <w:rFonts w:hint="eastAsia" w:ascii="汉仪书宋二简" w:hAnsi="汉仪书宋二简" w:cs="汉仪书宋二简"/>
          <w:kern w:val="0"/>
        </w:rPr>
      </w:pPr>
      <w:r>
        <w:rPr>
          <w:rFonts w:hint="eastAsia" w:ascii="汉仪书宋二简" w:hAnsi="汉仪书宋二简" w:cs="汉仪书宋二简"/>
          <w:kern w:val="0"/>
        </w:rPr>
        <w:t>①保证人被裁定进入破产程序的，债权人有权申报其对保证人的保证债权。</w:t>
      </w:r>
    </w:p>
    <w:p w14:paraId="53F323C6">
      <w:pPr>
        <w:ind w:firstLine="420"/>
        <w:rPr>
          <w:rFonts w:hint="eastAsia" w:ascii="汉仪书宋二简" w:hAnsi="汉仪书宋二简" w:cs="汉仪书宋二简"/>
          <w:kern w:val="0"/>
        </w:rPr>
      </w:pPr>
      <w:r>
        <w:rPr>
          <w:rFonts w:hint="eastAsia" w:ascii="汉仪书宋二简" w:hAnsi="汉仪书宋二简" w:cs="汉仪书宋二简"/>
          <w:kern w:val="0"/>
        </w:rPr>
        <w:t>②主债务未到期的，保证债权在保证人破产申请受理时视为到期。</w:t>
      </w:r>
    </w:p>
    <w:p w14:paraId="31B03AD2">
      <w:pPr>
        <w:ind w:firstLine="420"/>
        <w:rPr>
          <w:rFonts w:hint="eastAsia" w:ascii="汉仪书宋二简" w:hAnsi="汉仪书宋二简" w:cs="汉仪书宋二简"/>
          <w:color w:val="0000FF"/>
          <w:kern w:val="0"/>
        </w:rPr>
      </w:pPr>
      <w:r>
        <w:rPr>
          <w:rFonts w:hint="eastAsia" w:ascii="汉仪书宋二简" w:hAnsi="汉仪书宋二简" w:cs="汉仪书宋二简"/>
          <w:kern w:val="0"/>
        </w:rPr>
        <w:t>③一般保证的保证人主张行使先诉抗辩权的，不予支持，但债权人在一般保证人破产程序中的分配额应予提存，待一般保证人应承担的保证责任确定后再按照破产清偿比例予以分配。（</w:t>
      </w:r>
      <w:r>
        <w:rPr>
          <w:rFonts w:hint="eastAsia" w:ascii="汉仪书宋二简" w:hAnsi="汉仪书宋二简" w:cs="汉仪书宋二简"/>
          <w:color w:val="0000FF"/>
          <w:kern w:val="0"/>
        </w:rPr>
        <w:t>并不是变为连带保证）</w:t>
      </w:r>
    </w:p>
    <w:p w14:paraId="50CD669A">
      <w:pPr>
        <w:ind w:firstLine="420"/>
        <w:rPr>
          <w:rFonts w:hint="eastAsia" w:ascii="汉仪书宋二简" w:hAnsi="汉仪书宋二简" w:cs="汉仪书宋二简"/>
          <w:kern w:val="0"/>
        </w:rPr>
      </w:pPr>
      <w:r>
        <w:rPr>
          <w:rFonts w:hint="eastAsia" w:ascii="汉仪书宋二简" w:hAnsi="汉仪书宋二简" w:cs="汉仪书宋二简"/>
          <w:kern w:val="0"/>
        </w:rPr>
        <w:t>④保证人被确定应当承担保证责任的，保证人的管理人可以就保证人实际承担的清偿额向主债务人或其他债务人行使求偿权</w:t>
      </w:r>
      <w:r>
        <w:rPr>
          <w:rFonts w:hint="eastAsia" w:ascii="楷体" w:hAnsi="楷体" w:eastAsia="楷体" w:cs="汉仪书宋二简"/>
          <w:color w:val="FF0000"/>
          <w:kern w:val="0"/>
        </w:rPr>
        <w:t>（《破产法解释（三）》第4条）</w:t>
      </w:r>
      <w:r>
        <w:rPr>
          <w:rFonts w:hint="eastAsia" w:ascii="汉仪书宋二简" w:hAnsi="汉仪书宋二简" w:cs="汉仪书宋二简"/>
          <w:kern w:val="0"/>
        </w:rPr>
        <w:t>。</w:t>
      </w:r>
    </w:p>
    <w:p w14:paraId="72E5F364">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3．保证人和债务人都破产</w:t>
      </w:r>
    </w:p>
    <w:p w14:paraId="7AB72E2C">
      <w:pPr>
        <w:ind w:firstLine="420"/>
        <w:rPr>
          <w:rFonts w:hint="eastAsia" w:ascii="汉仪书宋二简" w:hAnsi="汉仪书宋二简" w:cs="汉仪书宋二简"/>
          <w:kern w:val="0"/>
        </w:rPr>
      </w:pPr>
      <w:r>
        <w:rPr>
          <w:rFonts w:hint="eastAsia" w:ascii="汉仪书宋二简" w:hAnsi="汉仪书宋二简" w:cs="汉仪书宋二简"/>
          <w:kern w:val="0"/>
        </w:rPr>
        <w:t>①债务人、保证人均被裁定进入破产程序的，债权人有权向债务人、保证人分别申报债权。</w:t>
      </w:r>
    </w:p>
    <w:p w14:paraId="60734F16">
      <w:pPr>
        <w:ind w:firstLine="420"/>
        <w:rPr>
          <w:rFonts w:hint="eastAsia" w:ascii="汉仪书宋二简" w:hAnsi="汉仪书宋二简" w:cs="汉仪书宋二简"/>
          <w:kern w:val="0"/>
        </w:rPr>
      </w:pPr>
      <w:r>
        <w:rPr>
          <w:rFonts w:hint="eastAsia" w:ascii="汉仪书宋二简" w:hAnsi="汉仪书宋二简" w:cs="汉仪书宋二简"/>
          <w:kern w:val="0"/>
        </w:rPr>
        <w:t>②债权人向债务人、保证人均申报全部债权的，从一方破产程序中获得清偿后，其对另一方的债权额不作调整，</w:t>
      </w:r>
      <w:r>
        <w:rPr>
          <w:rFonts w:hint="eastAsia" w:ascii="汉仪书宋二简" w:hAnsi="汉仪书宋二简" w:cs="汉仪书宋二简"/>
          <w:color w:val="0000FF"/>
          <w:kern w:val="0"/>
        </w:rPr>
        <w:t>但债权人的受偿额不得超出其债权总额。（实际受偿额不超总额）</w:t>
      </w:r>
    </w:p>
    <w:p w14:paraId="21BAA79A">
      <w:pPr>
        <w:ind w:firstLine="420"/>
        <w:rPr>
          <w:rFonts w:hint="eastAsia" w:ascii="汉仪书宋二简" w:hAnsi="汉仪书宋二简" w:cs="汉仪书宋二简"/>
          <w:kern w:val="0"/>
        </w:rPr>
      </w:pPr>
      <w:r>
        <w:rPr>
          <w:rFonts w:hint="eastAsia" w:ascii="汉仪书宋二简" w:hAnsi="汉仪书宋二简" w:cs="汉仪书宋二简"/>
          <w:kern w:val="0"/>
        </w:rPr>
        <w:t>③保证人履行保证责任后不再享有求偿权</w:t>
      </w:r>
    </w:p>
    <w:p w14:paraId="1A30BB25">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考点26  </w:t>
      </w:r>
      <w:r>
        <w:rPr>
          <w:rFonts w:hint="eastAsia" w:ascii="汉仪粗宋简" w:hAnsi="Times New Roman" w:eastAsia="汉仪大宋简" w:cs="汉仪粗宋简"/>
          <w:b/>
          <w:bCs/>
          <w:color w:val="000000"/>
          <w:kern w:val="0"/>
          <w:position w:val="4"/>
          <w:sz w:val="26"/>
          <w:szCs w:val="26"/>
          <w:lang w:val="zh-CN"/>
        </w:rPr>
        <w:t>重整程序、和解程序与破产清算程序</w:t>
      </w:r>
    </w:p>
    <w:p w14:paraId="5A8835C9">
      <w:pPr>
        <w:ind w:firstLine="420"/>
        <w:rPr>
          <w:rFonts w:hint="eastAsia" w:ascii="汉仪书宋二简" w:hAnsi="汉仪书宋二简" w:cs="汉仪书宋二简"/>
          <w:kern w:val="0"/>
        </w:rPr>
      </w:pPr>
    </w:p>
    <w:p w14:paraId="36843477">
      <w:pPr>
        <w:pStyle w:val="3"/>
        <w:ind w:firstLine="336" w:firstLineChars="120"/>
        <w:rPr>
          <w:rFonts w:hint="eastAsia"/>
        </w:rPr>
      </w:pPr>
      <w:r>
        <w:rPr>
          <w:rFonts w:hint="eastAsia"/>
        </w:rPr>
        <w:t>（一）三大程序之间的关系</w:t>
      </w:r>
    </w:p>
    <w:p w14:paraId="190AB3A0">
      <w:pPr>
        <w:pStyle w:val="2"/>
        <w:ind w:firstLine="400"/>
        <w:rPr>
          <w:rFonts w:hint="eastAsia" w:ascii="汉仪书宋一简" w:hAnsi="宋体" w:eastAsia="汉仪书宋一简" w:cs="宋体"/>
          <w:color w:val="FF0000"/>
          <w:kern w:val="0"/>
          <w:sz w:val="20"/>
          <w:szCs w:val="20"/>
        </w:rPr>
      </w:pPr>
      <w:r>
        <w:rPr>
          <w:rFonts w:hint="eastAsia" w:ascii="汉仪书宋一简" w:hAnsi="宋体" w:eastAsia="汉仪书宋一简" w:cs="宋体"/>
          <w:color w:val="FF0000"/>
          <w:kern w:val="0"/>
          <w:sz w:val="20"/>
          <w:szCs w:val="20"/>
        </w:rPr>
        <w:t>破产宣告前可以转换 宣告后只能清算</w:t>
      </w:r>
    </w:p>
    <w:p w14:paraId="4A99CFB9">
      <w:pPr>
        <w:ind w:firstLine="400"/>
        <w:rPr>
          <w:rFonts w:hint="eastAsia" w:ascii="汉仪书宋一简" w:eastAsia="汉仪书宋一简"/>
          <w:color w:val="FF0000"/>
          <w:kern w:val="0"/>
          <w:sz w:val="20"/>
          <w:szCs w:val="20"/>
        </w:rPr>
      </w:pPr>
      <w:r>
        <w:rPr>
          <w:rFonts w:hint="eastAsia" w:ascii="汉仪书宋一简" w:eastAsia="汉仪书宋一简"/>
          <w:color w:val="FF0000"/>
          <w:kern w:val="0"/>
          <w:sz w:val="20"/>
          <w:szCs w:val="20"/>
        </w:rPr>
        <w:t>清算程序公平保护债权人  和解重整救活公司</w:t>
      </w:r>
    </w:p>
    <w:p w14:paraId="53F9D1A1">
      <w:pPr>
        <w:pStyle w:val="3"/>
        <w:ind w:firstLine="336" w:firstLineChars="120"/>
        <w:rPr>
          <w:rFonts w:hint="eastAsia"/>
        </w:rPr>
      </w:pPr>
      <w:r>
        <w:rPr>
          <w:rFonts w:hint="eastAsia"/>
        </w:rPr>
        <w:t>（二）破产清算程序</w:t>
      </w:r>
    </w:p>
    <w:p w14:paraId="31EBE54E">
      <w:pPr>
        <w:ind w:firstLine="480"/>
        <w:rPr>
          <w:rFonts w:hint="eastAsia" w:ascii="汉仪书宋二简" w:hAnsiTheme="majorHAnsi" w:cstheme="majorBidi"/>
          <w:bCs/>
          <w:sz w:val="24"/>
          <w:szCs w:val="28"/>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691"/>
        <w:gridCol w:w="6814"/>
      </w:tblGrid>
      <w:tr w14:paraId="3EF1BF4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trHeight w:val="20" w:hRule="atLeast"/>
          <w:jc w:val="center"/>
        </w:trPr>
        <w:tc>
          <w:tcPr>
            <w:tcW w:w="994" w:type="pct"/>
            <w:shd w:val="clear" w:color="auto" w:fill="auto"/>
            <w:vAlign w:val="center"/>
          </w:tcPr>
          <w:p w14:paraId="41C8B6AE">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破产宣告</w:t>
            </w:r>
          </w:p>
        </w:tc>
        <w:tc>
          <w:tcPr>
            <w:tcW w:w="4006" w:type="pct"/>
            <w:shd w:val="clear" w:color="auto" w:fill="auto"/>
            <w:vAlign w:val="center"/>
          </w:tcPr>
          <w:p w14:paraId="4C1506C7">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①不可逆转：</w:t>
            </w:r>
            <w:r>
              <w:rPr>
                <w:rFonts w:hint="eastAsia" w:ascii="汉仪书宋一简" w:eastAsia="汉仪书宋一简"/>
                <w:color w:val="FF0000"/>
                <w:kern w:val="0"/>
                <w:sz w:val="20"/>
                <w:szCs w:val="20"/>
              </w:rPr>
              <w:t>债务人无可逆转地进入破产清算程序</w:t>
            </w:r>
          </w:p>
          <w:p w14:paraId="5DB1EAC4">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②债权解冻：债权人只能依破产程序接受清偿，未到期的债权视为到期，有财产担保的债权人可以随时由担保物清偿（行使别除权），无担保债权人依破产分配方案获得清偿</w:t>
            </w:r>
          </w:p>
          <w:p w14:paraId="0D883F51">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③停止营业：原则上停止营业，但继续经营有助于破产财产保值增值的法院可以许可</w:t>
            </w:r>
          </w:p>
        </w:tc>
      </w:tr>
      <w:tr w14:paraId="2B1118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994" w:type="pct"/>
            <w:shd w:val="clear" w:color="auto" w:fill="auto"/>
            <w:vAlign w:val="center"/>
          </w:tcPr>
          <w:p w14:paraId="5B449B47">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别除权</w:t>
            </w:r>
          </w:p>
        </w:tc>
        <w:tc>
          <w:tcPr>
            <w:tcW w:w="4006" w:type="pct"/>
            <w:shd w:val="clear" w:color="auto" w:fill="auto"/>
            <w:vAlign w:val="center"/>
          </w:tcPr>
          <w:p w14:paraId="7205D65F">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①债权人不依破产程序，而由特定财产单独优先受偿的权利</w:t>
            </w:r>
          </w:p>
          <w:p w14:paraId="64FDE3B6">
            <w:pPr>
              <w:spacing w:before="31" w:beforeLines="10" w:after="62" w:afterLines="20" w:line="280" w:lineRule="exact"/>
              <w:ind w:firstLine="0" w:firstLineChars="0"/>
              <w:rPr>
                <w:rFonts w:hint="eastAsia" w:ascii="汉仪书宋一简" w:eastAsia="汉仪书宋一简"/>
                <w:color w:val="FF0000"/>
                <w:kern w:val="0"/>
                <w:sz w:val="20"/>
                <w:szCs w:val="20"/>
              </w:rPr>
            </w:pPr>
            <w:r>
              <w:rPr>
                <w:rFonts w:hint="eastAsia" w:ascii="汉仪书宋一简" w:eastAsia="汉仪书宋一简"/>
                <w:kern w:val="0"/>
                <w:sz w:val="20"/>
                <w:szCs w:val="20"/>
              </w:rPr>
              <w:t>②别除权</w:t>
            </w:r>
            <w:r>
              <w:rPr>
                <w:rFonts w:hint="eastAsia" w:ascii="汉仪书宋一简" w:eastAsia="汉仪书宋一简"/>
                <w:color w:val="FF0000"/>
                <w:kern w:val="0"/>
                <w:sz w:val="20"/>
                <w:szCs w:val="20"/>
              </w:rPr>
              <w:t>以抵押、质押、留置三种担保物权为基础权利</w:t>
            </w:r>
          </w:p>
          <w:p w14:paraId="7B1597DA">
            <w:pPr>
              <w:spacing w:before="31" w:beforeLines="10" w:after="62" w:afterLines="20" w:line="280" w:lineRule="exact"/>
              <w:ind w:firstLine="0" w:firstLineChars="0"/>
              <w:rPr>
                <w:rFonts w:hint="eastAsia" w:ascii="汉仪书宋一简" w:eastAsia="汉仪书宋一简"/>
                <w:color w:val="FF0000"/>
                <w:kern w:val="0"/>
                <w:sz w:val="20"/>
                <w:szCs w:val="20"/>
              </w:rPr>
            </w:pPr>
            <w:r>
              <w:rPr>
                <w:rFonts w:hint="eastAsia" w:ascii="汉仪书宋一简" w:eastAsia="汉仪书宋一简"/>
                <w:kern w:val="0"/>
                <w:sz w:val="20"/>
                <w:szCs w:val="20"/>
              </w:rPr>
              <w:t>③别除权的标的物在破产宣告前属于债务人财产，但</w:t>
            </w:r>
            <w:r>
              <w:rPr>
                <w:rFonts w:hint="eastAsia" w:ascii="汉仪书宋一简" w:eastAsia="汉仪书宋一简"/>
                <w:color w:val="FF0000"/>
                <w:kern w:val="0"/>
                <w:sz w:val="20"/>
                <w:szCs w:val="20"/>
              </w:rPr>
              <w:t>在破产宣告后不计入破产财产（债务人财产和破产财产区分于破除宣告时）</w:t>
            </w:r>
          </w:p>
          <w:p w14:paraId="066F8521">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④在法院裁定和解和裁定宣告债务人破产时可以行使</w:t>
            </w:r>
          </w:p>
          <w:p w14:paraId="7F52EB12">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t>⑤债权人未能通过别除权实现的债权计入普通破产债权</w:t>
            </w:r>
          </w:p>
        </w:tc>
      </w:tr>
      <w:tr w14:paraId="188F1C2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994" w:type="pct"/>
            <w:shd w:val="clear" w:color="auto" w:fill="auto"/>
            <w:vAlign w:val="center"/>
          </w:tcPr>
          <w:p w14:paraId="49E80C14">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破产清偿顺序</w:t>
            </w:r>
          </w:p>
        </w:tc>
        <w:tc>
          <w:tcPr>
            <w:tcW w:w="4006" w:type="pct"/>
            <w:shd w:val="clear" w:color="auto" w:fill="auto"/>
            <w:vAlign w:val="center"/>
          </w:tcPr>
          <w:p w14:paraId="662424D8">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破产财产在优先清偿破产费用和共益债务后，依照下列顺序清偿：</w:t>
            </w:r>
          </w:p>
          <w:p w14:paraId="13A65A8C">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①职工债权和应划入个人账户的社保费用</w:t>
            </w:r>
          </w:p>
          <w:p w14:paraId="6FEC6BCC">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②破产人欠缴的除前项规定以外的社会保险费用和破产人所欠税款</w:t>
            </w:r>
          </w:p>
          <w:p w14:paraId="5BF06120">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③普通破产债权</w:t>
            </w:r>
          </w:p>
          <w:p w14:paraId="2FCAF7BF">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破产财产不足以清偿同一顺序的清偿要求的，按照比例分配</w:t>
            </w:r>
          </w:p>
        </w:tc>
      </w:tr>
    </w:tbl>
    <w:p w14:paraId="4538B041">
      <w:pPr>
        <w:ind w:firstLine="480"/>
        <w:rPr>
          <w:rFonts w:hint="eastAsia" w:ascii="汉仪书宋二简" w:hAnsiTheme="majorHAnsi" w:cstheme="majorBidi"/>
          <w:bCs/>
          <w:sz w:val="24"/>
          <w:szCs w:val="28"/>
        </w:rPr>
      </w:pPr>
    </w:p>
    <w:p w14:paraId="2ACE9983">
      <w:pPr>
        <w:pStyle w:val="3"/>
        <w:ind w:firstLine="336" w:firstLineChars="120"/>
        <w:rPr>
          <w:rFonts w:hint="eastAsia"/>
        </w:rPr>
      </w:pPr>
      <w:r>
        <w:rPr>
          <w:rFonts w:hint="eastAsia"/>
        </w:rPr>
        <w:t>（三）重整程序</w:t>
      </w:r>
    </w:p>
    <w:p w14:paraId="52E3FFA5">
      <w:pPr>
        <w:ind w:firstLine="480"/>
        <w:rPr>
          <w:rFonts w:hint="eastAsia" w:ascii="汉仪书宋二简" w:hAnsiTheme="majorHAnsi" w:cstheme="majorBidi"/>
          <w:bCs/>
          <w:sz w:val="24"/>
          <w:szCs w:val="28"/>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4"/>
        <w:gridCol w:w="675"/>
        <w:gridCol w:w="6706"/>
      </w:tblGrid>
      <w:tr w14:paraId="572587D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0FD33A9B">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重整原因</w:t>
            </w:r>
          </w:p>
        </w:tc>
        <w:tc>
          <w:tcPr>
            <w:tcW w:w="4339" w:type="pct"/>
            <w:gridSpan w:val="2"/>
            <w:shd w:val="clear" w:color="auto" w:fill="auto"/>
            <w:vAlign w:val="center"/>
          </w:tcPr>
          <w:p w14:paraId="357C01BC">
            <w:pPr>
              <w:pStyle w:val="8"/>
              <w:numPr>
                <w:ilvl w:val="0"/>
                <w:numId w:val="3"/>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企业法人不能清偿到期债务，并且资产不足以清偿全部债务或明显缺乏清偿能力</w:t>
            </w:r>
          </w:p>
          <w:p w14:paraId="715B5054">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②有明显丧失清偿能力可能的</w:t>
            </w:r>
            <w:r>
              <w:rPr>
                <w:rFonts w:hint="eastAsia" w:ascii="汉仪书宋一简" w:eastAsia="汉仪书宋一简"/>
                <w:color w:val="FF0000"/>
                <w:sz w:val="20"/>
                <w:szCs w:val="20"/>
              </w:rPr>
              <w:t>（只能重整）</w:t>
            </w:r>
          </w:p>
        </w:tc>
      </w:tr>
      <w:tr w14:paraId="379727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55D967DF">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重整启动</w:t>
            </w:r>
          </w:p>
        </w:tc>
        <w:tc>
          <w:tcPr>
            <w:tcW w:w="4339" w:type="pct"/>
            <w:gridSpan w:val="2"/>
            <w:shd w:val="clear" w:color="auto" w:fill="auto"/>
            <w:vAlign w:val="center"/>
          </w:tcPr>
          <w:p w14:paraId="1072C043">
            <w:pPr>
              <w:pStyle w:val="8"/>
              <w:numPr>
                <w:ilvl w:val="0"/>
                <w:numId w:val="4"/>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初始重整申请：债务人或者债权人可以直接申请</w:t>
            </w:r>
          </w:p>
          <w:p w14:paraId="1D46938C">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②后续重整申请：债权人申请对债务人进行破产清算的，在宣告债务人破产前</w:t>
            </w:r>
            <w:r>
              <w:rPr>
                <w:rFonts w:hint="eastAsia" w:ascii="汉仪书宋一简" w:eastAsia="汉仪书宋一简"/>
                <w:color w:val="FF0000"/>
                <w:sz w:val="20"/>
                <w:szCs w:val="20"/>
              </w:rPr>
              <w:t>，债务人或出资额占债务人注册资本1/10以上的出资人（只能申请清算转重整）</w:t>
            </w:r>
            <w:r>
              <w:rPr>
                <w:rFonts w:hint="eastAsia" w:ascii="汉仪书宋一简" w:eastAsia="汉仪书宋一简"/>
                <w:sz w:val="20"/>
                <w:szCs w:val="20"/>
              </w:rPr>
              <w:t>，可以向法院申请重整</w:t>
            </w:r>
          </w:p>
        </w:tc>
      </w:tr>
      <w:tr w14:paraId="2505CE7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3CC39744">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财产管理</w:t>
            </w:r>
          </w:p>
        </w:tc>
        <w:tc>
          <w:tcPr>
            <w:tcW w:w="4339" w:type="pct"/>
            <w:gridSpan w:val="2"/>
            <w:shd w:val="clear" w:color="auto" w:fill="auto"/>
            <w:vAlign w:val="center"/>
          </w:tcPr>
          <w:p w14:paraId="368ED37C">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自法院裁定债务人重整之日起至</w:t>
            </w:r>
            <w:r>
              <w:rPr>
                <w:rFonts w:hint="eastAsia" w:ascii="汉仪书宋一简" w:hAnsi="楷体" w:eastAsia="汉仪书宋一简" w:cs="楷体"/>
                <w:sz w:val="20"/>
                <w:szCs w:val="20"/>
              </w:rPr>
              <w:t>重整程序终止</w:t>
            </w:r>
            <w:r>
              <w:rPr>
                <w:rFonts w:hint="eastAsia" w:ascii="汉仪书宋一简" w:eastAsia="汉仪书宋一简"/>
                <w:sz w:val="20"/>
                <w:szCs w:val="20"/>
              </w:rPr>
              <w:t>，为重整期间。</w:t>
            </w:r>
          </w:p>
          <w:p w14:paraId="20541656">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①经债务人申请，法院批准，债务人可以在管理人的监督下自行管理财产和营业事务，并由债务人制作重整计划草案</w:t>
            </w:r>
          </w:p>
          <w:p w14:paraId="49995531">
            <w:pPr>
              <w:spacing w:before="31" w:beforeLines="10" w:after="62" w:afterLines="20" w:line="280" w:lineRule="exact"/>
              <w:ind w:firstLine="0" w:firstLineChars="0"/>
              <w:rPr>
                <w:rFonts w:ascii="汉仪书宋一简" w:eastAsia="汉仪书宋一简"/>
                <w:sz w:val="20"/>
                <w:szCs w:val="20"/>
              </w:rPr>
            </w:pPr>
            <w:r>
              <w:rPr>
                <w:rFonts w:hint="eastAsia" w:ascii="汉仪书宋一简" w:eastAsia="汉仪书宋一简"/>
                <w:sz w:val="20"/>
                <w:szCs w:val="20"/>
              </w:rPr>
              <w:t>②管理人负责管理财产和营业事务，可以聘任债务人的经营管理人员负责营业事务，并由管理人制作重整计划草案</w:t>
            </w:r>
          </w:p>
          <w:p w14:paraId="54E9B65C">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color w:val="FF0000"/>
                <w:sz w:val="20"/>
                <w:szCs w:val="20"/>
              </w:rPr>
              <w:t>债务人自行管理或者管理人管理均可</w:t>
            </w:r>
          </w:p>
        </w:tc>
      </w:tr>
      <w:tr w14:paraId="520F2D1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shd w:val="clear" w:color="auto" w:fill="auto"/>
            <w:vAlign w:val="center"/>
          </w:tcPr>
          <w:p w14:paraId="6ACDE23F">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营业保护</w:t>
            </w:r>
          </w:p>
        </w:tc>
        <w:tc>
          <w:tcPr>
            <w:tcW w:w="4339" w:type="pct"/>
            <w:gridSpan w:val="2"/>
            <w:shd w:val="clear" w:color="auto" w:fill="auto"/>
            <w:vAlign w:val="center"/>
          </w:tcPr>
          <w:p w14:paraId="776D8E3C">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①担保权暂停行使：在重整期间</w:t>
            </w:r>
            <w:r>
              <w:rPr>
                <w:rFonts w:hint="eastAsia" w:ascii="汉仪书宋一简" w:eastAsia="汉仪书宋一简"/>
                <w:color w:val="FF0000"/>
                <w:sz w:val="20"/>
                <w:szCs w:val="20"/>
              </w:rPr>
              <w:t>，对债务人的特定财产享有的担保权暂停行使</w:t>
            </w:r>
            <w:r>
              <w:rPr>
                <w:rFonts w:hint="eastAsia" w:ascii="汉仪书宋一简" w:eastAsia="汉仪书宋一简"/>
                <w:sz w:val="20"/>
                <w:szCs w:val="20"/>
              </w:rPr>
              <w:t>。但是，担保物有损坏或价值明显减少的可能，足以危害担保权人权利的，担保权人可以向人民法院请求恢复行使担保权</w:t>
            </w:r>
          </w:p>
          <w:p w14:paraId="40F67DAC">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②新设担保：债务人或管理人为继续营业而借款的，可以为该借款设定担保</w:t>
            </w:r>
          </w:p>
          <w:p w14:paraId="4B3FFC49">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③取回权受到限制：债务人合法占有的他人财产，该财产的权利人在重整期间要求取回的，应当符合事先约定的条件</w:t>
            </w:r>
            <w:r>
              <w:rPr>
                <w:rFonts w:hint="eastAsia" w:ascii="汉仪书宋一简" w:eastAsia="汉仪书宋一简"/>
                <w:color w:val="FF0000"/>
                <w:sz w:val="20"/>
                <w:szCs w:val="20"/>
              </w:rPr>
              <w:t>（比如租期到期）</w:t>
            </w:r>
          </w:p>
          <w:p w14:paraId="70BE5D53">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4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④</w:t>
            </w:r>
            <w:r>
              <w:rPr>
                <w:rFonts w:hint="eastAsia" w:ascii="汉仪书宋一简" w:eastAsia="汉仪书宋一简"/>
                <w:sz w:val="20"/>
                <w:szCs w:val="20"/>
              </w:rPr>
              <w:fldChar w:fldCharType="end"/>
            </w:r>
            <w:r>
              <w:rPr>
                <w:rFonts w:hint="eastAsia" w:ascii="汉仪书宋一简" w:eastAsia="汉仪书宋一简"/>
                <w:sz w:val="20"/>
                <w:szCs w:val="20"/>
              </w:rPr>
              <w:t>股东权限制：债务人的出资人不得请求投资收益分配。债务人的董事、监事、高级管理人员不得向第三人转让其持有的债务人的股权。但是，经法院同意的除外</w:t>
            </w:r>
          </w:p>
        </w:tc>
      </w:tr>
      <w:tr w14:paraId="0DD2EC1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restart"/>
            <w:shd w:val="clear" w:color="auto" w:fill="auto"/>
            <w:vAlign w:val="center"/>
          </w:tcPr>
          <w:p w14:paraId="2B40BF04">
            <w:pPr>
              <w:spacing w:before="31" w:beforeLines="10" w:after="62" w:afterLines="20" w:line="280" w:lineRule="exact"/>
              <w:ind w:firstLine="0" w:firstLineChars="0"/>
              <w:jc w:val="center"/>
              <w:rPr>
                <w:rFonts w:hint="eastAsia" w:ascii="汉仪书宋一简" w:eastAsia="汉仪书宋一简"/>
                <w:b/>
                <w:sz w:val="20"/>
                <w:szCs w:val="20"/>
              </w:rPr>
            </w:pPr>
            <w:r>
              <w:rPr>
                <w:rFonts w:hint="eastAsia" w:ascii="汉仪中黑简" w:eastAsia="汉仪中黑简"/>
                <w:bCs/>
                <w:kern w:val="0"/>
                <w:sz w:val="20"/>
                <w:szCs w:val="20"/>
              </w:rPr>
              <w:t>重整计划</w:t>
            </w:r>
          </w:p>
        </w:tc>
        <w:tc>
          <w:tcPr>
            <w:tcW w:w="397" w:type="pct"/>
            <w:shd w:val="clear" w:color="auto" w:fill="auto"/>
            <w:vAlign w:val="center"/>
          </w:tcPr>
          <w:p w14:paraId="6DECCE1F">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表决</w:t>
            </w:r>
          </w:p>
          <w:p w14:paraId="30AC7B04">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批准</w:t>
            </w:r>
          </w:p>
        </w:tc>
        <w:tc>
          <w:tcPr>
            <w:tcW w:w="3942" w:type="pct"/>
            <w:shd w:val="clear" w:color="auto" w:fill="auto"/>
            <w:vAlign w:val="center"/>
          </w:tcPr>
          <w:p w14:paraId="63F816C0">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①</w:t>
            </w:r>
            <w:r>
              <w:rPr>
                <w:rFonts w:hint="eastAsia" w:ascii="汉仪书宋一简" w:eastAsia="汉仪书宋一简"/>
                <w:kern w:val="0"/>
                <w:sz w:val="20"/>
                <w:szCs w:val="20"/>
              </w:rPr>
              <w:t>分组表决。有担保债权组、职工债权组、税收债权组、普通债权组，涉及出资人权益的，应设出资人组表决</w:t>
            </w:r>
          </w:p>
          <w:p w14:paraId="3F8DBCD6">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②</w:t>
            </w:r>
            <w:r>
              <w:rPr>
                <w:rFonts w:hint="eastAsia" w:ascii="汉仪书宋一简" w:eastAsia="汉仪书宋一简"/>
                <w:kern w:val="0"/>
                <w:sz w:val="20"/>
                <w:szCs w:val="20"/>
              </w:rPr>
              <w:t>每一组内，出席会议的同一表决组的债权人过半数同意重整计划草案，并且其所代表的债权额占该组债权总额的2/3以上的，即为该组通过</w:t>
            </w:r>
          </w:p>
          <w:p w14:paraId="3B922599">
            <w:pPr>
              <w:spacing w:before="31" w:beforeLines="10" w:after="62" w:afterLines="20" w:line="280" w:lineRule="exact"/>
              <w:ind w:firstLine="0" w:firstLineChars="0"/>
              <w:rPr>
                <w:rFonts w:hint="eastAsia" w:ascii="汉仪书宋一简" w:eastAsia="汉仪书宋一简"/>
                <w:color w:val="FF0000"/>
                <w:kern w:val="0"/>
                <w:sz w:val="20"/>
                <w:szCs w:val="20"/>
              </w:rPr>
            </w:pP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3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③</w:t>
            </w:r>
            <w:r>
              <w:rPr>
                <w:rFonts w:hint="eastAsia" w:ascii="汉仪书宋一简" w:eastAsia="汉仪书宋一简"/>
                <w:kern w:val="0"/>
                <w:sz w:val="20"/>
                <w:szCs w:val="20"/>
              </w:rPr>
              <w:fldChar w:fldCharType="end"/>
            </w:r>
            <w:r>
              <w:rPr>
                <w:rFonts w:hint="eastAsia" w:ascii="汉仪书宋一简" w:hAnsi="楷体" w:eastAsia="汉仪书宋一简" w:cs="楷体"/>
                <w:color w:val="FF0000"/>
                <w:kern w:val="0"/>
                <w:sz w:val="20"/>
                <w:szCs w:val="20"/>
              </w:rPr>
              <w:t>每组都通过，重整计划通过</w:t>
            </w:r>
          </w:p>
          <w:p w14:paraId="70B93FD6">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④表决通过后须经法院审查批准，表决未通过的法院可以强行批准（谨慎使用）</w:t>
            </w:r>
          </w:p>
        </w:tc>
      </w:tr>
      <w:tr w14:paraId="1301449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61" w:type="pct"/>
            <w:vMerge w:val="continue"/>
            <w:shd w:val="clear" w:color="auto" w:fill="auto"/>
            <w:vAlign w:val="center"/>
          </w:tcPr>
          <w:p w14:paraId="6FB888EB">
            <w:pPr>
              <w:spacing w:before="31" w:beforeLines="10" w:after="62" w:afterLines="20" w:line="280" w:lineRule="exact"/>
              <w:ind w:firstLine="0" w:firstLineChars="0"/>
              <w:rPr>
                <w:rFonts w:hint="eastAsia" w:ascii="汉仪书宋一简" w:eastAsia="汉仪书宋一简"/>
                <w:b/>
                <w:kern w:val="0"/>
                <w:sz w:val="20"/>
                <w:szCs w:val="20"/>
              </w:rPr>
            </w:pPr>
          </w:p>
        </w:tc>
        <w:tc>
          <w:tcPr>
            <w:tcW w:w="397" w:type="pct"/>
            <w:shd w:val="clear" w:color="auto" w:fill="auto"/>
            <w:vAlign w:val="center"/>
          </w:tcPr>
          <w:p w14:paraId="156999A8">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效力</w:t>
            </w:r>
          </w:p>
        </w:tc>
        <w:tc>
          <w:tcPr>
            <w:tcW w:w="3942" w:type="pct"/>
            <w:shd w:val="clear" w:color="auto" w:fill="auto"/>
            <w:vAlign w:val="center"/>
          </w:tcPr>
          <w:p w14:paraId="0F38864B">
            <w:pPr>
              <w:pStyle w:val="8"/>
              <w:numPr>
                <w:ilvl w:val="0"/>
                <w:numId w:val="5"/>
              </w:numPr>
              <w:spacing w:before="31" w:beforeLines="10" w:after="62" w:afterLines="20" w:line="280" w:lineRule="exact"/>
              <w:ind w:firstLineChars="0"/>
              <w:rPr>
                <w:rFonts w:hint="eastAsia" w:ascii="汉仪书宋一简" w:eastAsia="汉仪书宋一简"/>
                <w:color w:val="FF0000"/>
                <w:kern w:val="0"/>
                <w:sz w:val="20"/>
                <w:szCs w:val="20"/>
              </w:rPr>
            </w:pPr>
            <w:r>
              <w:rPr>
                <w:rFonts w:hint="eastAsia" w:ascii="汉仪书宋一简" w:eastAsia="汉仪书宋一简"/>
                <w:kern w:val="0"/>
                <w:sz w:val="20"/>
                <w:szCs w:val="20"/>
              </w:rPr>
              <w:t>经法院裁定批准的重整计划，</w:t>
            </w:r>
            <w:r>
              <w:rPr>
                <w:rFonts w:hint="eastAsia" w:ascii="汉仪书宋一简" w:eastAsia="汉仪书宋一简"/>
                <w:color w:val="FF0000"/>
                <w:kern w:val="0"/>
                <w:sz w:val="20"/>
                <w:szCs w:val="20"/>
              </w:rPr>
              <w:t>对债务人和全体债权人均有约束力（包括未进行债权申报的）</w:t>
            </w:r>
          </w:p>
          <w:p w14:paraId="0684B0EF">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②债权人未申报债权的，在重整计划执行期间不得行使权利；在重整计划执行完毕后，可以按照重整计划规定的同类债权的清偿条件行使权利</w:t>
            </w:r>
          </w:p>
          <w:p w14:paraId="2B847174">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3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③</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债权人对债务人的保证人和其他连带债务人所享有的权利，不受重整计划的影响</w:t>
            </w:r>
          </w:p>
        </w:tc>
      </w:tr>
    </w:tbl>
    <w:p w14:paraId="32AFFE7D">
      <w:pPr>
        <w:ind w:firstLine="480"/>
        <w:rPr>
          <w:rFonts w:hint="eastAsia" w:ascii="汉仪书宋二简" w:hAnsiTheme="majorHAnsi" w:cstheme="majorBidi"/>
          <w:bCs/>
          <w:sz w:val="24"/>
          <w:szCs w:val="28"/>
        </w:rPr>
      </w:pPr>
    </w:p>
    <w:p w14:paraId="24C2C167">
      <w:pPr>
        <w:pStyle w:val="3"/>
        <w:ind w:firstLine="336" w:firstLineChars="120"/>
        <w:rPr>
          <w:rFonts w:hint="eastAsia"/>
        </w:rPr>
      </w:pPr>
      <w:r>
        <w:rPr>
          <w:rFonts w:hint="eastAsia"/>
        </w:rPr>
        <w:t>（四）和解程序</w:t>
      </w:r>
    </w:p>
    <w:p w14:paraId="5E82448A">
      <w:pPr>
        <w:ind w:firstLine="480"/>
        <w:rPr>
          <w:rFonts w:hint="eastAsia" w:ascii="汉仪书宋二简" w:hAnsiTheme="majorHAnsi" w:cstheme="majorBidi"/>
          <w:bCs/>
          <w:sz w:val="24"/>
          <w:szCs w:val="28"/>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8"/>
        <w:gridCol w:w="709"/>
        <w:gridCol w:w="6688"/>
      </w:tblGrid>
      <w:tr w14:paraId="22DDCFA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1" w:type="pct"/>
            <w:shd w:val="clear" w:color="auto" w:fill="auto"/>
            <w:vAlign w:val="center"/>
          </w:tcPr>
          <w:p w14:paraId="468C3DD8">
            <w:pPr>
              <w:spacing w:before="31" w:beforeLines="10" w:after="62" w:afterLines="20" w:line="280" w:lineRule="exact"/>
              <w:ind w:firstLine="0" w:firstLineChars="0"/>
              <w:jc w:val="center"/>
              <w:rPr>
                <w:rFonts w:hint="eastAsia" w:ascii="汉仪中黑简" w:eastAsia="汉仪中黑简"/>
                <w:bCs/>
                <w:kern w:val="0"/>
                <w:sz w:val="20"/>
                <w:szCs w:val="20"/>
              </w:rPr>
            </w:pPr>
            <w:bookmarkStart w:id="0" w:name="_Toc345927983"/>
            <w:bookmarkStart w:id="1" w:name="_Toc383961258"/>
            <w:bookmarkStart w:id="2" w:name="_Toc11550"/>
            <w:r>
              <w:rPr>
                <w:rFonts w:hint="eastAsia" w:ascii="汉仪中黑简" w:eastAsia="汉仪中黑简"/>
                <w:bCs/>
                <w:kern w:val="0"/>
                <w:sz w:val="20"/>
                <w:szCs w:val="20"/>
              </w:rPr>
              <w:t>概念</w:t>
            </w:r>
          </w:p>
        </w:tc>
        <w:tc>
          <w:tcPr>
            <w:tcW w:w="4348" w:type="pct"/>
            <w:gridSpan w:val="2"/>
            <w:shd w:val="clear" w:color="auto" w:fill="auto"/>
            <w:vAlign w:val="center"/>
          </w:tcPr>
          <w:p w14:paraId="0D2D6DE6">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t>债务人不能清偿债务时，为避免破产清算，经与债权人会议协商达成相互间的谅解的一项制度</w:t>
            </w:r>
          </w:p>
        </w:tc>
      </w:tr>
      <w:tr w14:paraId="19A2F76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1" w:type="pct"/>
            <w:shd w:val="clear" w:color="auto" w:fill="auto"/>
            <w:vAlign w:val="center"/>
          </w:tcPr>
          <w:p w14:paraId="3273C489">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启动</w:t>
            </w:r>
          </w:p>
        </w:tc>
        <w:tc>
          <w:tcPr>
            <w:tcW w:w="4348" w:type="pct"/>
            <w:gridSpan w:val="2"/>
            <w:shd w:val="clear" w:color="auto" w:fill="auto"/>
            <w:vAlign w:val="center"/>
          </w:tcPr>
          <w:p w14:paraId="1E477C36">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①</w:t>
            </w:r>
            <w:r>
              <w:rPr>
                <w:rFonts w:hint="eastAsia" w:ascii="汉仪书宋一简" w:eastAsia="汉仪书宋一简"/>
                <w:color w:val="FF0000"/>
                <w:kern w:val="0"/>
                <w:sz w:val="20"/>
                <w:szCs w:val="20"/>
              </w:rPr>
              <w:t>只有债务人才能申请</w:t>
            </w:r>
            <w:r>
              <w:rPr>
                <w:rFonts w:hint="eastAsia" w:ascii="汉仪书宋一简" w:eastAsia="汉仪书宋一简"/>
                <w:kern w:val="0"/>
                <w:sz w:val="20"/>
                <w:szCs w:val="20"/>
              </w:rPr>
              <w:t>，可以直接申请，也可以在破产程序中申请</w:t>
            </w:r>
          </w:p>
          <w:p w14:paraId="3774DF30">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t>②债务人申请和解，应当提出和解协议草案</w:t>
            </w:r>
          </w:p>
        </w:tc>
      </w:tr>
      <w:tr w14:paraId="641D6D2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1" w:type="pct"/>
            <w:shd w:val="clear" w:color="auto" w:fill="auto"/>
            <w:vAlign w:val="center"/>
          </w:tcPr>
          <w:p w14:paraId="1BFAD2E9">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审查</w:t>
            </w:r>
          </w:p>
        </w:tc>
        <w:tc>
          <w:tcPr>
            <w:tcW w:w="4348" w:type="pct"/>
            <w:gridSpan w:val="2"/>
            <w:shd w:val="clear" w:color="auto" w:fill="auto"/>
            <w:vAlign w:val="center"/>
          </w:tcPr>
          <w:p w14:paraId="007A04F9">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t>法院经审查认为和解申请合法的，应当裁定和解，予以公告，并召集债权人会议讨论和解协议草案</w:t>
            </w:r>
          </w:p>
        </w:tc>
      </w:tr>
      <w:tr w14:paraId="42A085F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1" w:type="pct"/>
            <w:vMerge w:val="restart"/>
            <w:shd w:val="clear" w:color="auto" w:fill="auto"/>
            <w:vAlign w:val="center"/>
          </w:tcPr>
          <w:p w14:paraId="57F0F01E">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和解协议</w:t>
            </w:r>
          </w:p>
        </w:tc>
        <w:tc>
          <w:tcPr>
            <w:tcW w:w="417" w:type="pct"/>
            <w:shd w:val="clear" w:color="auto" w:fill="auto"/>
            <w:vAlign w:val="center"/>
          </w:tcPr>
          <w:p w14:paraId="5138A5BC">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表决</w:t>
            </w:r>
          </w:p>
        </w:tc>
        <w:tc>
          <w:tcPr>
            <w:tcW w:w="3931" w:type="pct"/>
            <w:shd w:val="clear" w:color="auto" w:fill="auto"/>
            <w:vAlign w:val="center"/>
          </w:tcPr>
          <w:p w14:paraId="053AFA49">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由出席会议的有表决权的</w:t>
            </w:r>
            <w:r>
              <w:rPr>
                <w:rFonts w:hint="eastAsia" w:ascii="汉仪书宋一简" w:eastAsia="汉仪书宋一简"/>
                <w:color w:val="FF0000"/>
                <w:kern w:val="0"/>
                <w:sz w:val="20"/>
                <w:szCs w:val="20"/>
              </w:rPr>
              <w:t>债权人过半数同意，并且其所代表的债权额占</w:t>
            </w:r>
            <w:r>
              <w:rPr>
                <w:rFonts w:hint="eastAsia" w:ascii="汉仪书宋一简" w:hAnsi="楷体" w:eastAsia="汉仪书宋一简" w:cs="楷体"/>
                <w:color w:val="FF0000"/>
                <w:kern w:val="0"/>
                <w:sz w:val="20"/>
                <w:szCs w:val="20"/>
              </w:rPr>
              <w:t>无财产担保债权总额的2/3以上</w:t>
            </w:r>
            <w:r>
              <w:rPr>
                <w:rFonts w:hint="eastAsia" w:ascii="汉仪书宋一简" w:eastAsia="汉仪书宋一简"/>
                <w:kern w:val="0"/>
                <w:sz w:val="20"/>
                <w:szCs w:val="20"/>
              </w:rPr>
              <w:t>。经法院裁定认可后生效</w:t>
            </w:r>
          </w:p>
        </w:tc>
      </w:tr>
      <w:tr w14:paraId="11F8212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51" w:type="pct"/>
            <w:vMerge w:val="continue"/>
            <w:shd w:val="clear" w:color="auto" w:fill="auto"/>
            <w:vAlign w:val="center"/>
          </w:tcPr>
          <w:p w14:paraId="233FCDC4">
            <w:pPr>
              <w:spacing w:before="31" w:beforeLines="10" w:after="62" w:afterLines="20" w:line="280" w:lineRule="exact"/>
              <w:ind w:firstLine="0" w:firstLineChars="0"/>
              <w:rPr>
                <w:rFonts w:hint="eastAsia" w:ascii="汉仪书宋一简" w:eastAsia="汉仪书宋一简"/>
                <w:b/>
                <w:kern w:val="0"/>
                <w:sz w:val="20"/>
                <w:szCs w:val="20"/>
              </w:rPr>
            </w:pPr>
          </w:p>
        </w:tc>
        <w:tc>
          <w:tcPr>
            <w:tcW w:w="417" w:type="pct"/>
            <w:shd w:val="clear" w:color="auto" w:fill="auto"/>
            <w:vAlign w:val="center"/>
          </w:tcPr>
          <w:p w14:paraId="61C58FCC">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效力</w:t>
            </w:r>
          </w:p>
        </w:tc>
        <w:tc>
          <w:tcPr>
            <w:tcW w:w="3931" w:type="pct"/>
            <w:shd w:val="clear" w:color="auto" w:fill="auto"/>
            <w:vAlign w:val="center"/>
          </w:tcPr>
          <w:p w14:paraId="732A7CC4">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中黑简" w:eastAsia="汉仪中黑简"/>
                <w:bCs/>
                <w:kern w:val="0"/>
                <w:sz w:val="20"/>
                <w:szCs w:val="20"/>
              </w:rPr>
              <w:t>①终止和解程序：</w:t>
            </w:r>
            <w:r>
              <w:rPr>
                <w:rFonts w:hint="eastAsia" w:ascii="汉仪书宋一简" w:eastAsia="汉仪书宋一简"/>
                <w:kern w:val="0"/>
                <w:sz w:val="20"/>
                <w:szCs w:val="20"/>
              </w:rPr>
              <w:t>债权人会议通过和解协议的，由法院裁定认可，终止和解程序，并予以公告。管理人应当向债务人移交财产和营业事务，并向法院提交执行职务的报告</w:t>
            </w:r>
          </w:p>
          <w:p w14:paraId="40016E7A">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中黑简" w:eastAsia="汉仪中黑简"/>
                <w:bCs/>
                <w:kern w:val="0"/>
                <w:sz w:val="20"/>
                <w:szCs w:val="20"/>
              </w:rPr>
              <w:t>②约束力：</w:t>
            </w:r>
            <w:r>
              <w:rPr>
                <w:rFonts w:hint="eastAsia" w:ascii="汉仪书宋一简" w:eastAsia="汉仪书宋一简"/>
                <w:kern w:val="0"/>
                <w:sz w:val="20"/>
                <w:szCs w:val="20"/>
              </w:rPr>
              <w:t>经法院裁定认可的和解协议</w:t>
            </w:r>
            <w:r>
              <w:rPr>
                <w:rFonts w:hint="eastAsia" w:ascii="汉仪书宋一简" w:eastAsia="汉仪书宋一简"/>
                <w:color w:val="FF0000"/>
                <w:kern w:val="0"/>
                <w:sz w:val="20"/>
                <w:szCs w:val="20"/>
              </w:rPr>
              <w:t>，对债务人和全体和解债权人（</w:t>
            </w:r>
            <w:r>
              <w:rPr>
                <w:rFonts w:hint="eastAsia" w:ascii="汉仪书宋一简" w:hAnsi="楷体" w:eastAsia="汉仪书宋一简"/>
                <w:color w:val="FF0000"/>
                <w:kern w:val="0"/>
                <w:sz w:val="20"/>
                <w:szCs w:val="20"/>
              </w:rPr>
              <w:t>法院受理破产申请时对债务人享有无财产担保债权的人</w:t>
            </w:r>
            <w:r>
              <w:rPr>
                <w:rFonts w:hint="eastAsia" w:ascii="汉仪书宋一简" w:eastAsia="汉仪书宋一简"/>
                <w:color w:val="FF0000"/>
                <w:kern w:val="0"/>
                <w:sz w:val="20"/>
                <w:szCs w:val="20"/>
              </w:rPr>
              <w:t>）均有约束力。</w:t>
            </w:r>
            <w:r>
              <w:rPr>
                <w:rFonts w:hint="eastAsia" w:ascii="汉仪书宋一简" w:eastAsia="汉仪书宋一简"/>
                <w:kern w:val="0"/>
                <w:sz w:val="20"/>
                <w:szCs w:val="20"/>
              </w:rPr>
              <w:t>债务人应当按照和解协议规定的条件清偿债务。按照和解协议减免的债务，自和解协议执行完毕时起，债务人不再承担清偿责任</w:t>
            </w:r>
          </w:p>
        </w:tc>
      </w:tr>
      <w:bookmarkEnd w:id="0"/>
      <w:bookmarkEnd w:id="1"/>
      <w:bookmarkEnd w:id="2"/>
    </w:tbl>
    <w:p w14:paraId="3CAEAFFB">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p w14:paraId="15DEF947">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考点27  </w:t>
      </w:r>
      <w:r>
        <w:rPr>
          <w:rFonts w:hint="eastAsia" w:ascii="汉仪粗宋简" w:hAnsi="Times New Roman" w:eastAsia="汉仪大宋简" w:cs="汉仪粗宋简"/>
          <w:b/>
          <w:bCs/>
          <w:color w:val="000000"/>
          <w:kern w:val="0"/>
          <w:position w:val="4"/>
          <w:sz w:val="26"/>
          <w:szCs w:val="26"/>
          <w:lang w:val="zh-CN"/>
        </w:rPr>
        <w:t>票据抗辩</w:t>
      </w:r>
    </w:p>
    <w:p w14:paraId="260DE78B">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84"/>
        <w:gridCol w:w="1150"/>
        <w:gridCol w:w="5101"/>
        <w:gridCol w:w="1570"/>
      </w:tblGrid>
      <w:tr w14:paraId="25692AD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078" w:type="pct"/>
            <w:gridSpan w:val="2"/>
            <w:shd w:val="clear" w:color="auto" w:fill="auto"/>
            <w:vAlign w:val="center"/>
          </w:tcPr>
          <w:p w14:paraId="7E7895A9">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定义</w:t>
            </w:r>
          </w:p>
        </w:tc>
        <w:tc>
          <w:tcPr>
            <w:tcW w:w="3922" w:type="pct"/>
            <w:gridSpan w:val="2"/>
            <w:shd w:val="clear" w:color="auto" w:fill="auto"/>
            <w:vAlign w:val="center"/>
          </w:tcPr>
          <w:p w14:paraId="73127040">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票据债务人根据票据法的规定对票据债权人拒绝履行义务的行为</w:t>
            </w:r>
          </w:p>
        </w:tc>
      </w:tr>
      <w:tr w14:paraId="50B7236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02" w:type="pct"/>
            <w:vMerge w:val="restart"/>
            <w:shd w:val="clear" w:color="auto" w:fill="auto"/>
            <w:vAlign w:val="center"/>
          </w:tcPr>
          <w:p w14:paraId="4E9CF04A">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种类</w:t>
            </w:r>
          </w:p>
        </w:tc>
        <w:tc>
          <w:tcPr>
            <w:tcW w:w="675" w:type="pct"/>
            <w:shd w:val="clear" w:color="auto" w:fill="auto"/>
            <w:vAlign w:val="center"/>
          </w:tcPr>
          <w:p w14:paraId="75BB2896">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物的抗辩</w:t>
            </w:r>
            <w:r>
              <w:rPr>
                <w:rFonts w:hint="eastAsia" w:ascii="汉仪中黑简" w:eastAsia="汉仪中黑简"/>
                <w:bCs/>
                <w:color w:val="FF0000"/>
                <w:sz w:val="20"/>
                <w:szCs w:val="20"/>
              </w:rPr>
              <w:t>（票据本身有问题）</w:t>
            </w:r>
          </w:p>
        </w:tc>
        <w:tc>
          <w:tcPr>
            <w:tcW w:w="3922" w:type="pct"/>
            <w:gridSpan w:val="2"/>
            <w:shd w:val="clear" w:color="auto" w:fill="auto"/>
            <w:vAlign w:val="center"/>
          </w:tcPr>
          <w:p w14:paraId="2810FD4D">
            <w:pPr>
              <w:pStyle w:val="8"/>
              <w:numPr>
                <w:ilvl w:val="0"/>
                <w:numId w:val="6"/>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欠缺法定必要记载事项或不符合法定格式的</w:t>
            </w:r>
            <w:r>
              <w:rPr>
                <w:rFonts w:ascii="汉仪书宋一简" w:eastAsia="汉仪书宋一简"/>
                <w:sz w:val="20"/>
                <w:szCs w:val="20"/>
              </w:rPr>
              <w:t xml:space="preserve"> </w:t>
            </w:r>
            <w:r>
              <w:rPr>
                <w:rFonts w:hint="eastAsia" w:ascii="汉仪书宋一简" w:eastAsia="汉仪书宋一简"/>
                <w:sz w:val="20"/>
                <w:szCs w:val="20"/>
              </w:rPr>
              <w:t xml:space="preserve"> </w:t>
            </w:r>
            <w:r>
              <w:rPr>
                <w:rFonts w:hint="eastAsia" w:ascii="汉仪书宋一简" w:eastAsia="汉仪书宋一简"/>
                <w:color w:val="FF0000"/>
                <w:sz w:val="20"/>
                <w:szCs w:val="20"/>
              </w:rPr>
              <w:t>违反要式</w:t>
            </w:r>
          </w:p>
          <w:p w14:paraId="2ED241B9">
            <w:pPr>
              <w:pStyle w:val="8"/>
              <w:numPr>
                <w:ilvl w:val="0"/>
                <w:numId w:val="6"/>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 xml:space="preserve">超过票据权利时效的  </w:t>
            </w:r>
            <w:r>
              <w:rPr>
                <w:rFonts w:hint="eastAsia" w:ascii="汉仪书宋一简" w:eastAsia="汉仪书宋一简"/>
                <w:color w:val="FF0000"/>
                <w:sz w:val="20"/>
                <w:szCs w:val="20"/>
              </w:rPr>
              <w:t>有短期时效</w:t>
            </w:r>
          </w:p>
          <w:p w14:paraId="53302C60">
            <w:pPr>
              <w:pStyle w:val="8"/>
              <w:numPr>
                <w:ilvl w:val="0"/>
                <w:numId w:val="6"/>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法院作出的除权判决已经发生法律效力的</w:t>
            </w:r>
          </w:p>
          <w:p w14:paraId="7A23345D">
            <w:pPr>
              <w:pStyle w:val="8"/>
              <w:numPr>
                <w:ilvl w:val="0"/>
                <w:numId w:val="6"/>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以背书方式取得但背书不连续的</w:t>
            </w:r>
            <w:r>
              <w:rPr>
                <w:rFonts w:ascii="汉仪书宋一简" w:eastAsia="汉仪书宋一简"/>
                <w:sz w:val="20"/>
                <w:szCs w:val="20"/>
              </w:rPr>
              <w:t xml:space="preserve"> </w:t>
            </w:r>
            <w:r>
              <w:rPr>
                <w:rFonts w:hint="eastAsia" w:ascii="汉仪书宋一简" w:eastAsia="汉仪书宋一简"/>
                <w:sz w:val="20"/>
                <w:szCs w:val="20"/>
              </w:rPr>
              <w:t xml:space="preserve"> </w:t>
            </w:r>
            <w:r>
              <w:rPr>
                <w:rFonts w:hint="eastAsia" w:ascii="汉仪书宋一简" w:eastAsia="汉仪书宋一简"/>
                <w:color w:val="FF0000"/>
                <w:sz w:val="20"/>
                <w:szCs w:val="20"/>
              </w:rPr>
              <w:t>没有票据权利</w:t>
            </w:r>
          </w:p>
          <w:p w14:paraId="339CDDA7">
            <w:pPr>
              <w:pStyle w:val="8"/>
              <w:numPr>
                <w:ilvl w:val="0"/>
                <w:numId w:val="6"/>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 xml:space="preserve">无权代理情况下被代理人的抗辩  </w:t>
            </w:r>
            <w:r>
              <w:rPr>
                <w:rFonts w:hint="eastAsia" w:ascii="汉仪书宋一简" w:eastAsia="汉仪书宋一简"/>
                <w:color w:val="FF0000"/>
                <w:sz w:val="20"/>
                <w:szCs w:val="20"/>
              </w:rPr>
              <w:t>被代理人不承担责任，责任代理人承担</w:t>
            </w:r>
          </w:p>
          <w:p w14:paraId="23F031E7">
            <w:pPr>
              <w:pStyle w:val="8"/>
              <w:numPr>
                <w:ilvl w:val="0"/>
                <w:numId w:val="6"/>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票据瑕疵的抗辩（</w:t>
            </w:r>
            <w:r>
              <w:rPr>
                <w:rFonts w:hint="eastAsia" w:ascii="汉仪书宋一简" w:hAnsi="楷体" w:eastAsia="汉仪书宋一简"/>
                <w:sz w:val="20"/>
                <w:szCs w:val="20"/>
              </w:rPr>
              <w:t>被伪造签章者可以抗辩；行为能力瑕疵者的监护人可以抗辩；变造之前签章的对变造之后的记载事项抗辩，变造之后签章者对变造之前的记载事项抗辩，不能辨别是在票据被变造之前或者之后签章的对变造之后的记载事项抗辩</w:t>
            </w:r>
            <w:r>
              <w:rPr>
                <w:rFonts w:hint="eastAsia" w:ascii="汉仪书宋一简" w:eastAsia="汉仪书宋一简"/>
                <w:sz w:val="20"/>
                <w:szCs w:val="20"/>
              </w:rPr>
              <w:t>）</w:t>
            </w:r>
            <w:r>
              <w:rPr>
                <w:rFonts w:hint="eastAsia" w:ascii="汉仪书宋一简" w:eastAsia="汉仪书宋一简"/>
                <w:color w:val="FF0000"/>
                <w:sz w:val="20"/>
                <w:szCs w:val="20"/>
              </w:rPr>
              <w:t>伪造签章无效；票据行为独立性不影响其他行为效力，被伪造者可以抗辩</w:t>
            </w:r>
          </w:p>
        </w:tc>
      </w:tr>
      <w:tr w14:paraId="534E5A7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02" w:type="pct"/>
            <w:vMerge w:val="continue"/>
            <w:shd w:val="clear" w:color="auto" w:fill="auto"/>
            <w:vAlign w:val="center"/>
          </w:tcPr>
          <w:p w14:paraId="1CD671B3">
            <w:pPr>
              <w:spacing w:before="31" w:beforeLines="10" w:after="62" w:afterLines="20" w:line="280" w:lineRule="exact"/>
              <w:ind w:firstLine="0" w:firstLineChars="0"/>
              <w:jc w:val="center"/>
              <w:rPr>
                <w:rFonts w:hint="eastAsia" w:ascii="汉仪中黑简" w:eastAsia="汉仪中黑简"/>
                <w:bCs/>
                <w:sz w:val="20"/>
                <w:szCs w:val="20"/>
              </w:rPr>
            </w:pPr>
          </w:p>
        </w:tc>
        <w:tc>
          <w:tcPr>
            <w:tcW w:w="675" w:type="pct"/>
            <w:shd w:val="clear" w:color="auto" w:fill="auto"/>
            <w:vAlign w:val="center"/>
          </w:tcPr>
          <w:p w14:paraId="69D4B1D9">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人的抗辩</w:t>
            </w:r>
          </w:p>
        </w:tc>
        <w:tc>
          <w:tcPr>
            <w:tcW w:w="2999" w:type="pct"/>
            <w:shd w:val="clear" w:color="auto" w:fill="auto"/>
            <w:vAlign w:val="center"/>
          </w:tcPr>
          <w:p w14:paraId="1FB7B929">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①欠缺原因关系，或原因关系无效的抗辩</w:t>
            </w:r>
          </w:p>
          <w:p w14:paraId="66471FE0">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w:t>
            </w:r>
            <w:r>
              <w:rPr>
                <w:rFonts w:hint="eastAsia" w:ascii="汉仪书宋一简" w:eastAsia="汉仪书宋一简"/>
                <w:color w:val="FF0000"/>
                <w:sz w:val="20"/>
                <w:szCs w:val="20"/>
              </w:rPr>
              <w:t>持票人与票据债务人有直接债权债务关系并且不履行约定义务的</w:t>
            </w:r>
          </w:p>
        </w:tc>
        <w:tc>
          <w:tcPr>
            <w:tcW w:w="923" w:type="pct"/>
            <w:shd w:val="clear" w:color="auto" w:fill="auto"/>
            <w:vAlign w:val="center"/>
          </w:tcPr>
          <w:p w14:paraId="519EC73D">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仅适用于</w:t>
            </w:r>
            <w:r>
              <w:rPr>
                <w:rFonts w:hint="eastAsia" w:ascii="汉仪书宋一简" w:hAnsi="楷体" w:eastAsia="汉仪书宋一简" w:cs="楷体"/>
                <w:sz w:val="20"/>
                <w:szCs w:val="20"/>
              </w:rPr>
              <w:t>直接当事人</w:t>
            </w:r>
            <w:r>
              <w:rPr>
                <w:rFonts w:hint="eastAsia" w:ascii="汉仪书宋一简" w:eastAsia="汉仪书宋一简"/>
                <w:sz w:val="20"/>
                <w:szCs w:val="20"/>
              </w:rPr>
              <w:t>之间</w:t>
            </w:r>
          </w:p>
        </w:tc>
      </w:tr>
    </w:tbl>
    <w:p w14:paraId="7FF11889">
      <w:pPr>
        <w:spacing w:after="156" w:afterLines="50"/>
        <w:ind w:left="1575" w:leftChars="750" w:firstLine="0" w:firstLineChars="0"/>
        <w:jc w:val="left"/>
        <w:rPr>
          <w:rFonts w:hint="eastAsia" w:ascii="汉仪中黑简" w:hAnsi="汉仪书宋二简" w:eastAsia="汉仪中黑简" w:cs="汉仪书宋二简"/>
          <w:kern w:val="0"/>
        </w:rPr>
      </w:pPr>
      <w:r>
        <w:rPr>
          <w:rFonts w:hint="eastAsia" w:ascii="楷体" w:hAnsi="楷体" w:eastAsia="楷体" w:cs="仿宋"/>
          <w:kern w:val="0"/>
        </w:rPr>
        <mc:AlternateContent>
          <mc:Choice Requires="wpg">
            <w:drawing>
              <wp:anchor distT="0" distB="0" distL="114300" distR="114300" simplePos="0" relativeHeight="251660288" behindDoc="1" locked="0" layoutInCell="1" allowOverlap="1">
                <wp:simplePos x="0" y="0"/>
                <wp:positionH relativeFrom="margin">
                  <wp:posOffset>89535</wp:posOffset>
                </wp:positionH>
                <wp:positionV relativeFrom="paragraph">
                  <wp:posOffset>-57150</wp:posOffset>
                </wp:positionV>
                <wp:extent cx="5361305" cy="363220"/>
                <wp:effectExtent l="0" t="0" r="10795" b="0"/>
                <wp:wrapNone/>
                <wp:docPr id="259352078" name="组合 6"/>
                <wp:cNvGraphicFramePr/>
                <a:graphic xmlns:a="http://schemas.openxmlformats.org/drawingml/2006/main">
                  <a:graphicData uri="http://schemas.microsoft.com/office/word/2010/wordprocessingGroup">
                    <wpg:wgp>
                      <wpg:cNvGrpSpPr/>
                      <wpg:grpSpPr>
                        <a:xfrm>
                          <a:off x="0" y="0"/>
                          <a:ext cx="5361050" cy="362971"/>
                          <a:chOff x="0" y="0"/>
                          <a:chExt cx="5361050" cy="362971"/>
                        </a:xfrm>
                      </wpg:grpSpPr>
                      <wpg:grpSp>
                        <wpg:cNvPr id="1551995050" name="组合 5"/>
                        <wpg:cNvGrpSpPr/>
                        <wpg:grpSpPr>
                          <a:xfrm>
                            <a:off x="38100" y="126073"/>
                            <a:ext cx="5322950" cy="180134"/>
                            <a:chOff x="2321" y="16113"/>
                            <a:chExt cx="5322950" cy="180134"/>
                          </a:xfrm>
                        </wpg:grpSpPr>
                        <wps:wsp>
                          <wps:cNvPr id="292030769" name="矩形 1"/>
                          <wps:cNvSpPr/>
                          <wps:spPr>
                            <a:xfrm>
                              <a:off x="2321" y="16247"/>
                              <a:ext cx="828000" cy="1800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999917317" name="组合 4"/>
                          <wpg:cNvGrpSpPr/>
                          <wpg:grpSpPr>
                            <a:xfrm>
                              <a:off x="635903" y="30170"/>
                              <a:ext cx="144000" cy="144000"/>
                              <a:chOff x="-62661" y="0"/>
                              <a:chExt cx="144000" cy="144000"/>
                            </a:xfrm>
                          </wpg:grpSpPr>
                          <wps:wsp>
                            <wps:cNvPr id="1379838142" name="椭圆 2"/>
                            <wps:cNvSpPr/>
                            <wps:spPr>
                              <a:xfrm>
                                <a:off x="-62661" y="0"/>
                                <a:ext cx="144000" cy="144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8004885" name="等腰三角形 3"/>
                            <wps:cNvSpPr/>
                            <wps:spPr>
                              <a:xfrm rot="5400000">
                                <a:off x="-19190" y="36509"/>
                                <a:ext cx="83488" cy="71972"/>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09706890" name="矩形 1"/>
                          <wps:cNvSpPr/>
                          <wps:spPr>
                            <a:xfrm>
                              <a:off x="829434" y="16113"/>
                              <a:ext cx="4495837" cy="180000"/>
                            </a:xfrm>
                            <a:prstGeom prst="rect">
                              <a:avLst/>
                            </a:prstGeom>
                            <a:gradFill flip="none" rotWithShape="1">
                              <a:gsLst>
                                <a:gs pos="0">
                                  <a:schemeClr val="accent3">
                                    <a:lumMod val="10000"/>
                                    <a:lumOff val="90000"/>
                                  </a:schemeClr>
                                </a:gs>
                                <a:gs pos="74000">
                                  <a:schemeClr val="accent3">
                                    <a:lumMod val="45000"/>
                                    <a:lumOff val="55000"/>
                                  </a:schemeClr>
                                </a:gs>
                                <a:gs pos="83000">
                                  <a:schemeClr val="bg1">
                                    <a:lumMod val="85000"/>
                                  </a:schemeClr>
                                </a:gs>
                                <a:gs pos="100000">
                                  <a:schemeClr val="bg1">
                                    <a:lumMod val="75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644733794" name="矩形 1"/>
                        <wps:cNvSpPr/>
                        <wps:spPr>
                          <a:xfrm>
                            <a:off x="0" y="0"/>
                            <a:ext cx="735496" cy="362971"/>
                          </a:xfrm>
                          <a:prstGeom prst="rect">
                            <a:avLst/>
                          </a:prstGeom>
                          <a:noFill/>
                          <a:ln w="12700" cap="flat" cmpd="sng" algn="ctr">
                            <a:noFill/>
                            <a:prstDash val="solid"/>
                            <a:miter lim="800000"/>
                          </a:ln>
                          <a:effectLst/>
                        </wps:spPr>
                        <wps:txbx>
                          <w:txbxContent>
                            <w:p w14:paraId="6F25F409">
                              <w:pPr>
                                <w:ind w:firstLine="0" w:firstLineChars="0"/>
                                <w:rPr>
                                  <w:rFonts w:hint="eastAsia" w:ascii="汉仪粗黑简" w:eastAsia="汉仪粗黑简"/>
                                  <w:color w:val="FFFFFF"/>
                                </w:rPr>
                              </w:pPr>
                              <w:r>
                                <w:rPr>
                                  <w:rFonts w:hint="eastAsia" w:ascii="汉仪粗黑简" w:eastAsia="汉仪粗黑简"/>
                                  <w:color w:val="FFFFFF"/>
                                </w:rPr>
                                <w:t>难点展开</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6" o:spid="_x0000_s1026" o:spt="203" style="position:absolute;left:0pt;margin-left:7.05pt;margin-top:-4.5pt;height:28.6pt;width:422.15pt;mso-position-horizontal-relative:margin;z-index:-251656192;mso-width-relative:page;mso-height-relative:page;" coordsize="5361050,362971" o:gfxdata="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">
                <o:lock v:ext="edit" aspectratio="f"/>
                <v:group id="组合 5" o:spid="_x0000_s1026" o:spt="203" style="position:absolute;left:38100;top:126073;height:180134;width:5322950;" coordorigin="2321,16113" coordsize="5322950,180134" o:gfxdata="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4kHvRxQAAAOMAAAAPAAAAAAAAAAEAIAAAACIAAABkcnMvZG93&#10;bnJldi54bWxQSwECFAAUAAAACACHTuJAMy8FnjsAAAA5AAAAFQAAAAAAAAABACAAAAAUAQAAZHJz&#10;L2dyb3Vwc2hhcGV4bWwueG1sUEsFBgAAAAAGAAYAYAEAANEDAAAAAA==&#10;">
                  <o:lock v:ext="edit" aspectratio="f"/>
                  <v:rect id="矩形 1" o:spid="_x0000_s1026" o:spt="1" style="position:absolute;left:2321;top:16247;height:180000;width:828000;v-text-anchor:middle;" fillcolor="#FF0000" filled="t" stroked="f" coordsize="21600,21600" o:gfxdata="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UZA9&#10;wAAAAOIAAAAPAAAAAAAAAAEAIAAAACIAAABkcnMvZG93bnJldi54bWxQSwECFAAUAAAACACHTuJA&#10;My8FnjsAAAA5AAAAEAAAAAAAAAABACAAAAAPAQAAZHJzL3NoYXBleG1sLnhtbFBLBQYAAAAABgAG&#10;AFsBAAC5AwAAAAA=&#10;">
                    <v:fill on="t" focussize="0,0"/>
                    <v:stroke on="f" weight="1pt" miterlimit="8" joinstyle="miter"/>
                    <v:imagedata o:title=""/>
                    <o:lock v:ext="edit" aspectratio="f"/>
                  </v:rect>
                  <v:group id="组合 4" o:spid="_x0000_s1026" o:spt="203" style="position:absolute;left:635903;top:30170;height:144000;width:144000;" coordorigin="-62661,0" coordsize="144000,144000" o:gfxdata="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CXAbyPBAAAA4gAAAA8AAAAAAAAAAQAgAAAAIgAAAGRycy9kb3ducmV2&#10;LnhtbFBLAQIUABQAAAAIAIdO4kAzLwWeOwAAADkAAAAVAAAAAAAAAAEAIAAAABABAABkcnMvZ3Jv&#10;dXBzaGFwZXhtbC54bWxQSwUGAAAAAAYABgBgAQAAzQMAAAAA&#10;">
                    <o:lock v:ext="edit" aspectratio="f"/>
                    <v:shape id="椭圆 2" o:spid="_x0000_s1026" o:spt="3" type="#_x0000_t3" style="position:absolute;left:-62661;top:0;height:144000;width:144000;v-text-anchor:middle;" fillcolor="#FFFFFF [3212]" filled="t" stroked="f" coordsize="21600,21600" o:gfxdata="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w1VM&#10;wAAAAOMAAAAPAAAAAAAAAAEAIAAAACIAAABkcnMvZG93bnJldi54bWxQSwECFAAUAAAACACHTuJA&#10;My8FnjsAAAA5AAAAEAAAAAAAAAABACAAAAAPAQAAZHJzL3NoYXBleG1sLnhtbFBLBQYAAAAABgAG&#10;AFsBAAC5AwAAAAA=&#10;">
                      <v:fill on="t" focussize="0,0"/>
                      <v:stroke on="f" weight="1pt" miterlimit="8" joinstyle="miter"/>
                      <v:imagedata o:title=""/>
                      <o:lock v:ext="edit" aspectratio="f"/>
                    </v:shape>
                    <v:shape id="等腰三角形 3" o:spid="_x0000_s1026" o:spt="5" type="#_x0000_t5" style="position:absolute;left:-19190;top:36509;height:71972;width:83488;rotation:5898240f;v-text-anchor:middle;" fillcolor="#FF0000" filled="t" stroked="f" coordsize="21600,21600" o:gfxdata="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u&#10;oKBmwwAAAOIAAAAPAAAAAAAAAAEAIAAAACIAAABkcnMvZG93bnJldi54bWxQSwECFAAUAAAACACH&#10;TuJAMy8FnjsAAAA5AAAAEAAAAAAAAAABACAAAAASAQAAZHJzL3NoYXBleG1sLnhtbFBLBQYAAAAA&#10;BgAGAFsBAAC8AwAAAAA=&#10;" adj="10800">
                      <v:fill on="t" focussize="0,0"/>
                      <v:stroke on="f" weight="1pt" miterlimit="8" joinstyle="miter"/>
                      <v:imagedata o:title=""/>
                      <o:lock v:ext="edit" aspectratio="f"/>
                    </v:shape>
                  </v:group>
                  <v:rect id="矩形 1" o:spid="_x0000_s1026" o:spt="1" style="position:absolute;left:829434;top:16113;height:180000;width:4495837;v-text-anchor:middle;" fillcolor="#FFF9E5 [342]" filled="t" stroked="f" coordsize="21600,21600" o:gfxdata="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9xftsQAAADjAAAADwAAAAAAAAABACAAAAAiAAAAZHJzL2Rvd25yZXYueG1sUEsBAhQAFAAAAAgA&#10;h07iQDMvBZ47AAAAOQAAABAAAAAAAAAAAQAgAAAAEwEAAGRycy9zaGFwZXhtbC54bWxQSwUGAAAA&#10;AAYABgBbAQAAvQMAAAAA&#10;">
                    <v:fill type="gradient" on="t" color2="#BFBFBF [2412]" colors="0f #FFF9E5;48497f #FEE388;54395f #D9D9D9;65536f #BFBFBF" angle="270" focus="100%" focussize="0,0" rotate="t"/>
                    <v:stroke on="f" weight="1pt" miterlimit="8" joinstyle="miter"/>
                    <v:imagedata o:title=""/>
                    <o:lock v:ext="edit" aspectratio="f"/>
                  </v:rect>
                </v:group>
                <v:rect id="矩形 1" o:spid="_x0000_s1026" o:spt="1" style="position:absolute;left:0;top:0;height:362971;width:735496;v-text-anchor:middle;" filled="f" stroked="f" coordsize="21600,21600" o:gfxdata="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OVrE&#10;wAAAAOMAAAAPAAAAAAAAAAEAIAAAACIAAABkcnMvZG93bnJldi54bWxQSwECFAAUAAAACACHTuJA&#10;My8FnjsAAAA5AAAAEAAAAAAAAAABACAAAAAPAQAAZHJzL3NoYXBleG1sLnhtbFBLBQYAAAAABgAG&#10;AFsBAAC5AwAAAAA=&#10;">
                  <v:fill on="f" focussize="0,0"/>
                  <v:stroke on="f" weight="1pt" miterlimit="8" joinstyle="miter"/>
                  <v:imagedata o:title=""/>
                  <o:lock v:ext="edit" aspectratio="f"/>
                  <v:textbox>
                    <w:txbxContent>
                      <w:p w14:paraId="6F25F409">
                        <w:pPr>
                          <w:ind w:firstLine="0" w:firstLineChars="0"/>
                          <w:rPr>
                            <w:rFonts w:hint="eastAsia" w:ascii="汉仪粗黑简" w:eastAsia="汉仪粗黑简"/>
                            <w:color w:val="FFFFFF"/>
                          </w:rPr>
                        </w:pPr>
                        <w:r>
                          <w:rPr>
                            <w:rFonts w:hint="eastAsia" w:ascii="汉仪粗黑简" w:eastAsia="汉仪粗黑简"/>
                            <w:color w:val="FFFFFF"/>
                          </w:rPr>
                          <w:t>难点展开</w:t>
                        </w:r>
                      </w:p>
                    </w:txbxContent>
                  </v:textbox>
                </v:rect>
              </v:group>
            </w:pict>
          </mc:Fallback>
        </mc:AlternateContent>
      </w:r>
      <w:r>
        <w:rPr>
          <w:rFonts w:hint="eastAsia" w:ascii="汉仪中黑简" w:hAnsi="汉仪书宋二简" w:eastAsia="汉仪中黑简" w:cs="汉仪书宋二简"/>
          <w:kern w:val="0"/>
        </w:rPr>
        <w:t>票据对人抗辩与无因性的关系</w:t>
      </w:r>
    </w:p>
    <w:p w14:paraId="5A1142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right="420" w:rightChars="200" w:firstLine="420"/>
        <w:rPr>
          <w:rFonts w:hint="eastAsia" w:ascii="汉仪中黑简" w:eastAsia="汉仪中黑简"/>
        </w:rPr>
      </w:pPr>
      <w:r>
        <w:rPr>
          <w:rFonts w:hint="eastAsia" w:ascii="汉仪中黑简" w:eastAsia="汉仪中黑简"/>
        </w:rPr>
        <w:t>1．若买卖合同无效</w:t>
      </w:r>
    </w:p>
    <w:p w14:paraId="6343AD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right="420" w:rightChars="200" w:firstLine="420"/>
        <w:rPr>
          <w:rFonts w:hint="eastAsia" w:ascii="汉仪书宋二简"/>
        </w:rPr>
      </w:pPr>
      <w:r>
        <w:rPr>
          <w:rFonts w:hint="eastAsia" w:ascii="汉仪书宋二简"/>
        </w:rPr>
        <w:t>收款人向出票人追索，出票人可主张欠缺原因关系的抗辩；</w:t>
      </w:r>
    </w:p>
    <w:p w14:paraId="36693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right="420" w:rightChars="200" w:firstLine="420"/>
        <w:rPr>
          <w:rFonts w:hint="eastAsia" w:ascii="汉仪书宋二简"/>
        </w:rPr>
      </w:pPr>
      <w:r>
        <w:rPr>
          <w:rFonts w:hint="eastAsia" w:ascii="汉仪书宋二简"/>
        </w:rPr>
        <w:t>善意A向出票人追索，出票人不可主张欠缺原因关系的抗辩。</w:t>
      </w:r>
    </w:p>
    <w:p w14:paraId="7E385A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right="420" w:rightChars="200" w:firstLine="420"/>
        <w:rPr>
          <w:rFonts w:hint="eastAsia" w:ascii="汉仪中黑简" w:eastAsia="汉仪中黑简"/>
        </w:rPr>
      </w:pPr>
      <w:r>
        <w:rPr>
          <w:rFonts w:hint="eastAsia" w:ascii="汉仪中黑简" w:eastAsia="汉仪中黑简"/>
        </w:rPr>
        <w:t>2．若收款人不履行到期交付货物的义务</w:t>
      </w:r>
    </w:p>
    <w:p w14:paraId="52E69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right="420" w:rightChars="200" w:firstLine="420"/>
        <w:rPr>
          <w:rFonts w:hint="eastAsia" w:ascii="汉仪书宋二简"/>
        </w:rPr>
      </w:pPr>
      <w:r>
        <w:rPr>
          <w:rFonts w:hint="eastAsia" w:ascii="汉仪书宋二简"/>
        </w:rPr>
        <w:t>收款人向出票人追索，出票人可主张对价欠缺的抗辩；（</w:t>
      </w:r>
      <w:r>
        <w:rPr>
          <w:rFonts w:hint="eastAsia" w:ascii="汉仪书宋二简"/>
          <w:color w:val="FF0000"/>
        </w:rPr>
        <w:t>有直接权利义务关系</w:t>
      </w:r>
      <w:r>
        <w:rPr>
          <w:rFonts w:hint="eastAsia" w:ascii="汉仪书宋二简"/>
        </w:rPr>
        <w:t>）</w:t>
      </w:r>
    </w:p>
    <w:p w14:paraId="72E59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right="420" w:rightChars="200" w:firstLine="420"/>
        <w:rPr>
          <w:rFonts w:hint="eastAsia" w:ascii="汉仪书宋二简"/>
          <w:b/>
        </w:rPr>
      </w:pPr>
      <w:r>
        <w:rPr>
          <w:rFonts w:hint="eastAsia" w:ascii="汉仪书宋二简"/>
        </w:rPr>
        <w:t>善意A向出票人追索，出票人不可主张对价欠缺的抗辩。</w:t>
      </w:r>
    </w:p>
    <w:p w14:paraId="0DF504EA">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考点28  </w:t>
      </w:r>
      <w:r>
        <w:rPr>
          <w:rFonts w:hint="eastAsia" w:ascii="汉仪粗宋简" w:hAnsi="Times New Roman" w:eastAsia="汉仪大宋简" w:cs="汉仪粗宋简"/>
          <w:b/>
          <w:bCs/>
          <w:color w:val="000000"/>
          <w:kern w:val="0"/>
          <w:position w:val="4"/>
          <w:sz w:val="26"/>
          <w:szCs w:val="26"/>
          <w:lang w:val="zh-CN"/>
        </w:rPr>
        <w:t>汇票</w:t>
      </w:r>
    </w:p>
    <w:p w14:paraId="0BCA4BE5">
      <w:pPr>
        <w:spacing w:line="300" w:lineRule="exact"/>
        <w:ind w:firstLine="420"/>
        <w:rPr>
          <w:rFonts w:hint="eastAsia" w:ascii="汉仪书宋二简" w:hAnsi="华文楷体" w:cs="华文楷体"/>
        </w:rPr>
      </w:pPr>
    </w:p>
    <w:p w14:paraId="0F6FA593">
      <w:pPr>
        <w:pStyle w:val="3"/>
        <w:ind w:firstLine="336" w:firstLineChars="120"/>
        <w:rPr>
          <w:rFonts w:hint="eastAsia"/>
        </w:rPr>
      </w:pPr>
      <w:r>
        <w:rPr>
          <w:rFonts w:hint="eastAsia"/>
        </w:rPr>
        <w:t>（</w:t>
      </w:r>
      <w:r>
        <w:rPr>
          <w:rFonts w:hint="eastAsia"/>
          <w:lang w:val="en-US" w:eastAsia="zh-CN"/>
        </w:rPr>
        <w:t>一</w:t>
      </w:r>
      <w:r>
        <w:rPr>
          <w:rFonts w:hint="eastAsia"/>
        </w:rPr>
        <w:t>）背书</w:t>
      </w:r>
    </w:p>
    <w:p w14:paraId="492FA68F">
      <w:pPr>
        <w:ind w:firstLine="480"/>
        <w:rPr>
          <w:rFonts w:hint="eastAsia" w:ascii="汉仪书宋二简" w:hAnsiTheme="majorHAnsi" w:cstheme="majorBidi"/>
          <w:bCs/>
          <w:sz w:val="24"/>
          <w:szCs w:val="28"/>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73"/>
        <w:gridCol w:w="7832"/>
      </w:tblGrid>
      <w:tr w14:paraId="4EAC209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396" w:type="pct"/>
            <w:shd w:val="clear" w:color="auto" w:fill="auto"/>
            <w:vAlign w:val="center"/>
          </w:tcPr>
          <w:p w14:paraId="44159198">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定义</w:t>
            </w:r>
          </w:p>
        </w:tc>
        <w:tc>
          <w:tcPr>
            <w:tcW w:w="4603" w:type="pct"/>
            <w:shd w:val="clear" w:color="auto" w:fill="auto"/>
            <w:vAlign w:val="center"/>
          </w:tcPr>
          <w:p w14:paraId="0A7F3F4D">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指持票人在票据的背面或者粘单上记载有关事项，完成签章，并将其交付相对人，从而将票据权利转让给他人或将一定的票据权利授予他人行使的票据行为</w:t>
            </w:r>
          </w:p>
        </w:tc>
      </w:tr>
      <w:tr w14:paraId="390AC05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396" w:type="pct"/>
            <w:shd w:val="clear" w:color="auto" w:fill="auto"/>
            <w:vAlign w:val="center"/>
          </w:tcPr>
          <w:p w14:paraId="3C6B6D31">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效力</w:t>
            </w:r>
          </w:p>
        </w:tc>
        <w:tc>
          <w:tcPr>
            <w:tcW w:w="4603" w:type="pct"/>
            <w:shd w:val="clear" w:color="auto" w:fill="auto"/>
            <w:vAlign w:val="center"/>
          </w:tcPr>
          <w:p w14:paraId="0048C1F4">
            <w:pPr>
              <w:pStyle w:val="8"/>
              <w:numPr>
                <w:ilvl w:val="0"/>
                <w:numId w:val="7"/>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背书转让无须经票据债务人同意</w:t>
            </w:r>
          </w:p>
          <w:p w14:paraId="02455641">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②背书转让的</w:t>
            </w:r>
            <w:r>
              <w:rPr>
                <w:rFonts w:hint="eastAsia" w:ascii="汉仪书宋一简" w:eastAsia="汉仪书宋一简"/>
                <w:color w:val="FF0000"/>
                <w:sz w:val="20"/>
                <w:szCs w:val="20"/>
              </w:rPr>
              <w:t>转让人不退出票据关系</w:t>
            </w:r>
            <w:r>
              <w:rPr>
                <w:rFonts w:ascii="汉仪书宋一简" w:eastAsia="汉仪书宋一简"/>
                <w:color w:val="FF0000"/>
                <w:sz w:val="20"/>
                <w:szCs w:val="20"/>
              </w:rPr>
              <w:t xml:space="preserve"> </w:t>
            </w:r>
            <w:r>
              <w:rPr>
                <w:rFonts w:hint="eastAsia" w:ascii="汉仪书宋一简" w:eastAsia="汉仪书宋一简"/>
                <w:color w:val="FF0000"/>
                <w:sz w:val="20"/>
                <w:szCs w:val="20"/>
              </w:rPr>
              <w:t xml:space="preserve"> 成为票据义务人</w:t>
            </w:r>
          </w:p>
        </w:tc>
      </w:tr>
      <w:tr w14:paraId="30D2EFE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396" w:type="pct"/>
            <w:shd w:val="clear" w:color="auto" w:fill="auto"/>
            <w:vAlign w:val="center"/>
          </w:tcPr>
          <w:p w14:paraId="6C8107A8">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特例</w:t>
            </w:r>
          </w:p>
        </w:tc>
        <w:tc>
          <w:tcPr>
            <w:tcW w:w="4603" w:type="pct"/>
            <w:shd w:val="clear" w:color="auto" w:fill="auto"/>
            <w:vAlign w:val="center"/>
          </w:tcPr>
          <w:p w14:paraId="2D0F97F1">
            <w:pPr>
              <w:pStyle w:val="8"/>
              <w:numPr>
                <w:ilvl w:val="0"/>
                <w:numId w:val="8"/>
              </w:numPr>
              <w:spacing w:before="31" w:beforeLines="10" w:after="62" w:afterLines="20" w:line="280" w:lineRule="exact"/>
              <w:ind w:firstLineChars="0"/>
              <w:rPr>
                <w:rFonts w:ascii="汉仪书宋一简" w:eastAsia="汉仪书宋一简"/>
                <w:color w:val="FF0000"/>
                <w:sz w:val="20"/>
                <w:szCs w:val="20"/>
              </w:rPr>
            </w:pPr>
            <w:r>
              <w:rPr>
                <w:rFonts w:hint="eastAsia" w:ascii="汉仪中黑简" w:eastAsia="汉仪中黑简"/>
                <w:bCs/>
                <w:sz w:val="20"/>
                <w:szCs w:val="20"/>
              </w:rPr>
              <w:t>附条件背书：</w:t>
            </w:r>
            <w:r>
              <w:rPr>
                <w:rFonts w:hint="eastAsia" w:ascii="汉仪书宋一简" w:eastAsia="汉仪书宋一简"/>
                <w:sz w:val="20"/>
                <w:szCs w:val="20"/>
              </w:rPr>
              <w:t>背书不得附有条件。附有条件的，</w:t>
            </w:r>
            <w:r>
              <w:rPr>
                <w:rFonts w:hint="eastAsia" w:ascii="汉仪书宋一简" w:eastAsia="汉仪书宋一简"/>
                <w:color w:val="FF0000"/>
                <w:sz w:val="20"/>
                <w:szCs w:val="20"/>
              </w:rPr>
              <w:t>所附条件不具有汇票上的效力</w:t>
            </w:r>
          </w:p>
          <w:p w14:paraId="6E9F1069">
            <w:pPr>
              <w:spacing w:before="31" w:beforeLines="10" w:after="62" w:afterLines="20" w:line="280" w:lineRule="exact"/>
              <w:ind w:firstLine="0" w:firstLineChars="0"/>
              <w:rPr>
                <w:rFonts w:hint="eastAsia" w:ascii="汉仪书宋一简" w:eastAsia="汉仪书宋一简"/>
                <w:color w:val="FF0000"/>
                <w:sz w:val="20"/>
                <w:szCs w:val="20"/>
              </w:rPr>
            </w:pPr>
            <w:r>
              <w:rPr>
                <w:rFonts w:hint="eastAsia" w:ascii="汉仪书宋一简" w:eastAsia="汉仪书宋一简"/>
                <w:color w:val="FF0000"/>
                <w:sz w:val="20"/>
                <w:szCs w:val="20"/>
              </w:rPr>
              <w:t>视为没有附条件</w:t>
            </w:r>
          </w:p>
          <w:p w14:paraId="4A44BF35">
            <w:pPr>
              <w:spacing w:before="31" w:beforeLines="10" w:after="62" w:afterLines="20" w:line="280" w:lineRule="exact"/>
              <w:ind w:firstLine="0" w:firstLineChars="0"/>
              <w:rPr>
                <w:rFonts w:hint="eastAsia" w:ascii="汉仪书宋一简" w:eastAsia="汉仪书宋一简"/>
                <w:sz w:val="20"/>
                <w:szCs w:val="20"/>
              </w:rPr>
            </w:pPr>
            <w:r>
              <w:rPr>
                <w:rFonts w:hint="eastAsia" w:ascii="汉仪中黑简" w:eastAsia="汉仪中黑简"/>
                <w:bCs/>
                <w:sz w:val="20"/>
                <w:szCs w:val="20"/>
              </w:rPr>
              <w:t>②部分背书和分别背书：</w:t>
            </w:r>
            <w:r>
              <w:rPr>
                <w:rFonts w:hint="eastAsia" w:ascii="汉仪书宋一简" w:eastAsia="汉仪书宋一简"/>
                <w:sz w:val="20"/>
                <w:szCs w:val="20"/>
              </w:rPr>
              <w:t>将汇票金额的一部分转让的背书或将汇票金额分别转让给2人以上</w:t>
            </w:r>
            <w:r>
              <w:rPr>
                <w:rFonts w:hint="eastAsia" w:ascii="汉仪书宋一简" w:eastAsia="汉仪书宋一简"/>
                <w:color w:val="FF0000"/>
                <w:sz w:val="20"/>
                <w:szCs w:val="20"/>
              </w:rPr>
              <w:t>的背书无效</w:t>
            </w:r>
          </w:p>
          <w:p w14:paraId="4A68391B">
            <w:pPr>
              <w:pStyle w:val="8"/>
              <w:numPr>
                <w:ilvl w:val="0"/>
                <w:numId w:val="8"/>
              </w:numPr>
              <w:spacing w:before="31" w:beforeLines="10" w:after="62" w:afterLines="20" w:line="280" w:lineRule="exact"/>
              <w:ind w:firstLineChars="0"/>
              <w:rPr>
                <w:rFonts w:hint="eastAsia" w:ascii="汉仪书宋一简" w:eastAsia="汉仪书宋一简"/>
                <w:sz w:val="20"/>
                <w:szCs w:val="20"/>
              </w:rPr>
            </w:pPr>
            <w:r>
              <w:rPr>
                <w:rFonts w:hint="eastAsia" w:ascii="汉仪中黑简" w:eastAsia="汉仪中黑简"/>
                <w:bCs/>
                <w:sz w:val="20"/>
                <w:szCs w:val="20"/>
              </w:rPr>
              <w:t>期后背书：</w:t>
            </w:r>
            <w:r>
              <w:rPr>
                <w:rFonts w:hint="eastAsia" w:ascii="汉仪书宋一简" w:eastAsia="汉仪书宋一简"/>
                <w:sz w:val="20"/>
                <w:szCs w:val="20"/>
              </w:rPr>
              <w:t>汇票被拒绝承兑、被拒绝付款或超过付款提示期限的，不得背书转让；背书转让的，</w:t>
            </w:r>
            <w:r>
              <w:rPr>
                <w:rFonts w:hint="eastAsia" w:ascii="汉仪书宋一简" w:eastAsia="汉仪书宋一简"/>
                <w:color w:val="FF0000"/>
                <w:sz w:val="20"/>
                <w:szCs w:val="20"/>
              </w:rPr>
              <w:t>背书人应当承担汇票责任，被背书人可以向背书人追索  不能找其他前手</w:t>
            </w:r>
          </w:p>
          <w:p w14:paraId="1B63AD62">
            <w:pPr>
              <w:pStyle w:val="8"/>
              <w:numPr>
                <w:ilvl w:val="0"/>
                <w:numId w:val="8"/>
              </w:numPr>
              <w:spacing w:before="31" w:beforeLines="10" w:after="62" w:afterLines="20" w:line="280" w:lineRule="exact"/>
              <w:ind w:firstLineChars="0"/>
              <w:rPr>
                <w:rFonts w:hint="eastAsia" w:ascii="汉仪书宋一简" w:eastAsia="汉仪书宋一简"/>
                <w:sz w:val="20"/>
                <w:szCs w:val="20"/>
              </w:rPr>
            </w:pPr>
            <w:r>
              <w:rPr>
                <w:rFonts w:hint="eastAsia" w:ascii="汉仪中黑简" w:eastAsia="汉仪中黑简"/>
                <w:bCs/>
                <w:sz w:val="20"/>
                <w:szCs w:val="20"/>
              </w:rPr>
              <w:t>限制背书：</w:t>
            </w:r>
            <w:r>
              <w:rPr>
                <w:rFonts w:hint="eastAsia" w:ascii="汉仪书宋一简" w:hAnsi="楷体" w:eastAsia="汉仪书宋一简" w:cs="楷体"/>
                <w:sz w:val="20"/>
                <w:szCs w:val="20"/>
              </w:rPr>
              <w:t>出票人</w:t>
            </w:r>
            <w:r>
              <w:rPr>
                <w:rFonts w:hint="eastAsia" w:ascii="汉仪书宋一简" w:eastAsia="汉仪书宋一简"/>
                <w:sz w:val="20"/>
                <w:szCs w:val="20"/>
              </w:rPr>
              <w:t>在票据上记载“不得转让”字样，票据持有人背书转让的，背书行为无效；</w:t>
            </w:r>
            <w:r>
              <w:rPr>
                <w:rFonts w:hint="eastAsia" w:ascii="汉仪书宋一简" w:hAnsi="楷体" w:eastAsia="汉仪书宋一简" w:cs="楷体"/>
                <w:sz w:val="20"/>
                <w:szCs w:val="20"/>
              </w:rPr>
              <w:t>背书人</w:t>
            </w:r>
            <w:r>
              <w:rPr>
                <w:rFonts w:hint="eastAsia" w:ascii="汉仪书宋一简" w:eastAsia="汉仪书宋一简"/>
                <w:sz w:val="20"/>
                <w:szCs w:val="20"/>
              </w:rPr>
              <w:t xml:space="preserve">在汇票上记载“不得转让”字样，其后手再背书转让的，原背书人对后手的被背书人不承担保证责任 </w:t>
            </w:r>
            <w:r>
              <w:rPr>
                <w:rFonts w:hint="eastAsia" w:ascii="汉仪书宋一简" w:eastAsia="汉仪书宋一简"/>
                <w:color w:val="FF0000"/>
                <w:sz w:val="20"/>
                <w:szCs w:val="20"/>
              </w:rPr>
              <w:t xml:space="preserve"> 不影响其他责任</w:t>
            </w:r>
          </w:p>
          <w:p w14:paraId="59FF43A5">
            <w:pPr>
              <w:spacing w:before="31" w:beforeLines="10" w:after="62" w:afterLines="20" w:line="280" w:lineRule="exact"/>
              <w:ind w:firstLine="0" w:firstLineChars="0"/>
              <w:rPr>
                <w:rFonts w:hint="eastAsia" w:ascii="汉仪书宋一简" w:eastAsia="汉仪书宋一简"/>
                <w:sz w:val="20"/>
                <w:szCs w:val="20"/>
              </w:rPr>
            </w:pPr>
            <w:r>
              <w:rPr>
                <w:rFonts w:hint="eastAsia" w:ascii="汉仪中黑简" w:eastAsia="汉仪中黑简"/>
                <w:bCs/>
                <w:sz w:val="20"/>
                <w:szCs w:val="20"/>
              </w:rPr>
              <w:t>⑤回头背书：</w:t>
            </w:r>
            <w:r>
              <w:rPr>
                <w:rFonts w:hint="eastAsia" w:ascii="汉仪书宋一简" w:eastAsia="汉仪书宋一简"/>
                <w:sz w:val="20"/>
                <w:szCs w:val="20"/>
              </w:rPr>
              <w:t>追索权受到限制，持票人为出票人的，对其前手无追索权。持票人为背书人的，对其后手无追索权</w:t>
            </w:r>
          </w:p>
        </w:tc>
      </w:tr>
      <w:tr w14:paraId="54D55F4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396" w:type="pct"/>
            <w:vMerge w:val="restart"/>
            <w:shd w:val="clear" w:color="auto" w:fill="auto"/>
            <w:vAlign w:val="center"/>
          </w:tcPr>
          <w:p w14:paraId="27494389">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质押</w:t>
            </w:r>
          </w:p>
        </w:tc>
        <w:tc>
          <w:tcPr>
            <w:tcW w:w="4603" w:type="pct"/>
            <w:shd w:val="clear" w:color="auto" w:fill="auto"/>
            <w:vAlign w:val="center"/>
          </w:tcPr>
          <w:p w14:paraId="04212585">
            <w:pPr>
              <w:spacing w:before="31" w:beforeLines="10" w:after="62" w:afterLines="20" w:line="280" w:lineRule="exact"/>
              <w:ind w:firstLine="0" w:firstLineChars="0"/>
              <w:rPr>
                <w:rFonts w:ascii="汉仪书宋一简" w:eastAsia="汉仪书宋一简"/>
                <w:color w:val="FF0000"/>
                <w:sz w:val="20"/>
                <w:szCs w:val="20"/>
              </w:rPr>
            </w:pPr>
            <w:r>
              <w:rPr>
                <w:rFonts w:hint="eastAsia" w:ascii="汉仪书宋一简" w:eastAsia="汉仪书宋一简"/>
                <w:color w:val="FF0000"/>
                <w:sz w:val="20"/>
                <w:szCs w:val="20"/>
              </w:rPr>
              <w:t>票据本身是一种财产权利</w:t>
            </w:r>
          </w:p>
          <w:p w14:paraId="40B0AC78">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票据质权必须以质押背书形式设立。</w:t>
            </w:r>
            <w:r>
              <w:rPr>
                <w:rFonts w:hint="eastAsia" w:ascii="汉仪书宋一简" w:eastAsia="汉仪书宋一简"/>
                <w:bCs/>
                <w:sz w:val="20"/>
                <w:szCs w:val="20"/>
              </w:rPr>
              <w:t>如果存在关于出质票据的约定，</w:t>
            </w:r>
            <w:r>
              <w:rPr>
                <w:rFonts w:hint="eastAsia" w:ascii="汉仪书宋一简" w:eastAsia="汉仪书宋一简"/>
                <w:sz w:val="20"/>
                <w:szCs w:val="20"/>
              </w:rPr>
              <w:t>但没有质押背书，根据区分原则，债权人有权请求出质人完善质押背书，使质权有效设立</w:t>
            </w:r>
          </w:p>
        </w:tc>
      </w:tr>
      <w:tr w14:paraId="5A99804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396" w:type="pct"/>
            <w:vMerge w:val="continue"/>
            <w:shd w:val="clear" w:color="auto" w:fill="auto"/>
            <w:vAlign w:val="center"/>
          </w:tcPr>
          <w:p w14:paraId="18B5A913">
            <w:pPr>
              <w:spacing w:before="31" w:beforeLines="10" w:after="62" w:afterLines="20" w:line="280" w:lineRule="exact"/>
              <w:ind w:firstLine="0" w:firstLineChars="0"/>
              <w:rPr>
                <w:rFonts w:hint="eastAsia" w:ascii="汉仪书宋一简" w:eastAsia="汉仪书宋一简"/>
                <w:b/>
                <w:sz w:val="20"/>
                <w:szCs w:val="20"/>
              </w:rPr>
            </w:pPr>
          </w:p>
        </w:tc>
        <w:tc>
          <w:tcPr>
            <w:tcW w:w="4603" w:type="pct"/>
            <w:shd w:val="clear" w:color="auto" w:fill="auto"/>
            <w:vAlign w:val="center"/>
          </w:tcPr>
          <w:p w14:paraId="0C23F5CD">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质押票据再行背书质押或背书转让的，背书行为无效。上述“限制背书”规则也适用于质押背书</w:t>
            </w:r>
          </w:p>
        </w:tc>
      </w:tr>
      <w:tr w14:paraId="7B7C08A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396" w:type="pct"/>
            <w:vMerge w:val="continue"/>
            <w:shd w:val="clear" w:color="auto" w:fill="auto"/>
            <w:vAlign w:val="center"/>
          </w:tcPr>
          <w:p w14:paraId="4DDB1695">
            <w:pPr>
              <w:spacing w:before="31" w:beforeLines="10" w:after="62" w:afterLines="20" w:line="280" w:lineRule="exact"/>
              <w:ind w:firstLine="0" w:firstLineChars="0"/>
              <w:rPr>
                <w:rFonts w:hint="eastAsia" w:ascii="汉仪书宋一简" w:eastAsia="汉仪书宋一简"/>
                <w:b/>
                <w:sz w:val="20"/>
                <w:szCs w:val="20"/>
              </w:rPr>
            </w:pPr>
          </w:p>
        </w:tc>
        <w:tc>
          <w:tcPr>
            <w:tcW w:w="4603" w:type="pct"/>
            <w:shd w:val="clear" w:color="auto" w:fill="auto"/>
            <w:vAlign w:val="center"/>
          </w:tcPr>
          <w:p w14:paraId="68FE3675">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质权人可以依票据请求全部票据金额的完全给付，而不限于其债权额</w:t>
            </w:r>
          </w:p>
        </w:tc>
      </w:tr>
    </w:tbl>
    <w:p w14:paraId="60651349">
      <w:pPr>
        <w:ind w:firstLine="480"/>
        <w:rPr>
          <w:rFonts w:hint="eastAsia" w:ascii="汉仪书宋二简" w:hAnsiTheme="majorHAnsi" w:cstheme="majorBidi"/>
          <w:bCs/>
          <w:sz w:val="24"/>
          <w:szCs w:val="28"/>
        </w:rPr>
      </w:pPr>
    </w:p>
    <w:p w14:paraId="20A1B3E9">
      <w:pPr>
        <w:pStyle w:val="3"/>
        <w:ind w:firstLine="336" w:firstLineChars="120"/>
        <w:rPr>
          <w:rFonts w:hint="eastAsia"/>
        </w:rPr>
      </w:pPr>
      <w:r>
        <w:rPr>
          <w:rFonts w:hint="eastAsia"/>
        </w:rPr>
        <w:t>（</w:t>
      </w:r>
      <w:r>
        <w:rPr>
          <w:rFonts w:hint="eastAsia"/>
          <w:lang w:val="en-US" w:eastAsia="zh-CN"/>
        </w:rPr>
        <w:t>二</w:t>
      </w:r>
      <w:r>
        <w:rPr>
          <w:rFonts w:hint="eastAsia"/>
        </w:rPr>
        <w:t>）承兑</w:t>
      </w:r>
    </w:p>
    <w:p w14:paraId="767FA3B2">
      <w:pPr>
        <w:ind w:firstLine="480"/>
        <w:rPr>
          <w:rFonts w:hint="eastAsia" w:ascii="汉仪书宋二简" w:hAnsiTheme="majorHAnsi" w:cstheme="majorBidi"/>
          <w:bCs/>
          <w:sz w:val="24"/>
          <w:szCs w:val="28"/>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99"/>
        <w:gridCol w:w="7806"/>
      </w:tblGrid>
      <w:tr w14:paraId="2D91993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15" w:hRule="atLeast"/>
          <w:jc w:val="center"/>
        </w:trPr>
        <w:tc>
          <w:tcPr>
            <w:tcW w:w="411" w:type="pct"/>
            <w:shd w:val="clear" w:color="auto" w:fill="auto"/>
            <w:vAlign w:val="center"/>
          </w:tcPr>
          <w:p w14:paraId="19B7CA65">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定义</w:t>
            </w:r>
          </w:p>
        </w:tc>
        <w:tc>
          <w:tcPr>
            <w:tcW w:w="4589" w:type="pct"/>
            <w:shd w:val="clear" w:color="auto" w:fill="auto"/>
            <w:vAlign w:val="center"/>
          </w:tcPr>
          <w:p w14:paraId="2A00E02B">
            <w:pPr>
              <w:spacing w:before="31" w:beforeLines="10" w:after="62" w:afterLines="20" w:line="280" w:lineRule="exact"/>
              <w:ind w:firstLine="0" w:firstLineChars="0"/>
              <w:rPr>
                <w:rFonts w:ascii="汉仪书宋一简" w:eastAsia="汉仪书宋一简"/>
                <w:sz w:val="20"/>
                <w:szCs w:val="20"/>
              </w:rPr>
            </w:pPr>
            <w:r>
              <w:rPr>
                <w:rFonts w:hint="eastAsia" w:ascii="汉仪书宋一简" w:eastAsia="汉仪书宋一简"/>
                <w:sz w:val="20"/>
                <w:szCs w:val="20"/>
              </w:rPr>
              <w:t>汇票付款人承诺在汇票到期日支付汇票金额的票据行为。见票即付的汇票无须承兑。一经承兑，付款人就负担到期足额付款的票据义务</w:t>
            </w:r>
          </w:p>
          <w:p w14:paraId="3ADC395E">
            <w:pPr>
              <w:spacing w:before="31" w:beforeLines="10" w:after="62" w:afterLines="20" w:line="280" w:lineRule="exact"/>
              <w:ind w:firstLine="0" w:firstLineChars="0"/>
              <w:rPr>
                <w:rFonts w:hint="eastAsia" w:ascii="汉仪书宋一简" w:eastAsia="汉仪书宋一简"/>
                <w:b/>
                <w:sz w:val="20"/>
                <w:szCs w:val="20"/>
              </w:rPr>
            </w:pPr>
            <w:r>
              <w:rPr>
                <w:rFonts w:hint="eastAsia" w:ascii="汉仪书宋一简" w:eastAsia="汉仪书宋一简"/>
                <w:color w:val="FF0000"/>
                <w:sz w:val="20"/>
                <w:szCs w:val="20"/>
              </w:rPr>
              <w:t>拒绝承兑没有付款义务</w:t>
            </w:r>
          </w:p>
        </w:tc>
      </w:tr>
      <w:tr w14:paraId="7C9A76E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15" w:hRule="atLeast"/>
          <w:jc w:val="center"/>
        </w:trPr>
        <w:tc>
          <w:tcPr>
            <w:tcW w:w="411" w:type="pct"/>
            <w:shd w:val="clear" w:color="auto" w:fill="auto"/>
            <w:vAlign w:val="center"/>
          </w:tcPr>
          <w:p w14:paraId="45B003E3">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原则</w:t>
            </w:r>
          </w:p>
        </w:tc>
        <w:tc>
          <w:tcPr>
            <w:tcW w:w="4589" w:type="pct"/>
            <w:shd w:val="clear" w:color="auto" w:fill="auto"/>
            <w:vAlign w:val="center"/>
          </w:tcPr>
          <w:p w14:paraId="0C91EFB0">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①自由承兑：即使是应承兑而未承兑，也只承担票据外责任</w:t>
            </w:r>
          </w:p>
          <w:p w14:paraId="55A4ECB5">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②完全承兑：部分承兑的，视为拒绝</w:t>
            </w:r>
          </w:p>
          <w:p w14:paraId="3319B751">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③单纯承兑：付款人承兑汇票，不得附有条件；承兑附有条件的，视为拒绝承兑</w:t>
            </w:r>
          </w:p>
        </w:tc>
      </w:tr>
      <w:tr w14:paraId="13B687A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11" w:type="pct"/>
            <w:shd w:val="clear" w:color="auto" w:fill="auto"/>
            <w:vAlign w:val="center"/>
          </w:tcPr>
          <w:p w14:paraId="4CD0DCB4">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期间</w:t>
            </w:r>
          </w:p>
        </w:tc>
        <w:tc>
          <w:tcPr>
            <w:tcW w:w="4589" w:type="pct"/>
            <w:shd w:val="clear" w:color="auto" w:fill="auto"/>
            <w:vAlign w:val="center"/>
          </w:tcPr>
          <w:p w14:paraId="03AFBC3D">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①对于定日付款或出票后定期付款的汇票，持票人应当在汇票到期日前向付款人提示承兑</w:t>
            </w:r>
          </w:p>
          <w:p w14:paraId="07D51148">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②见票后定期付款的汇票，持票人应当自出票日起1个月内，提示承兑</w:t>
            </w:r>
          </w:p>
          <w:p w14:paraId="1404B593">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③汇票未按照规定期限提示承兑的，持票人丧失对其前手的追索权</w:t>
            </w:r>
          </w:p>
        </w:tc>
      </w:tr>
    </w:tbl>
    <w:p w14:paraId="5C7E841B">
      <w:pPr>
        <w:ind w:firstLine="480"/>
        <w:rPr>
          <w:rFonts w:hint="eastAsia" w:ascii="汉仪书宋二简" w:hAnsiTheme="majorHAnsi" w:cstheme="majorBidi"/>
          <w:bCs/>
          <w:sz w:val="24"/>
          <w:szCs w:val="28"/>
        </w:rPr>
      </w:pPr>
    </w:p>
    <w:p w14:paraId="6F34133A">
      <w:pPr>
        <w:pStyle w:val="3"/>
        <w:ind w:firstLine="336" w:firstLineChars="120"/>
        <w:rPr>
          <w:rFonts w:hint="eastAsia"/>
        </w:rPr>
      </w:pPr>
      <w:r>
        <w:rPr>
          <w:rFonts w:hint="eastAsia"/>
        </w:rPr>
        <w:t>（</w:t>
      </w:r>
      <w:r>
        <w:rPr>
          <w:rFonts w:hint="eastAsia"/>
          <w:lang w:val="en-US" w:eastAsia="zh-CN"/>
        </w:rPr>
        <w:t>三</w:t>
      </w:r>
      <w:r>
        <w:rPr>
          <w:rFonts w:hint="eastAsia"/>
        </w:rPr>
        <w:t>）保证</w:t>
      </w:r>
    </w:p>
    <w:p w14:paraId="3BD28CE2">
      <w:pPr>
        <w:ind w:firstLine="480"/>
        <w:rPr>
          <w:rFonts w:hint="eastAsia" w:ascii="汉仪书宋二简" w:hAnsiTheme="majorHAnsi" w:cstheme="majorBidi"/>
          <w:bCs/>
          <w:color w:val="FF0000"/>
          <w:sz w:val="24"/>
          <w:szCs w:val="28"/>
        </w:rPr>
      </w:pPr>
      <w:r>
        <w:rPr>
          <w:rFonts w:hint="eastAsia" w:ascii="汉仪书宋二简" w:hAnsiTheme="majorHAnsi" w:cstheme="majorBidi"/>
          <w:bCs/>
          <w:color w:val="FF0000"/>
          <w:sz w:val="24"/>
          <w:szCs w:val="28"/>
        </w:rPr>
        <w:t>票据是债权债务关系，其他人保证担保债权实现</w:t>
      </w: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964"/>
        <w:gridCol w:w="7541"/>
      </w:tblGrid>
      <w:tr w14:paraId="4AE9B00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05" w:hRule="atLeast"/>
          <w:jc w:val="center"/>
        </w:trPr>
        <w:tc>
          <w:tcPr>
            <w:tcW w:w="567" w:type="pct"/>
            <w:vMerge w:val="restart"/>
            <w:shd w:val="clear" w:color="auto" w:fill="auto"/>
            <w:vAlign w:val="center"/>
          </w:tcPr>
          <w:p w14:paraId="17739AD6">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成立</w:t>
            </w:r>
          </w:p>
        </w:tc>
        <w:tc>
          <w:tcPr>
            <w:tcW w:w="4432" w:type="pct"/>
            <w:shd w:val="clear" w:color="auto" w:fill="auto"/>
            <w:vAlign w:val="center"/>
          </w:tcPr>
          <w:p w14:paraId="4907CA53">
            <w:pPr>
              <w:spacing w:before="31" w:beforeLines="10" w:after="62" w:afterLines="20" w:line="280" w:lineRule="exact"/>
              <w:ind w:firstLine="0" w:firstLineChars="0"/>
              <w:rPr>
                <w:rFonts w:hint="eastAsia" w:ascii="汉仪书宋一简" w:eastAsia="汉仪书宋一简"/>
                <w:b/>
                <w:sz w:val="20"/>
                <w:szCs w:val="20"/>
              </w:rPr>
            </w:pPr>
            <w:r>
              <w:rPr>
                <w:rFonts w:hint="eastAsia" w:ascii="汉仪中黑简" w:eastAsia="汉仪中黑简"/>
                <w:bCs/>
                <w:sz w:val="20"/>
                <w:szCs w:val="20"/>
              </w:rPr>
              <w:t>要式性：</w:t>
            </w:r>
            <w:r>
              <w:rPr>
                <w:rFonts w:hint="eastAsia" w:ascii="汉仪书宋一简" w:eastAsia="汉仪书宋一简"/>
                <w:sz w:val="20"/>
                <w:szCs w:val="20"/>
              </w:rPr>
              <w:t>在票据或者粘单上记载“</w:t>
            </w:r>
            <w:r>
              <w:rPr>
                <w:rFonts w:hint="eastAsia" w:ascii="汉仪书宋一简" w:eastAsia="汉仪书宋一简"/>
                <w:color w:val="FF0000"/>
                <w:sz w:val="20"/>
                <w:szCs w:val="20"/>
              </w:rPr>
              <w:t>保证</w:t>
            </w:r>
            <w:r>
              <w:rPr>
                <w:rFonts w:hint="eastAsia" w:ascii="汉仪书宋一简" w:eastAsia="汉仪书宋一简"/>
                <w:sz w:val="20"/>
                <w:szCs w:val="20"/>
              </w:rPr>
              <w:t>”文句</w:t>
            </w:r>
          </w:p>
        </w:tc>
      </w:tr>
      <w:tr w14:paraId="378EF28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05" w:hRule="atLeast"/>
          <w:jc w:val="center"/>
        </w:trPr>
        <w:tc>
          <w:tcPr>
            <w:tcW w:w="567" w:type="pct"/>
            <w:vMerge w:val="continue"/>
            <w:shd w:val="clear" w:color="auto" w:fill="auto"/>
            <w:vAlign w:val="center"/>
          </w:tcPr>
          <w:p w14:paraId="021339F7">
            <w:pPr>
              <w:spacing w:before="31" w:beforeLines="10" w:after="62" w:afterLines="20" w:line="280" w:lineRule="exact"/>
              <w:ind w:firstLine="0" w:firstLineChars="0"/>
              <w:jc w:val="center"/>
              <w:rPr>
                <w:rFonts w:hint="eastAsia" w:ascii="汉仪中黑简" w:eastAsia="汉仪中黑简"/>
                <w:bCs/>
                <w:sz w:val="20"/>
                <w:szCs w:val="20"/>
              </w:rPr>
            </w:pPr>
          </w:p>
        </w:tc>
        <w:tc>
          <w:tcPr>
            <w:tcW w:w="4432" w:type="pct"/>
            <w:shd w:val="clear" w:color="auto" w:fill="auto"/>
            <w:vAlign w:val="center"/>
          </w:tcPr>
          <w:p w14:paraId="36A37366">
            <w:pPr>
              <w:spacing w:before="31" w:beforeLines="10" w:after="62" w:afterLines="20" w:line="280" w:lineRule="exact"/>
              <w:ind w:firstLine="0" w:firstLineChars="0"/>
              <w:rPr>
                <w:rFonts w:hint="eastAsia" w:ascii="汉仪书宋一简" w:eastAsia="汉仪书宋一简"/>
                <w:b/>
                <w:sz w:val="20"/>
                <w:szCs w:val="20"/>
              </w:rPr>
            </w:pPr>
            <w:r>
              <w:rPr>
                <w:rFonts w:hint="eastAsia" w:ascii="汉仪中黑简" w:eastAsia="汉仪中黑简"/>
                <w:bCs/>
                <w:sz w:val="20"/>
                <w:szCs w:val="20"/>
              </w:rPr>
              <w:t>被保证人：</w:t>
            </w:r>
            <w:r>
              <w:rPr>
                <w:rFonts w:hint="eastAsia" w:ascii="汉仪书宋一简" w:eastAsia="汉仪书宋一简"/>
                <w:sz w:val="20"/>
                <w:szCs w:val="20"/>
              </w:rPr>
              <w:t>保证人未记载被保证人名称的，已承兑的汇票，</w:t>
            </w:r>
            <w:r>
              <w:rPr>
                <w:rFonts w:hint="eastAsia" w:ascii="汉仪书宋一简" w:hAnsi="楷体" w:eastAsia="汉仪书宋一简" w:cs="楷体"/>
                <w:sz w:val="20"/>
                <w:szCs w:val="20"/>
              </w:rPr>
              <w:t>承兑人</w:t>
            </w:r>
            <w:r>
              <w:rPr>
                <w:rFonts w:hint="eastAsia" w:ascii="汉仪书宋一简" w:eastAsia="汉仪书宋一简"/>
                <w:sz w:val="20"/>
                <w:szCs w:val="20"/>
              </w:rPr>
              <w:t>为被保证人；未承兑的汇票，</w:t>
            </w:r>
            <w:r>
              <w:rPr>
                <w:rFonts w:hint="eastAsia" w:ascii="汉仪书宋一简" w:hAnsi="楷体" w:eastAsia="汉仪书宋一简" w:cs="楷体"/>
                <w:sz w:val="20"/>
                <w:szCs w:val="20"/>
              </w:rPr>
              <w:t>出票人</w:t>
            </w:r>
            <w:r>
              <w:rPr>
                <w:rFonts w:hint="eastAsia" w:ascii="汉仪书宋一简" w:eastAsia="汉仪书宋一简"/>
                <w:sz w:val="20"/>
                <w:szCs w:val="20"/>
              </w:rPr>
              <w:t>为被保证人</w:t>
            </w:r>
          </w:p>
        </w:tc>
      </w:tr>
      <w:tr w14:paraId="502AB8D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58" w:hRule="atLeast"/>
          <w:jc w:val="center"/>
        </w:trPr>
        <w:tc>
          <w:tcPr>
            <w:tcW w:w="567" w:type="pct"/>
            <w:vMerge w:val="continue"/>
            <w:shd w:val="clear" w:color="auto" w:fill="auto"/>
            <w:vAlign w:val="center"/>
          </w:tcPr>
          <w:p w14:paraId="01FA6FFF">
            <w:pPr>
              <w:spacing w:before="31" w:beforeLines="10" w:after="62" w:afterLines="20" w:line="280" w:lineRule="exact"/>
              <w:ind w:firstLine="0" w:firstLineChars="0"/>
              <w:jc w:val="center"/>
              <w:rPr>
                <w:rFonts w:hint="eastAsia" w:ascii="汉仪中黑简" w:eastAsia="汉仪中黑简"/>
                <w:bCs/>
                <w:sz w:val="20"/>
                <w:szCs w:val="20"/>
              </w:rPr>
            </w:pPr>
          </w:p>
        </w:tc>
        <w:tc>
          <w:tcPr>
            <w:tcW w:w="4432" w:type="pct"/>
            <w:shd w:val="clear" w:color="auto" w:fill="auto"/>
            <w:vAlign w:val="center"/>
          </w:tcPr>
          <w:p w14:paraId="7FA74C65">
            <w:pPr>
              <w:spacing w:before="31" w:beforeLines="10" w:after="62" w:afterLines="20" w:line="280" w:lineRule="exact"/>
              <w:ind w:firstLine="0" w:firstLineChars="0"/>
              <w:rPr>
                <w:rFonts w:hint="eastAsia" w:ascii="汉仪书宋一简" w:eastAsia="汉仪书宋一简"/>
                <w:b/>
                <w:sz w:val="20"/>
                <w:szCs w:val="20"/>
              </w:rPr>
            </w:pPr>
            <w:r>
              <w:rPr>
                <w:rFonts w:hint="eastAsia" w:ascii="汉仪中黑简" w:eastAsia="汉仪中黑简"/>
                <w:bCs/>
                <w:sz w:val="20"/>
                <w:szCs w:val="20"/>
              </w:rPr>
              <w:t>保证日期：</w:t>
            </w:r>
            <w:r>
              <w:rPr>
                <w:rFonts w:hint="eastAsia" w:ascii="汉仪书宋一简" w:eastAsia="汉仪书宋一简"/>
                <w:sz w:val="20"/>
                <w:szCs w:val="20"/>
              </w:rPr>
              <w:t>保证人未记载保证日期的，以出票日期为保证日期</w:t>
            </w:r>
          </w:p>
        </w:tc>
      </w:tr>
      <w:tr w14:paraId="0076E3F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57" w:hRule="atLeast"/>
          <w:jc w:val="center"/>
        </w:trPr>
        <w:tc>
          <w:tcPr>
            <w:tcW w:w="567" w:type="pct"/>
            <w:vMerge w:val="continue"/>
            <w:shd w:val="clear" w:color="auto" w:fill="auto"/>
            <w:vAlign w:val="center"/>
          </w:tcPr>
          <w:p w14:paraId="12016A6B">
            <w:pPr>
              <w:spacing w:before="31" w:beforeLines="10" w:after="62" w:afterLines="20" w:line="280" w:lineRule="exact"/>
              <w:ind w:firstLine="0" w:firstLineChars="0"/>
              <w:jc w:val="center"/>
              <w:rPr>
                <w:rFonts w:hint="eastAsia" w:ascii="汉仪中黑简" w:eastAsia="汉仪中黑简"/>
                <w:bCs/>
                <w:sz w:val="20"/>
                <w:szCs w:val="20"/>
              </w:rPr>
            </w:pPr>
          </w:p>
        </w:tc>
        <w:tc>
          <w:tcPr>
            <w:tcW w:w="4432" w:type="pct"/>
            <w:shd w:val="clear" w:color="auto" w:fill="auto"/>
            <w:vAlign w:val="center"/>
          </w:tcPr>
          <w:p w14:paraId="5B5C56B2">
            <w:pPr>
              <w:spacing w:before="31" w:beforeLines="10" w:after="62" w:afterLines="20" w:line="280" w:lineRule="exact"/>
              <w:ind w:firstLine="0" w:firstLineChars="0"/>
              <w:rPr>
                <w:rFonts w:hint="eastAsia" w:ascii="汉仪书宋一简" w:eastAsia="汉仪书宋一简"/>
                <w:b/>
                <w:sz w:val="20"/>
                <w:szCs w:val="20"/>
              </w:rPr>
            </w:pPr>
            <w:r>
              <w:rPr>
                <w:rFonts w:hint="eastAsia" w:ascii="汉仪中黑简" w:eastAsia="汉仪中黑简"/>
                <w:bCs/>
                <w:sz w:val="20"/>
                <w:szCs w:val="20"/>
              </w:rPr>
              <w:t>附条件：</w:t>
            </w:r>
            <w:r>
              <w:rPr>
                <w:rFonts w:hint="eastAsia" w:ascii="汉仪书宋一简" w:eastAsia="汉仪书宋一简"/>
                <w:sz w:val="20"/>
                <w:szCs w:val="20"/>
              </w:rPr>
              <w:t>保证不得附有条件；保证附有条件的，不影响对汇票的保证责任</w:t>
            </w:r>
          </w:p>
        </w:tc>
      </w:tr>
      <w:tr w14:paraId="0D8A7AE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67" w:type="pct"/>
            <w:vMerge w:val="restart"/>
            <w:shd w:val="clear" w:color="auto" w:fill="auto"/>
            <w:vAlign w:val="center"/>
          </w:tcPr>
          <w:p w14:paraId="6C14A437">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效力</w:t>
            </w:r>
          </w:p>
        </w:tc>
        <w:tc>
          <w:tcPr>
            <w:tcW w:w="4432" w:type="pct"/>
            <w:shd w:val="clear" w:color="auto" w:fill="auto"/>
            <w:vAlign w:val="center"/>
          </w:tcPr>
          <w:p w14:paraId="6EECCD3C">
            <w:pPr>
              <w:spacing w:before="31" w:beforeLines="10" w:after="62" w:afterLines="20" w:line="280" w:lineRule="exact"/>
              <w:ind w:firstLine="0" w:firstLineChars="0"/>
              <w:rPr>
                <w:rFonts w:hint="eastAsia" w:ascii="汉仪书宋一简" w:eastAsia="汉仪书宋一简"/>
                <w:b/>
                <w:sz w:val="20"/>
                <w:szCs w:val="20"/>
              </w:rPr>
            </w:pPr>
            <w:r>
              <w:rPr>
                <w:rFonts w:hint="eastAsia" w:ascii="汉仪中黑简" w:eastAsia="汉仪中黑简"/>
                <w:bCs/>
                <w:sz w:val="20"/>
                <w:szCs w:val="20"/>
              </w:rPr>
              <w:t>独立责任：</w:t>
            </w:r>
            <w:r>
              <w:rPr>
                <w:rFonts w:hint="eastAsia" w:ascii="汉仪书宋一简" w:eastAsia="汉仪书宋一简"/>
                <w:sz w:val="20"/>
                <w:szCs w:val="20"/>
              </w:rPr>
              <w:t>即使被保证的票据债务无效，已经完成的票据保证也依然有效，但是被保证人的债务因汇票记载事项欠缺而无效的除外</w:t>
            </w:r>
          </w:p>
        </w:tc>
      </w:tr>
      <w:tr w14:paraId="75A0430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33" w:hRule="atLeast"/>
          <w:jc w:val="center"/>
        </w:trPr>
        <w:tc>
          <w:tcPr>
            <w:tcW w:w="567" w:type="pct"/>
            <w:vMerge w:val="continue"/>
            <w:shd w:val="clear" w:color="auto" w:fill="auto"/>
            <w:vAlign w:val="center"/>
          </w:tcPr>
          <w:p w14:paraId="14998606">
            <w:pPr>
              <w:spacing w:before="31" w:beforeLines="10" w:after="62" w:afterLines="20" w:line="280" w:lineRule="exact"/>
              <w:ind w:firstLine="0" w:firstLineChars="0"/>
              <w:jc w:val="center"/>
              <w:rPr>
                <w:rFonts w:hint="eastAsia" w:ascii="汉仪中黑简" w:eastAsia="汉仪中黑简"/>
                <w:bCs/>
                <w:sz w:val="20"/>
                <w:szCs w:val="20"/>
              </w:rPr>
            </w:pPr>
          </w:p>
        </w:tc>
        <w:tc>
          <w:tcPr>
            <w:tcW w:w="4432" w:type="pct"/>
            <w:shd w:val="clear" w:color="auto" w:fill="auto"/>
            <w:vAlign w:val="center"/>
          </w:tcPr>
          <w:p w14:paraId="60B75E0F">
            <w:pPr>
              <w:spacing w:before="31" w:beforeLines="10" w:after="62" w:afterLines="20" w:line="280" w:lineRule="exact"/>
              <w:ind w:firstLine="0" w:firstLineChars="0"/>
              <w:rPr>
                <w:rFonts w:hint="eastAsia" w:ascii="汉仪书宋一简" w:eastAsia="汉仪书宋一简"/>
                <w:sz w:val="20"/>
                <w:szCs w:val="20"/>
              </w:rPr>
            </w:pPr>
            <w:r>
              <w:rPr>
                <w:rFonts w:hint="eastAsia" w:ascii="汉仪中黑简" w:eastAsia="汉仪中黑简"/>
                <w:bCs/>
                <w:sz w:val="20"/>
                <w:szCs w:val="20"/>
              </w:rPr>
              <w:t>连带责任：</w:t>
            </w:r>
            <w:r>
              <w:rPr>
                <w:rFonts w:hint="eastAsia" w:ascii="汉仪书宋一简" w:eastAsia="汉仪书宋一简"/>
                <w:sz w:val="20"/>
                <w:szCs w:val="20"/>
              </w:rPr>
              <w:t>保证人不享有先诉抗辩权；2名以上的保证人之间承担连带责任</w:t>
            </w:r>
          </w:p>
        </w:tc>
      </w:tr>
      <w:tr w14:paraId="1AA5F23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67" w:type="pct"/>
            <w:shd w:val="clear" w:color="auto" w:fill="auto"/>
            <w:vAlign w:val="center"/>
          </w:tcPr>
          <w:p w14:paraId="20388517">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代位权</w:t>
            </w:r>
          </w:p>
        </w:tc>
        <w:tc>
          <w:tcPr>
            <w:tcW w:w="4432" w:type="pct"/>
            <w:shd w:val="clear" w:color="auto" w:fill="auto"/>
            <w:vAlign w:val="center"/>
          </w:tcPr>
          <w:p w14:paraId="33568E82">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保证人清偿汇票债务后，可以行使持票人对</w:t>
            </w:r>
            <w:r>
              <w:rPr>
                <w:rFonts w:hint="eastAsia" w:ascii="汉仪书宋一简" w:hAnsi="楷体" w:eastAsia="汉仪书宋一简" w:cs="楷体"/>
                <w:sz w:val="20"/>
                <w:szCs w:val="20"/>
              </w:rPr>
              <w:t>被保证人及其前手</w:t>
            </w:r>
            <w:r>
              <w:rPr>
                <w:rFonts w:hint="eastAsia" w:ascii="汉仪书宋一简" w:eastAsia="汉仪书宋一简"/>
                <w:sz w:val="20"/>
                <w:szCs w:val="20"/>
              </w:rPr>
              <w:t>的追索权</w:t>
            </w:r>
          </w:p>
        </w:tc>
      </w:tr>
    </w:tbl>
    <w:p w14:paraId="6B48D08F">
      <w:pPr>
        <w:ind w:firstLine="480"/>
        <w:rPr>
          <w:rFonts w:hint="eastAsia" w:ascii="汉仪书宋二简" w:hAnsiTheme="majorHAnsi" w:cstheme="majorBidi"/>
          <w:bCs/>
          <w:sz w:val="24"/>
          <w:szCs w:val="28"/>
        </w:rPr>
      </w:pPr>
    </w:p>
    <w:p w14:paraId="6375F5D5">
      <w:pPr>
        <w:pStyle w:val="3"/>
        <w:ind w:firstLine="336" w:firstLineChars="120"/>
        <w:rPr>
          <w:rFonts w:hint="eastAsia"/>
        </w:rPr>
      </w:pPr>
      <w:r>
        <w:rPr>
          <w:rFonts w:hint="eastAsia"/>
        </w:rPr>
        <w:t>（</w:t>
      </w:r>
      <w:r>
        <w:rPr>
          <w:rFonts w:hint="eastAsia"/>
          <w:lang w:val="en-US" w:eastAsia="zh-CN"/>
        </w:rPr>
        <w:t>四</w:t>
      </w:r>
      <w:r>
        <w:rPr>
          <w:rFonts w:hint="eastAsia"/>
        </w:rPr>
        <w:t>）付款和追索</w:t>
      </w:r>
    </w:p>
    <w:p w14:paraId="3F64DE32">
      <w:pPr>
        <w:ind w:firstLine="480"/>
        <w:rPr>
          <w:rFonts w:hint="eastAsia" w:ascii="汉仪书宋二简" w:hAnsiTheme="majorHAnsi" w:cstheme="majorBidi"/>
          <w:bCs/>
          <w:sz w:val="24"/>
          <w:szCs w:val="28"/>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4"/>
        <w:gridCol w:w="993"/>
        <w:gridCol w:w="6388"/>
      </w:tblGrid>
      <w:tr w14:paraId="6D8D1B9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81" w:hRule="atLeast"/>
          <w:jc w:val="center"/>
        </w:trPr>
        <w:tc>
          <w:tcPr>
            <w:tcW w:w="661" w:type="pct"/>
            <w:vMerge w:val="restart"/>
            <w:shd w:val="clear" w:color="auto" w:fill="auto"/>
            <w:vAlign w:val="center"/>
          </w:tcPr>
          <w:p w14:paraId="1BACFAA2">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付款</w:t>
            </w:r>
          </w:p>
        </w:tc>
        <w:tc>
          <w:tcPr>
            <w:tcW w:w="4339" w:type="pct"/>
            <w:gridSpan w:val="2"/>
            <w:shd w:val="clear" w:color="auto" w:fill="auto"/>
            <w:vAlign w:val="center"/>
          </w:tcPr>
          <w:p w14:paraId="5617E3DB">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提示付款人：合法持票人</w:t>
            </w:r>
          </w:p>
        </w:tc>
      </w:tr>
      <w:tr w14:paraId="32C2F50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78" w:hRule="atLeast"/>
          <w:jc w:val="center"/>
        </w:trPr>
        <w:tc>
          <w:tcPr>
            <w:tcW w:w="661" w:type="pct"/>
            <w:vMerge w:val="continue"/>
            <w:shd w:val="clear" w:color="auto" w:fill="auto"/>
            <w:vAlign w:val="center"/>
          </w:tcPr>
          <w:p w14:paraId="5967E07E">
            <w:pPr>
              <w:spacing w:before="31" w:beforeLines="10" w:after="62" w:afterLines="20" w:line="280" w:lineRule="exact"/>
              <w:ind w:firstLine="0" w:firstLineChars="0"/>
              <w:jc w:val="center"/>
              <w:rPr>
                <w:rFonts w:hint="eastAsia" w:ascii="汉仪中黑简" w:eastAsia="汉仪中黑简"/>
                <w:bCs/>
                <w:sz w:val="20"/>
                <w:szCs w:val="20"/>
              </w:rPr>
            </w:pPr>
          </w:p>
        </w:tc>
        <w:tc>
          <w:tcPr>
            <w:tcW w:w="4339" w:type="pct"/>
            <w:gridSpan w:val="2"/>
            <w:shd w:val="clear" w:color="auto" w:fill="auto"/>
            <w:vAlign w:val="center"/>
          </w:tcPr>
          <w:p w14:paraId="011C38FD">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提示付款期限：持票人未按期提示付款的，在作出说明后，承兑人或付款人仍应当继续对持票人承担付款责任。但持票人丧失对背书人的追索权</w:t>
            </w:r>
          </w:p>
        </w:tc>
      </w:tr>
      <w:tr w14:paraId="798609B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27" w:hRule="atLeast"/>
          <w:jc w:val="center"/>
        </w:trPr>
        <w:tc>
          <w:tcPr>
            <w:tcW w:w="661" w:type="pct"/>
            <w:vMerge w:val="continue"/>
            <w:shd w:val="clear" w:color="auto" w:fill="auto"/>
            <w:vAlign w:val="center"/>
          </w:tcPr>
          <w:p w14:paraId="7C3E4948">
            <w:pPr>
              <w:spacing w:before="31" w:beforeLines="10" w:after="62" w:afterLines="20" w:line="280" w:lineRule="exact"/>
              <w:ind w:firstLine="0" w:firstLineChars="0"/>
              <w:jc w:val="center"/>
              <w:rPr>
                <w:rFonts w:hint="eastAsia" w:ascii="汉仪中黑简" w:eastAsia="汉仪中黑简"/>
                <w:bCs/>
                <w:sz w:val="20"/>
                <w:szCs w:val="20"/>
              </w:rPr>
            </w:pPr>
          </w:p>
        </w:tc>
        <w:tc>
          <w:tcPr>
            <w:tcW w:w="4339" w:type="pct"/>
            <w:gridSpan w:val="2"/>
            <w:shd w:val="clear" w:color="auto" w:fill="auto"/>
            <w:vAlign w:val="center"/>
          </w:tcPr>
          <w:p w14:paraId="7C8E48A6">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付款程序：</w:t>
            </w:r>
            <w:r>
              <w:rPr>
                <w:rFonts w:hint="eastAsia" w:ascii="汉仪书宋一简" w:eastAsia="汉仪书宋一简"/>
                <w:color w:val="FF0000"/>
                <w:sz w:val="20"/>
                <w:szCs w:val="20"/>
              </w:rPr>
              <w:t>当日足额付款；付款人负有形式审查义务，善意错付免责</w:t>
            </w:r>
          </w:p>
        </w:tc>
      </w:tr>
      <w:tr w14:paraId="2AA5432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15" w:hRule="atLeast"/>
          <w:jc w:val="center"/>
        </w:trPr>
        <w:tc>
          <w:tcPr>
            <w:tcW w:w="661" w:type="pct"/>
            <w:shd w:val="clear" w:color="auto" w:fill="auto"/>
            <w:vAlign w:val="center"/>
          </w:tcPr>
          <w:p w14:paraId="262F32E8">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联系</w:t>
            </w:r>
          </w:p>
        </w:tc>
        <w:tc>
          <w:tcPr>
            <w:tcW w:w="4339" w:type="pct"/>
            <w:gridSpan w:val="2"/>
            <w:shd w:val="clear" w:color="auto" w:fill="auto"/>
            <w:vAlign w:val="center"/>
          </w:tcPr>
          <w:p w14:paraId="7BC0B323">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持票人只能在付款请求权</w:t>
            </w:r>
            <w:r>
              <w:rPr>
                <w:rFonts w:hint="eastAsia" w:ascii="汉仪书宋一简" w:hAnsi="楷体" w:eastAsia="汉仪书宋一简" w:cs="楷体"/>
                <w:color w:val="FF0000"/>
                <w:sz w:val="20"/>
                <w:szCs w:val="20"/>
              </w:rPr>
              <w:t>已经或必然</w:t>
            </w:r>
            <w:r>
              <w:rPr>
                <w:rFonts w:hint="eastAsia" w:ascii="汉仪书宋一简" w:eastAsia="汉仪书宋一简"/>
                <w:color w:val="FF0000"/>
                <w:sz w:val="20"/>
                <w:szCs w:val="20"/>
              </w:rPr>
              <w:t>无法实现时，才可以行使追索权</w:t>
            </w:r>
          </w:p>
        </w:tc>
      </w:tr>
      <w:tr w14:paraId="0F77F0F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61" w:type="pct"/>
            <w:vMerge w:val="restart"/>
            <w:shd w:val="clear" w:color="auto" w:fill="auto"/>
            <w:vAlign w:val="center"/>
          </w:tcPr>
          <w:p w14:paraId="210DBEFB">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追索原因</w:t>
            </w:r>
          </w:p>
        </w:tc>
        <w:tc>
          <w:tcPr>
            <w:tcW w:w="584" w:type="pct"/>
            <w:shd w:val="clear" w:color="auto" w:fill="auto"/>
            <w:vAlign w:val="center"/>
          </w:tcPr>
          <w:p w14:paraId="2764632D">
            <w:pPr>
              <w:spacing w:before="31" w:beforeLines="10" w:after="62" w:afterLines="20" w:line="280" w:lineRule="exact"/>
              <w:ind w:firstLine="0" w:firstLineChars="0"/>
              <w:jc w:val="center"/>
              <w:rPr>
                <w:rFonts w:hint="eastAsia" w:ascii="汉仪书宋一简" w:eastAsia="汉仪书宋一简"/>
                <w:sz w:val="20"/>
                <w:szCs w:val="20"/>
              </w:rPr>
            </w:pPr>
            <w:r>
              <w:rPr>
                <w:rFonts w:hint="eastAsia" w:ascii="汉仪书宋一简" w:eastAsia="汉仪书宋一简"/>
                <w:sz w:val="20"/>
                <w:szCs w:val="20"/>
              </w:rPr>
              <w:t>未到期</w:t>
            </w:r>
          </w:p>
        </w:tc>
        <w:tc>
          <w:tcPr>
            <w:tcW w:w="3755" w:type="pct"/>
            <w:shd w:val="clear" w:color="auto" w:fill="auto"/>
            <w:vAlign w:val="center"/>
          </w:tcPr>
          <w:p w14:paraId="513D6D78">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在汇票到期日前：</w:t>
            </w:r>
          </w:p>
          <w:p w14:paraId="3C9D704E">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①汇票被拒绝承兑的</w:t>
            </w:r>
          </w:p>
          <w:p w14:paraId="7EEA46C2">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②承兑人或付款人死亡、逃匿的</w:t>
            </w:r>
          </w:p>
          <w:p w14:paraId="7CA98C4A">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③承兑人或付款人被依法宣告破产的或因违法被责令终止业务活动的</w:t>
            </w:r>
          </w:p>
        </w:tc>
      </w:tr>
      <w:tr w14:paraId="4B845F8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61" w:type="pct"/>
            <w:vMerge w:val="continue"/>
            <w:shd w:val="clear" w:color="auto" w:fill="auto"/>
            <w:vAlign w:val="center"/>
          </w:tcPr>
          <w:p w14:paraId="0764E85D">
            <w:pPr>
              <w:spacing w:before="31" w:beforeLines="10" w:after="62" w:afterLines="20" w:line="280" w:lineRule="exact"/>
              <w:ind w:firstLine="0" w:firstLineChars="0"/>
              <w:jc w:val="center"/>
              <w:rPr>
                <w:rFonts w:hint="eastAsia" w:ascii="汉仪中黑简" w:eastAsia="汉仪中黑简"/>
                <w:bCs/>
                <w:sz w:val="20"/>
                <w:szCs w:val="20"/>
              </w:rPr>
            </w:pPr>
          </w:p>
        </w:tc>
        <w:tc>
          <w:tcPr>
            <w:tcW w:w="584" w:type="pct"/>
            <w:shd w:val="clear" w:color="auto" w:fill="auto"/>
            <w:vAlign w:val="center"/>
          </w:tcPr>
          <w:p w14:paraId="4532F214">
            <w:pPr>
              <w:spacing w:before="31" w:beforeLines="10" w:after="62" w:afterLines="20" w:line="280" w:lineRule="exact"/>
              <w:ind w:firstLine="0" w:firstLineChars="0"/>
              <w:jc w:val="center"/>
              <w:rPr>
                <w:rFonts w:hint="eastAsia" w:ascii="汉仪书宋一简" w:eastAsia="汉仪书宋一简"/>
                <w:sz w:val="20"/>
                <w:szCs w:val="20"/>
              </w:rPr>
            </w:pPr>
            <w:r>
              <w:rPr>
                <w:rFonts w:hint="eastAsia" w:ascii="汉仪书宋一简" w:eastAsia="汉仪书宋一简"/>
                <w:sz w:val="20"/>
                <w:szCs w:val="20"/>
              </w:rPr>
              <w:t>已到期</w:t>
            </w:r>
          </w:p>
        </w:tc>
        <w:tc>
          <w:tcPr>
            <w:tcW w:w="3755" w:type="pct"/>
            <w:shd w:val="clear" w:color="auto" w:fill="auto"/>
            <w:vAlign w:val="center"/>
          </w:tcPr>
          <w:p w14:paraId="4E7DCF3E">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汇票到期后，被拒绝付款</w:t>
            </w:r>
          </w:p>
        </w:tc>
      </w:tr>
      <w:tr w14:paraId="48C99EE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53" w:hRule="atLeast"/>
          <w:jc w:val="center"/>
        </w:trPr>
        <w:tc>
          <w:tcPr>
            <w:tcW w:w="661" w:type="pct"/>
            <w:shd w:val="clear" w:color="auto" w:fill="auto"/>
            <w:vAlign w:val="center"/>
          </w:tcPr>
          <w:p w14:paraId="3051AE5D">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追索对象</w:t>
            </w:r>
          </w:p>
        </w:tc>
        <w:tc>
          <w:tcPr>
            <w:tcW w:w="4339" w:type="pct"/>
            <w:gridSpan w:val="2"/>
            <w:shd w:val="clear" w:color="auto" w:fill="auto"/>
            <w:vAlign w:val="center"/>
          </w:tcPr>
          <w:p w14:paraId="489AE3FA">
            <w:pPr>
              <w:pStyle w:val="8"/>
              <w:numPr>
                <w:ilvl w:val="0"/>
                <w:numId w:val="9"/>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汇票的</w:t>
            </w:r>
            <w:r>
              <w:rPr>
                <w:rFonts w:hint="eastAsia" w:ascii="汉仪书宋一简" w:eastAsia="汉仪书宋一简"/>
                <w:color w:val="FF0000"/>
                <w:sz w:val="20"/>
                <w:szCs w:val="20"/>
              </w:rPr>
              <w:t>出票人、背书人、承兑人和保证人</w:t>
            </w:r>
            <w:r>
              <w:rPr>
                <w:rFonts w:hint="eastAsia" w:ascii="汉仪书宋一简" w:eastAsia="汉仪书宋一简"/>
                <w:sz w:val="20"/>
                <w:szCs w:val="20"/>
              </w:rPr>
              <w:t>（</w:t>
            </w:r>
            <w:r>
              <w:rPr>
                <w:rFonts w:hint="eastAsia" w:ascii="汉仪书宋一简" w:eastAsia="汉仪书宋一简"/>
                <w:color w:val="FF0000"/>
                <w:sz w:val="20"/>
                <w:szCs w:val="20"/>
              </w:rPr>
              <w:t>所有的票据前手</w:t>
            </w:r>
            <w:r>
              <w:rPr>
                <w:rFonts w:hint="eastAsia" w:ascii="汉仪书宋一简" w:eastAsia="汉仪书宋一简"/>
                <w:sz w:val="20"/>
                <w:szCs w:val="20"/>
              </w:rPr>
              <w:t>）对持票人承担连带责任</w:t>
            </w:r>
          </w:p>
          <w:p w14:paraId="7928BE84">
            <w:pPr>
              <w:pStyle w:val="8"/>
              <w:numPr>
                <w:ilvl w:val="0"/>
                <w:numId w:val="9"/>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持票人可以选择一个或数个追索对象</w:t>
            </w:r>
          </w:p>
          <w:p w14:paraId="2B21BFD9">
            <w:pPr>
              <w:pStyle w:val="8"/>
              <w:numPr>
                <w:ilvl w:val="0"/>
                <w:numId w:val="9"/>
              </w:numPr>
              <w:spacing w:before="31" w:beforeLines="10" w:after="62" w:afterLines="20" w:line="280" w:lineRule="exact"/>
              <w:ind w:firstLineChars="0"/>
              <w:rPr>
                <w:rFonts w:hint="eastAsia" w:ascii="汉仪书宋一简" w:eastAsia="汉仪书宋一简"/>
                <w:sz w:val="20"/>
                <w:szCs w:val="20"/>
              </w:rPr>
            </w:pPr>
            <w:r>
              <w:rPr>
                <w:rFonts w:hint="eastAsia" w:ascii="汉仪书宋一简" w:eastAsia="汉仪书宋一简"/>
                <w:sz w:val="20"/>
                <w:szCs w:val="20"/>
              </w:rPr>
              <w:t>被追索人清偿债务后，可以再向其他汇票债务人行使追索权</w:t>
            </w:r>
            <w:r>
              <w:rPr>
                <w:rFonts w:hint="eastAsia" w:ascii="汉仪书宋一简" w:eastAsia="汉仪书宋一简"/>
                <w:color w:val="FF0000"/>
                <w:sz w:val="20"/>
                <w:szCs w:val="20"/>
              </w:rPr>
              <w:t>（再追索）</w:t>
            </w:r>
          </w:p>
        </w:tc>
      </w:tr>
      <w:tr w14:paraId="17DF05F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83" w:hRule="atLeast"/>
          <w:jc w:val="center"/>
        </w:trPr>
        <w:tc>
          <w:tcPr>
            <w:tcW w:w="661" w:type="pct"/>
            <w:shd w:val="clear" w:color="auto" w:fill="auto"/>
            <w:vAlign w:val="center"/>
          </w:tcPr>
          <w:p w14:paraId="79E1F129">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追索</w:t>
            </w:r>
          </w:p>
        </w:tc>
        <w:tc>
          <w:tcPr>
            <w:tcW w:w="4339" w:type="pct"/>
            <w:gridSpan w:val="2"/>
            <w:shd w:val="clear" w:color="auto" w:fill="auto"/>
            <w:vAlign w:val="center"/>
          </w:tcPr>
          <w:p w14:paraId="6BEDABA7">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汇票金额+利息+费用</w:t>
            </w:r>
          </w:p>
        </w:tc>
      </w:tr>
    </w:tbl>
    <w:p w14:paraId="077A1196">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考点29  </w:t>
      </w:r>
      <w:r>
        <w:rPr>
          <w:rFonts w:hint="eastAsia" w:ascii="汉仪粗宋简" w:hAnsi="Times New Roman" w:eastAsia="汉仪大宋简" w:cs="汉仪粗宋简"/>
          <w:b/>
          <w:bCs/>
          <w:color w:val="000000"/>
          <w:kern w:val="0"/>
          <w:position w:val="4"/>
          <w:sz w:val="26"/>
          <w:szCs w:val="26"/>
          <w:lang w:val="zh-CN"/>
        </w:rPr>
        <w:t>证券交易</w:t>
      </w:r>
    </w:p>
    <w:p w14:paraId="710163F5">
      <w:pPr>
        <w:ind w:firstLine="520"/>
        <w:rPr>
          <w:rFonts w:hint="eastAsia" w:ascii="汉仪书宋二简"/>
          <w:sz w:val="26"/>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82"/>
        <w:gridCol w:w="716"/>
        <w:gridCol w:w="716"/>
        <w:gridCol w:w="6391"/>
      </w:tblGrid>
      <w:tr w14:paraId="00FB236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250" w:hRule="atLeast"/>
          <w:jc w:val="center"/>
        </w:trPr>
        <w:tc>
          <w:tcPr>
            <w:tcW w:w="401" w:type="pct"/>
            <w:vMerge w:val="restart"/>
            <w:shd w:val="clear" w:color="auto" w:fill="auto"/>
            <w:vAlign w:val="center"/>
          </w:tcPr>
          <w:p w14:paraId="5D649E3F">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交易禁止</w:t>
            </w:r>
          </w:p>
        </w:tc>
        <w:tc>
          <w:tcPr>
            <w:tcW w:w="421" w:type="pct"/>
            <w:shd w:val="clear" w:color="auto" w:fill="auto"/>
            <w:vAlign w:val="center"/>
          </w:tcPr>
          <w:p w14:paraId="7817B49E">
            <w:pPr>
              <w:spacing w:before="31" w:beforeLines="10" w:after="62" w:afterLines="20" w:line="280" w:lineRule="exact"/>
              <w:ind w:firstLine="0" w:firstLineChars="0"/>
              <w:jc w:val="center"/>
              <w:rPr>
                <w:rFonts w:hint="eastAsia" w:ascii="汉仪书宋一简" w:eastAsia="汉仪书宋一简"/>
                <w:sz w:val="20"/>
                <w:szCs w:val="20"/>
              </w:rPr>
            </w:pPr>
            <w:r>
              <w:rPr>
                <w:rFonts w:hint="eastAsia" w:ascii="汉仪书宋一简" w:eastAsia="汉仪书宋一简"/>
                <w:sz w:val="20"/>
                <w:szCs w:val="20"/>
              </w:rPr>
              <w:t>特定人员</w:t>
            </w:r>
          </w:p>
        </w:tc>
        <w:tc>
          <w:tcPr>
            <w:tcW w:w="4178" w:type="pct"/>
            <w:gridSpan w:val="2"/>
            <w:shd w:val="clear" w:color="auto" w:fill="auto"/>
            <w:vAlign w:val="center"/>
          </w:tcPr>
          <w:p w14:paraId="40791A84">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证券交易场所、证券公司和证券登记结算机构的从业人员，证券监督管理机构的工作人员以及法律、行政法规规定禁止参与股票交易的其他人员，在任期或者法定限期内，不得直接或者以化名、借他人名义持有、买卖股票或其他具有股权性质的证券，也不得收受他人赠送的股票或其他具有股权性质的证券。任何人在成为上述人员时，其原已持有的股票或其他具有股权性质的证券，必须依法转让。实施股权激励计划或员工持股计划的证券公司的从业人员，可以按照证监会的规定持有、卖出本公司股票或其他具有股权性质的证券（</w:t>
            </w:r>
            <w:r>
              <w:rPr>
                <w:rFonts w:hint="eastAsia" w:ascii="汉仪书宋一简" w:eastAsia="汉仪书宋一简"/>
                <w:color w:val="FF0000"/>
                <w:sz w:val="20"/>
                <w:szCs w:val="20"/>
              </w:rPr>
              <w:t>可能掌握内幕信息</w:t>
            </w:r>
            <w:r>
              <w:rPr>
                <w:rFonts w:hint="eastAsia" w:ascii="汉仪书宋一简" w:eastAsia="汉仪书宋一简"/>
                <w:sz w:val="20"/>
                <w:szCs w:val="20"/>
              </w:rPr>
              <w:t>）</w:t>
            </w:r>
          </w:p>
        </w:tc>
      </w:tr>
      <w:tr w14:paraId="3D8CED6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9" w:hRule="atLeast"/>
          <w:jc w:val="center"/>
        </w:trPr>
        <w:tc>
          <w:tcPr>
            <w:tcW w:w="401" w:type="pct"/>
            <w:vMerge w:val="continue"/>
            <w:shd w:val="clear" w:color="auto" w:fill="auto"/>
            <w:vAlign w:val="center"/>
          </w:tcPr>
          <w:p w14:paraId="3D890985">
            <w:pPr>
              <w:spacing w:before="31" w:beforeLines="10" w:after="62" w:afterLines="20" w:line="280" w:lineRule="exact"/>
              <w:ind w:firstLine="0" w:firstLineChars="0"/>
              <w:rPr>
                <w:rFonts w:hint="eastAsia" w:ascii="汉仪书宋一简" w:eastAsia="汉仪书宋一简"/>
                <w:b/>
                <w:sz w:val="20"/>
                <w:szCs w:val="20"/>
              </w:rPr>
            </w:pPr>
          </w:p>
        </w:tc>
        <w:tc>
          <w:tcPr>
            <w:tcW w:w="421" w:type="pct"/>
            <w:vMerge w:val="restart"/>
            <w:shd w:val="clear" w:color="auto" w:fill="auto"/>
            <w:vAlign w:val="center"/>
          </w:tcPr>
          <w:p w14:paraId="4D3EFF85">
            <w:pPr>
              <w:spacing w:before="31" w:beforeLines="10" w:after="62" w:afterLines="20" w:line="280" w:lineRule="exact"/>
              <w:ind w:firstLine="0" w:firstLineChars="0"/>
              <w:jc w:val="center"/>
              <w:rPr>
                <w:rFonts w:hint="eastAsia" w:ascii="汉仪书宋一简" w:eastAsia="汉仪书宋一简"/>
                <w:sz w:val="20"/>
                <w:szCs w:val="20"/>
              </w:rPr>
            </w:pPr>
            <w:r>
              <w:rPr>
                <w:rFonts w:hint="eastAsia" w:ascii="汉仪书宋一简" w:eastAsia="汉仪书宋一简"/>
                <w:sz w:val="20"/>
                <w:szCs w:val="20"/>
              </w:rPr>
              <w:t>内幕交易</w:t>
            </w:r>
          </w:p>
        </w:tc>
        <w:tc>
          <w:tcPr>
            <w:tcW w:w="4178" w:type="pct"/>
            <w:gridSpan w:val="2"/>
            <w:shd w:val="clear" w:color="auto" w:fill="auto"/>
            <w:vAlign w:val="center"/>
          </w:tcPr>
          <w:p w14:paraId="04DD6C35">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主体：</w:t>
            </w:r>
            <w:r>
              <w:rPr>
                <w:rFonts w:hint="eastAsia" w:ascii="汉仪书宋一简" w:eastAsia="汉仪书宋一简"/>
                <w:kern w:val="0"/>
                <w:sz w:val="20"/>
                <w:szCs w:val="20"/>
              </w:rPr>
              <w:t>证券交易内幕信息的知情人和非法获取内幕信息的人。证券交易内幕信息的知情人包括</w:t>
            </w:r>
            <w:r>
              <w:rPr>
                <w:rFonts w:hint="eastAsia" w:ascii="汉仪书宋一简" w:eastAsia="汉仪书宋一简"/>
                <w:color w:val="FF0000"/>
                <w:kern w:val="0"/>
                <w:sz w:val="20"/>
                <w:szCs w:val="20"/>
              </w:rPr>
              <w:t>因其身份、任职或工作而合法获取内幕信息的人</w:t>
            </w:r>
          </w:p>
        </w:tc>
      </w:tr>
      <w:tr w14:paraId="6BD131B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8" w:hRule="atLeast"/>
          <w:jc w:val="center"/>
        </w:trPr>
        <w:tc>
          <w:tcPr>
            <w:tcW w:w="401" w:type="pct"/>
            <w:vMerge w:val="continue"/>
            <w:shd w:val="clear" w:color="auto" w:fill="auto"/>
            <w:vAlign w:val="center"/>
          </w:tcPr>
          <w:p w14:paraId="627C01BF">
            <w:pPr>
              <w:spacing w:before="31" w:beforeLines="10" w:after="62" w:afterLines="20" w:line="280" w:lineRule="exact"/>
              <w:ind w:firstLine="0" w:firstLineChars="0"/>
              <w:rPr>
                <w:rFonts w:hint="eastAsia" w:ascii="汉仪书宋一简" w:eastAsia="汉仪书宋一简"/>
                <w:b/>
                <w:sz w:val="20"/>
                <w:szCs w:val="20"/>
              </w:rPr>
            </w:pPr>
          </w:p>
        </w:tc>
        <w:tc>
          <w:tcPr>
            <w:tcW w:w="421" w:type="pct"/>
            <w:vMerge w:val="continue"/>
            <w:shd w:val="clear" w:color="auto" w:fill="auto"/>
            <w:vAlign w:val="center"/>
          </w:tcPr>
          <w:p w14:paraId="4A5BF638">
            <w:pPr>
              <w:spacing w:before="31" w:beforeLines="10" w:after="62" w:afterLines="20" w:line="280" w:lineRule="exact"/>
              <w:ind w:firstLine="0" w:firstLineChars="0"/>
              <w:jc w:val="center"/>
              <w:rPr>
                <w:rFonts w:hint="eastAsia" w:ascii="汉仪书宋一简" w:eastAsia="汉仪书宋一简"/>
                <w:sz w:val="20"/>
                <w:szCs w:val="20"/>
              </w:rPr>
            </w:pPr>
          </w:p>
        </w:tc>
        <w:tc>
          <w:tcPr>
            <w:tcW w:w="4178" w:type="pct"/>
            <w:gridSpan w:val="2"/>
            <w:shd w:val="clear" w:color="auto" w:fill="auto"/>
            <w:vAlign w:val="center"/>
          </w:tcPr>
          <w:p w14:paraId="4501A985">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内幕信息：</w:t>
            </w:r>
            <w:r>
              <w:rPr>
                <w:rFonts w:hint="eastAsia" w:ascii="汉仪书宋一简" w:eastAsia="汉仪书宋一简"/>
                <w:kern w:val="0"/>
                <w:sz w:val="20"/>
                <w:szCs w:val="20"/>
              </w:rPr>
              <w:t>证券交易活动中，涉及发行人的经营、财务或者对该发行人证券的市场价格有重大影响的尚未公开的信息，为内幕信息</w:t>
            </w:r>
          </w:p>
        </w:tc>
      </w:tr>
      <w:tr w14:paraId="4ADEFFC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8" w:hRule="atLeast"/>
          <w:jc w:val="center"/>
        </w:trPr>
        <w:tc>
          <w:tcPr>
            <w:tcW w:w="401" w:type="pct"/>
            <w:vMerge w:val="continue"/>
            <w:shd w:val="clear" w:color="auto" w:fill="auto"/>
            <w:vAlign w:val="center"/>
          </w:tcPr>
          <w:p w14:paraId="536D8150">
            <w:pPr>
              <w:spacing w:before="31" w:beforeLines="10" w:after="62" w:afterLines="20" w:line="280" w:lineRule="exact"/>
              <w:ind w:firstLine="0" w:firstLineChars="0"/>
              <w:rPr>
                <w:rFonts w:hint="eastAsia" w:ascii="汉仪书宋一简" w:eastAsia="汉仪书宋一简"/>
                <w:b/>
                <w:sz w:val="20"/>
                <w:szCs w:val="20"/>
              </w:rPr>
            </w:pPr>
          </w:p>
        </w:tc>
        <w:tc>
          <w:tcPr>
            <w:tcW w:w="421" w:type="pct"/>
            <w:vMerge w:val="continue"/>
            <w:shd w:val="clear" w:color="auto" w:fill="auto"/>
            <w:vAlign w:val="center"/>
          </w:tcPr>
          <w:p w14:paraId="2B06C4B0">
            <w:pPr>
              <w:spacing w:before="31" w:beforeLines="10" w:after="62" w:afterLines="20" w:line="280" w:lineRule="exact"/>
              <w:ind w:firstLine="0" w:firstLineChars="0"/>
              <w:jc w:val="center"/>
              <w:rPr>
                <w:rFonts w:hint="eastAsia" w:ascii="汉仪书宋一简" w:eastAsia="汉仪书宋一简"/>
                <w:sz w:val="20"/>
                <w:szCs w:val="20"/>
              </w:rPr>
            </w:pPr>
          </w:p>
        </w:tc>
        <w:tc>
          <w:tcPr>
            <w:tcW w:w="4178" w:type="pct"/>
            <w:gridSpan w:val="2"/>
            <w:shd w:val="clear" w:color="auto" w:fill="auto"/>
            <w:vAlign w:val="center"/>
          </w:tcPr>
          <w:p w14:paraId="3DB4599F">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行为：</w:t>
            </w:r>
            <w:r>
              <w:rPr>
                <w:rFonts w:hint="eastAsia" w:ascii="汉仪书宋一简" w:eastAsia="汉仪书宋一简"/>
                <w:kern w:val="0"/>
                <w:sz w:val="20"/>
                <w:szCs w:val="20"/>
              </w:rPr>
              <w:t>在内幕信息公开前，买卖该公司的证券，或泄露该信息，或建议他人买卖该证券</w:t>
            </w:r>
          </w:p>
        </w:tc>
      </w:tr>
      <w:tr w14:paraId="0ED16C6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8" w:hRule="atLeast"/>
          <w:jc w:val="center"/>
        </w:trPr>
        <w:tc>
          <w:tcPr>
            <w:tcW w:w="401" w:type="pct"/>
            <w:vMerge w:val="continue"/>
            <w:shd w:val="clear" w:color="auto" w:fill="auto"/>
            <w:vAlign w:val="center"/>
          </w:tcPr>
          <w:p w14:paraId="68066488">
            <w:pPr>
              <w:spacing w:before="31" w:beforeLines="10" w:after="62" w:afterLines="20" w:line="280" w:lineRule="exact"/>
              <w:ind w:firstLine="0" w:firstLineChars="0"/>
              <w:rPr>
                <w:rFonts w:hint="eastAsia" w:ascii="汉仪书宋一简" w:eastAsia="汉仪书宋一简"/>
                <w:b/>
                <w:sz w:val="20"/>
                <w:szCs w:val="20"/>
              </w:rPr>
            </w:pPr>
          </w:p>
        </w:tc>
        <w:tc>
          <w:tcPr>
            <w:tcW w:w="421" w:type="pct"/>
            <w:vMerge w:val="continue"/>
            <w:shd w:val="clear" w:color="auto" w:fill="auto"/>
            <w:vAlign w:val="center"/>
          </w:tcPr>
          <w:p w14:paraId="584B91F1">
            <w:pPr>
              <w:spacing w:before="31" w:beforeLines="10" w:after="62" w:afterLines="20" w:line="280" w:lineRule="exact"/>
              <w:ind w:firstLine="0" w:firstLineChars="0"/>
              <w:jc w:val="center"/>
              <w:rPr>
                <w:rFonts w:hint="eastAsia" w:ascii="汉仪书宋一简" w:eastAsia="汉仪书宋一简"/>
                <w:sz w:val="20"/>
                <w:szCs w:val="20"/>
              </w:rPr>
            </w:pPr>
          </w:p>
        </w:tc>
        <w:tc>
          <w:tcPr>
            <w:tcW w:w="4178" w:type="pct"/>
            <w:gridSpan w:val="2"/>
            <w:shd w:val="clear" w:color="auto" w:fill="auto"/>
            <w:vAlign w:val="center"/>
          </w:tcPr>
          <w:p w14:paraId="662AB0E7">
            <w:pPr>
              <w:widowControl/>
              <w:shd w:val="clear" w:color="auto" w:fill="FFFFFF"/>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后果：</w:t>
            </w:r>
            <w:r>
              <w:rPr>
                <w:rFonts w:hint="eastAsia" w:ascii="汉仪书宋一简" w:eastAsia="汉仪书宋一简"/>
                <w:kern w:val="0"/>
                <w:sz w:val="20"/>
                <w:szCs w:val="20"/>
              </w:rPr>
              <w:t>内幕交易行为给投资者造成损失的，应当依法承担赔偿责任</w:t>
            </w:r>
          </w:p>
        </w:tc>
      </w:tr>
      <w:tr w14:paraId="1E3D3B1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97" w:hRule="atLeast"/>
          <w:jc w:val="center"/>
        </w:trPr>
        <w:tc>
          <w:tcPr>
            <w:tcW w:w="401" w:type="pct"/>
            <w:vMerge w:val="continue"/>
            <w:shd w:val="clear" w:color="auto" w:fill="auto"/>
            <w:vAlign w:val="center"/>
          </w:tcPr>
          <w:p w14:paraId="13388722">
            <w:pPr>
              <w:spacing w:before="31" w:beforeLines="10" w:after="62" w:afterLines="20" w:line="280" w:lineRule="exact"/>
              <w:ind w:firstLine="0" w:firstLineChars="0"/>
              <w:rPr>
                <w:rFonts w:hint="eastAsia" w:ascii="汉仪书宋一简" w:eastAsia="汉仪书宋一简"/>
                <w:b/>
                <w:sz w:val="20"/>
                <w:szCs w:val="20"/>
              </w:rPr>
            </w:pPr>
          </w:p>
        </w:tc>
        <w:tc>
          <w:tcPr>
            <w:tcW w:w="421" w:type="pct"/>
            <w:vMerge w:val="restart"/>
            <w:shd w:val="clear" w:color="auto" w:fill="auto"/>
            <w:vAlign w:val="center"/>
          </w:tcPr>
          <w:p w14:paraId="7AA4E369">
            <w:pPr>
              <w:spacing w:before="31" w:beforeLines="10" w:after="62" w:afterLines="20" w:line="280" w:lineRule="exact"/>
              <w:ind w:firstLine="0" w:firstLineChars="0"/>
              <w:jc w:val="center"/>
              <w:rPr>
                <w:rFonts w:hint="eastAsia" w:ascii="汉仪书宋一简" w:eastAsia="汉仪书宋一简"/>
                <w:sz w:val="20"/>
                <w:szCs w:val="20"/>
              </w:rPr>
            </w:pPr>
            <w:r>
              <w:rPr>
                <w:rFonts w:hint="eastAsia" w:ascii="汉仪书宋一简" w:eastAsia="汉仪书宋一简"/>
                <w:kern w:val="0"/>
                <w:sz w:val="20"/>
                <w:szCs w:val="20"/>
              </w:rPr>
              <w:t>操纵市场</w:t>
            </w:r>
          </w:p>
        </w:tc>
        <w:tc>
          <w:tcPr>
            <w:tcW w:w="4178" w:type="pct"/>
            <w:gridSpan w:val="2"/>
            <w:shd w:val="clear" w:color="auto" w:fill="auto"/>
            <w:vAlign w:val="center"/>
          </w:tcPr>
          <w:p w14:paraId="22B53EF6">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禁止任何人以下列手段</w:t>
            </w:r>
            <w:r>
              <w:rPr>
                <w:rFonts w:hint="eastAsia" w:ascii="汉仪书宋一简" w:eastAsia="汉仪书宋一简"/>
                <w:color w:val="FF0000"/>
                <w:sz w:val="20"/>
                <w:szCs w:val="20"/>
              </w:rPr>
              <w:t>操纵证券市场，影响或意图影响证券交易价格或证</w:t>
            </w:r>
            <w:r>
              <w:rPr>
                <w:rFonts w:hint="eastAsia" w:ascii="汉仪书宋一简" w:eastAsia="汉仪书宋一简"/>
                <w:sz w:val="20"/>
                <w:szCs w:val="20"/>
              </w:rPr>
              <w:t>券交易量：</w:t>
            </w:r>
            <w:r>
              <w:rPr>
                <w:rFonts w:hint="eastAsia" w:ascii="汉仪书宋一简" w:eastAsia="汉仪书宋一简" w:hAnsiTheme="minorEastAsia"/>
                <w:sz w:val="20"/>
                <w:szCs w:val="20"/>
              </w:rPr>
              <w:t>①</w:t>
            </w:r>
            <w:r>
              <w:rPr>
                <w:rFonts w:hint="eastAsia" w:ascii="汉仪书宋一简" w:eastAsia="汉仪书宋一简"/>
                <w:sz w:val="20"/>
                <w:szCs w:val="20"/>
              </w:rPr>
              <w:t>单独或者通过合谋，集中资金优势、持股优势或者利用信息优势联合或者连续买卖；</w:t>
            </w:r>
            <w:r>
              <w:rPr>
                <w:rFonts w:hint="eastAsia" w:ascii="汉仪书宋一简" w:eastAsia="汉仪书宋一简" w:hAnsiTheme="minorEastAsia"/>
                <w:sz w:val="20"/>
                <w:szCs w:val="20"/>
              </w:rPr>
              <w:t>②</w:t>
            </w:r>
            <w:r>
              <w:rPr>
                <w:rFonts w:hint="eastAsia" w:ascii="汉仪书宋一简" w:eastAsia="汉仪书宋一简"/>
                <w:sz w:val="20"/>
                <w:szCs w:val="20"/>
              </w:rPr>
              <w:t>与他人串通，以事先约定的时间、价格和方式相互进行证券交易；</w:t>
            </w:r>
            <w:r>
              <w:rPr>
                <w:rFonts w:hint="eastAsia" w:ascii="汉仪书宋一简" w:eastAsia="汉仪书宋一简" w:hAnsiTheme="minorEastAsia"/>
                <w:sz w:val="20"/>
                <w:szCs w:val="20"/>
              </w:rPr>
              <w:t>③</w:t>
            </w:r>
            <w:r>
              <w:rPr>
                <w:rFonts w:hint="eastAsia" w:ascii="汉仪书宋一简" w:eastAsia="汉仪书宋一简"/>
                <w:sz w:val="20"/>
                <w:szCs w:val="20"/>
              </w:rPr>
              <w:t>在自己实际控制的账户之间进行证券交易；</w:t>
            </w:r>
            <w:r>
              <w:rPr>
                <w:rFonts w:hint="eastAsia" w:ascii="汉仪书宋一简" w:eastAsia="汉仪书宋一简" w:hAnsiTheme="minorEastAsia"/>
                <w:sz w:val="20"/>
                <w:szCs w:val="20"/>
              </w:rPr>
              <w:t>④</w:t>
            </w:r>
            <w:r>
              <w:rPr>
                <w:rFonts w:hint="eastAsia" w:ascii="汉仪书宋一简" w:eastAsia="汉仪书宋一简"/>
                <w:sz w:val="20"/>
                <w:szCs w:val="20"/>
              </w:rPr>
              <w:t>不以成交为目的，频繁或大量申报并撤销申报；</w:t>
            </w:r>
            <w:r>
              <w:rPr>
                <w:rFonts w:hint="eastAsia" w:ascii="汉仪书宋一简" w:eastAsia="汉仪书宋一简" w:hAnsiTheme="minorEastAsia"/>
                <w:sz w:val="20"/>
                <w:szCs w:val="20"/>
              </w:rPr>
              <w:t>⑤</w:t>
            </w:r>
            <w:r>
              <w:rPr>
                <w:rFonts w:hint="eastAsia" w:ascii="汉仪书宋一简" w:eastAsia="汉仪书宋一简"/>
                <w:sz w:val="20"/>
                <w:szCs w:val="20"/>
              </w:rPr>
              <w:t>利用虚假或不确定的重大信息，诱导投资者进行证券交易；</w:t>
            </w:r>
            <w:r>
              <w:rPr>
                <w:rFonts w:hint="eastAsia" w:ascii="汉仪书宋一简" w:eastAsia="汉仪书宋一简" w:hAnsiTheme="minorEastAsia"/>
                <w:sz w:val="20"/>
                <w:szCs w:val="20"/>
              </w:rPr>
              <w:t>⑥</w:t>
            </w:r>
            <w:r>
              <w:rPr>
                <w:rFonts w:hint="eastAsia" w:ascii="汉仪书宋一简" w:eastAsia="汉仪书宋一简"/>
                <w:sz w:val="20"/>
                <w:szCs w:val="20"/>
              </w:rPr>
              <w:t>对证券、发行人公开作出评价、预测或投资建议，并进行反向证券交易；</w:t>
            </w:r>
            <w:r>
              <w:rPr>
                <w:rFonts w:hint="eastAsia" w:ascii="汉仪书宋一简" w:eastAsia="汉仪书宋一简" w:hAnsiTheme="minorEastAsia"/>
                <w:sz w:val="20"/>
                <w:szCs w:val="20"/>
              </w:rPr>
              <w:t>⑦</w:t>
            </w:r>
            <w:r>
              <w:rPr>
                <w:rFonts w:hint="eastAsia" w:ascii="汉仪书宋一简" w:eastAsia="汉仪书宋一简"/>
                <w:sz w:val="20"/>
                <w:szCs w:val="20"/>
              </w:rPr>
              <w:t>利用在其他相关市场的活动操纵证券市场；</w:t>
            </w:r>
            <w:r>
              <w:rPr>
                <w:rFonts w:hint="eastAsia" w:ascii="汉仪书宋一简" w:eastAsia="汉仪书宋一简" w:hAnsiTheme="minorEastAsia"/>
                <w:sz w:val="20"/>
                <w:szCs w:val="20"/>
              </w:rPr>
              <w:t>⑧</w:t>
            </w:r>
            <w:r>
              <w:rPr>
                <w:rFonts w:hint="eastAsia" w:ascii="汉仪书宋一简" w:eastAsia="汉仪书宋一简"/>
                <w:sz w:val="20"/>
                <w:szCs w:val="20"/>
              </w:rPr>
              <w:t>操纵证券市场的其他手段</w:t>
            </w:r>
          </w:p>
        </w:tc>
      </w:tr>
      <w:tr w14:paraId="737C0BA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96" w:hRule="atLeast"/>
          <w:jc w:val="center"/>
        </w:trPr>
        <w:tc>
          <w:tcPr>
            <w:tcW w:w="401" w:type="pct"/>
            <w:vMerge w:val="continue"/>
            <w:shd w:val="clear" w:color="auto" w:fill="auto"/>
            <w:vAlign w:val="center"/>
          </w:tcPr>
          <w:p w14:paraId="2E116F8C">
            <w:pPr>
              <w:spacing w:before="31" w:beforeLines="10" w:after="62" w:afterLines="20" w:line="280" w:lineRule="exact"/>
              <w:ind w:firstLine="0" w:firstLineChars="0"/>
              <w:rPr>
                <w:rFonts w:hint="eastAsia" w:ascii="汉仪书宋一简" w:eastAsia="汉仪书宋一简"/>
                <w:b/>
                <w:sz w:val="20"/>
                <w:szCs w:val="20"/>
              </w:rPr>
            </w:pPr>
          </w:p>
        </w:tc>
        <w:tc>
          <w:tcPr>
            <w:tcW w:w="421" w:type="pct"/>
            <w:vMerge w:val="continue"/>
            <w:shd w:val="clear" w:color="auto" w:fill="auto"/>
            <w:vAlign w:val="center"/>
          </w:tcPr>
          <w:p w14:paraId="6DF1278C">
            <w:pPr>
              <w:spacing w:before="31" w:beforeLines="10" w:after="62" w:afterLines="20" w:line="280" w:lineRule="exact"/>
              <w:ind w:firstLine="0" w:firstLineChars="0"/>
              <w:rPr>
                <w:rFonts w:hint="eastAsia" w:ascii="汉仪书宋一简" w:eastAsia="汉仪书宋一简"/>
                <w:kern w:val="0"/>
                <w:sz w:val="20"/>
                <w:szCs w:val="20"/>
              </w:rPr>
            </w:pPr>
          </w:p>
        </w:tc>
        <w:tc>
          <w:tcPr>
            <w:tcW w:w="4178" w:type="pct"/>
            <w:gridSpan w:val="2"/>
            <w:shd w:val="clear" w:color="auto" w:fill="auto"/>
            <w:vAlign w:val="center"/>
          </w:tcPr>
          <w:p w14:paraId="57870FF5">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后果：操纵证券市场行为给投资者造成损失的，应当依法承担赔偿责任</w:t>
            </w:r>
          </w:p>
        </w:tc>
      </w:tr>
      <w:tr w14:paraId="03068C2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401" w:type="pct"/>
            <w:vMerge w:val="restart"/>
            <w:shd w:val="clear" w:color="auto" w:fill="auto"/>
            <w:vAlign w:val="center"/>
          </w:tcPr>
          <w:p w14:paraId="78D739B0">
            <w:pPr>
              <w:spacing w:before="31" w:beforeLines="10" w:after="62" w:afterLines="20" w:line="280" w:lineRule="exact"/>
              <w:ind w:firstLine="0" w:firstLineChars="0"/>
              <w:jc w:val="center"/>
              <w:rPr>
                <w:rFonts w:hint="eastAsia" w:ascii="汉仪书宋一简" w:eastAsia="汉仪书宋一简"/>
                <w:b/>
                <w:sz w:val="20"/>
                <w:szCs w:val="20"/>
              </w:rPr>
            </w:pPr>
            <w:r>
              <w:rPr>
                <w:rFonts w:hint="eastAsia" w:ascii="汉仪中黑简" w:eastAsia="汉仪中黑简"/>
                <w:bCs/>
                <w:sz w:val="20"/>
                <w:szCs w:val="20"/>
              </w:rPr>
              <w:t>交易限制</w:t>
            </w:r>
          </w:p>
        </w:tc>
        <w:tc>
          <w:tcPr>
            <w:tcW w:w="421" w:type="pct"/>
            <w:shd w:val="clear" w:color="auto" w:fill="auto"/>
            <w:vAlign w:val="center"/>
          </w:tcPr>
          <w:p w14:paraId="73CD0E3E">
            <w:pPr>
              <w:spacing w:before="31" w:beforeLines="10" w:after="62" w:afterLines="20" w:line="280" w:lineRule="exact"/>
              <w:ind w:firstLine="0" w:firstLineChars="0"/>
              <w:jc w:val="center"/>
              <w:rPr>
                <w:rFonts w:hint="eastAsia" w:ascii="汉仪书宋一简" w:eastAsia="汉仪书宋一简"/>
                <w:sz w:val="20"/>
                <w:szCs w:val="20"/>
              </w:rPr>
            </w:pPr>
            <w:r>
              <w:rPr>
                <w:rFonts w:hint="eastAsia" w:ascii="汉仪书宋一简" w:eastAsia="汉仪书宋一简"/>
                <w:kern w:val="0"/>
                <w:sz w:val="20"/>
                <w:szCs w:val="20"/>
              </w:rPr>
              <w:t>中介机构和人员</w:t>
            </w:r>
          </w:p>
        </w:tc>
        <w:tc>
          <w:tcPr>
            <w:tcW w:w="4178" w:type="pct"/>
            <w:gridSpan w:val="2"/>
            <w:shd w:val="clear" w:color="auto" w:fill="auto"/>
            <w:vAlign w:val="center"/>
          </w:tcPr>
          <w:p w14:paraId="1CA863BA">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hAnsiTheme="minorEastAsia"/>
                <w:kern w:val="0"/>
                <w:sz w:val="20"/>
                <w:szCs w:val="20"/>
              </w:rPr>
              <w:t>①</w:t>
            </w:r>
            <w:r>
              <w:rPr>
                <w:rFonts w:hint="eastAsia" w:ascii="汉仪书宋一简" w:eastAsia="汉仪书宋一简"/>
                <w:kern w:val="0"/>
                <w:sz w:val="20"/>
                <w:szCs w:val="20"/>
              </w:rPr>
              <w:t>为证券发行出具审计报告或法律意见书等文件的证券服务机构和人员，在该证券承销期内和期满后6个月内，不得买卖该证券。</w:t>
            </w:r>
            <w:r>
              <w:rPr>
                <w:rFonts w:hint="eastAsia" w:ascii="汉仪书宋一简" w:eastAsia="汉仪书宋一简" w:hAnsiTheme="minorEastAsia"/>
                <w:kern w:val="0"/>
                <w:sz w:val="20"/>
                <w:szCs w:val="20"/>
              </w:rPr>
              <w:t>②</w:t>
            </w:r>
            <w:r>
              <w:rPr>
                <w:rFonts w:hint="eastAsia" w:ascii="汉仪书宋一简" w:eastAsia="汉仪书宋一简"/>
                <w:kern w:val="0"/>
                <w:sz w:val="20"/>
                <w:szCs w:val="20"/>
              </w:rPr>
              <w:t>为发行人及其控股股东、实际控制人，或者收购人、重大资产交易方出具审计报告或法律意见书等文件的证券服务机构和人员，自接受委托之日或开展上述有关工作之日起至上述文件公开后5日内，不得买卖该证券</w:t>
            </w:r>
          </w:p>
        </w:tc>
      </w:tr>
      <w:tr w14:paraId="0192DFE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36" w:hRule="atLeast"/>
          <w:jc w:val="center"/>
        </w:trPr>
        <w:tc>
          <w:tcPr>
            <w:tcW w:w="401" w:type="pct"/>
            <w:vMerge w:val="continue"/>
            <w:shd w:val="clear" w:color="auto" w:fill="auto"/>
            <w:vAlign w:val="center"/>
          </w:tcPr>
          <w:p w14:paraId="2D3B3C69">
            <w:pPr>
              <w:spacing w:before="31" w:beforeLines="10" w:after="62" w:afterLines="20" w:line="280" w:lineRule="exact"/>
              <w:ind w:firstLine="0" w:firstLineChars="0"/>
              <w:rPr>
                <w:rFonts w:hint="eastAsia" w:ascii="汉仪书宋一简" w:eastAsia="汉仪书宋一简"/>
                <w:sz w:val="20"/>
                <w:szCs w:val="20"/>
              </w:rPr>
            </w:pPr>
          </w:p>
        </w:tc>
        <w:tc>
          <w:tcPr>
            <w:tcW w:w="421" w:type="pct"/>
            <w:vMerge w:val="restart"/>
            <w:shd w:val="clear" w:color="auto" w:fill="auto"/>
            <w:vAlign w:val="center"/>
          </w:tcPr>
          <w:p w14:paraId="5489613C">
            <w:pPr>
              <w:spacing w:before="31" w:beforeLines="10" w:after="62" w:afterLines="20" w:line="280" w:lineRule="exact"/>
              <w:ind w:firstLine="0" w:firstLineChars="0"/>
              <w:jc w:val="center"/>
              <w:rPr>
                <w:rFonts w:hint="eastAsia" w:ascii="汉仪书宋一简" w:eastAsia="汉仪书宋一简"/>
                <w:sz w:val="20"/>
                <w:szCs w:val="20"/>
              </w:rPr>
            </w:pPr>
            <w:r>
              <w:rPr>
                <w:rFonts w:hint="eastAsia" w:ascii="汉仪书宋一简" w:eastAsia="汉仪书宋一简"/>
                <w:kern w:val="0"/>
                <w:sz w:val="20"/>
                <w:szCs w:val="20"/>
              </w:rPr>
              <w:t>短线交易</w:t>
            </w:r>
          </w:p>
        </w:tc>
        <w:tc>
          <w:tcPr>
            <w:tcW w:w="421" w:type="pct"/>
            <w:shd w:val="clear" w:color="auto" w:fill="auto"/>
            <w:vAlign w:val="center"/>
          </w:tcPr>
          <w:p w14:paraId="35642A84">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主体</w:t>
            </w:r>
          </w:p>
        </w:tc>
        <w:tc>
          <w:tcPr>
            <w:tcW w:w="3757" w:type="pct"/>
            <w:shd w:val="clear" w:color="auto" w:fill="auto"/>
            <w:vAlign w:val="center"/>
          </w:tcPr>
          <w:p w14:paraId="5EBFDD1F">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t>上市公司、股票在国务院批准的其他全国性证券交易场所交易的公司持有</w:t>
            </w:r>
            <w:r>
              <w:rPr>
                <w:rFonts w:hint="eastAsia" w:ascii="汉仪书宋一简" w:hAnsi="楷体" w:eastAsia="汉仪书宋一简" w:cs="楷体"/>
                <w:kern w:val="0"/>
                <w:sz w:val="20"/>
                <w:szCs w:val="20"/>
              </w:rPr>
              <w:t>5%以上</w:t>
            </w:r>
            <w:r>
              <w:rPr>
                <w:rFonts w:hint="eastAsia" w:ascii="汉仪书宋一简" w:eastAsia="汉仪书宋一简"/>
                <w:kern w:val="0"/>
                <w:sz w:val="20"/>
                <w:szCs w:val="20"/>
              </w:rPr>
              <w:t>股份的股东、董监高</w:t>
            </w:r>
          </w:p>
        </w:tc>
      </w:tr>
      <w:tr w14:paraId="6C87866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422" w:hRule="atLeast"/>
          <w:jc w:val="center"/>
        </w:trPr>
        <w:tc>
          <w:tcPr>
            <w:tcW w:w="401" w:type="pct"/>
            <w:vMerge w:val="continue"/>
            <w:shd w:val="clear" w:color="auto" w:fill="auto"/>
            <w:vAlign w:val="center"/>
          </w:tcPr>
          <w:p w14:paraId="7AA575FD">
            <w:pPr>
              <w:spacing w:before="31" w:beforeLines="10" w:after="62" w:afterLines="20" w:line="280" w:lineRule="exact"/>
              <w:ind w:firstLine="0" w:firstLineChars="0"/>
              <w:rPr>
                <w:rFonts w:hint="eastAsia" w:ascii="汉仪书宋一简" w:eastAsia="汉仪书宋一简"/>
                <w:sz w:val="20"/>
                <w:szCs w:val="20"/>
              </w:rPr>
            </w:pPr>
          </w:p>
        </w:tc>
        <w:tc>
          <w:tcPr>
            <w:tcW w:w="421" w:type="pct"/>
            <w:vMerge w:val="continue"/>
            <w:shd w:val="clear" w:color="auto" w:fill="auto"/>
            <w:vAlign w:val="center"/>
          </w:tcPr>
          <w:p w14:paraId="38AC6485">
            <w:pPr>
              <w:spacing w:before="31" w:beforeLines="10" w:after="62" w:afterLines="20" w:line="280" w:lineRule="exact"/>
              <w:ind w:firstLine="0" w:firstLineChars="0"/>
              <w:rPr>
                <w:rFonts w:hint="eastAsia" w:ascii="汉仪书宋一简" w:eastAsia="汉仪书宋一简"/>
                <w:kern w:val="0"/>
                <w:sz w:val="20"/>
                <w:szCs w:val="20"/>
              </w:rPr>
            </w:pPr>
          </w:p>
        </w:tc>
        <w:tc>
          <w:tcPr>
            <w:tcW w:w="421" w:type="pct"/>
            <w:shd w:val="clear" w:color="auto" w:fill="auto"/>
            <w:vAlign w:val="center"/>
          </w:tcPr>
          <w:p w14:paraId="48992034">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认定</w:t>
            </w:r>
          </w:p>
        </w:tc>
        <w:tc>
          <w:tcPr>
            <w:tcW w:w="3757" w:type="pct"/>
            <w:shd w:val="clear" w:color="auto" w:fill="auto"/>
            <w:vAlign w:val="center"/>
          </w:tcPr>
          <w:p w14:paraId="35753538">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将其持有（包括其配偶、父母、子女持有的及利用他人账户持有）的该公司的股票或其他具有股权性质的证券在</w:t>
            </w:r>
            <w:r>
              <w:rPr>
                <w:rFonts w:hint="eastAsia" w:ascii="汉仪书宋一简" w:eastAsia="汉仪书宋一简"/>
                <w:color w:val="FF0000"/>
                <w:kern w:val="0"/>
                <w:sz w:val="20"/>
                <w:szCs w:val="20"/>
              </w:rPr>
              <w:t>买入后6个月内卖出，或者在卖出后6个月内又买入</w:t>
            </w:r>
          </w:p>
        </w:tc>
      </w:tr>
      <w:tr w14:paraId="6616EEF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751" w:hRule="atLeast"/>
          <w:jc w:val="center"/>
        </w:trPr>
        <w:tc>
          <w:tcPr>
            <w:tcW w:w="401" w:type="pct"/>
            <w:vMerge w:val="continue"/>
            <w:shd w:val="clear" w:color="auto" w:fill="auto"/>
            <w:vAlign w:val="center"/>
          </w:tcPr>
          <w:p w14:paraId="263AF355">
            <w:pPr>
              <w:spacing w:before="31" w:beforeLines="10" w:after="62" w:afterLines="20" w:line="280" w:lineRule="exact"/>
              <w:ind w:firstLine="0" w:firstLineChars="0"/>
              <w:rPr>
                <w:rFonts w:hint="eastAsia" w:ascii="汉仪书宋一简" w:eastAsia="汉仪书宋一简"/>
                <w:sz w:val="20"/>
                <w:szCs w:val="20"/>
              </w:rPr>
            </w:pPr>
          </w:p>
        </w:tc>
        <w:tc>
          <w:tcPr>
            <w:tcW w:w="421" w:type="pct"/>
            <w:vMerge w:val="continue"/>
            <w:shd w:val="clear" w:color="auto" w:fill="auto"/>
            <w:vAlign w:val="center"/>
          </w:tcPr>
          <w:p w14:paraId="3E95D16E">
            <w:pPr>
              <w:spacing w:before="31" w:beforeLines="10" w:after="62" w:afterLines="20" w:line="280" w:lineRule="exact"/>
              <w:ind w:firstLine="0" w:firstLineChars="0"/>
              <w:rPr>
                <w:rFonts w:hint="eastAsia" w:ascii="汉仪书宋一简" w:eastAsia="汉仪书宋一简"/>
                <w:kern w:val="0"/>
                <w:sz w:val="20"/>
                <w:szCs w:val="20"/>
              </w:rPr>
            </w:pPr>
          </w:p>
        </w:tc>
        <w:tc>
          <w:tcPr>
            <w:tcW w:w="421" w:type="pct"/>
            <w:shd w:val="clear" w:color="auto" w:fill="auto"/>
            <w:vAlign w:val="center"/>
          </w:tcPr>
          <w:p w14:paraId="149042BA">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后果</w:t>
            </w:r>
          </w:p>
        </w:tc>
        <w:tc>
          <w:tcPr>
            <w:tcW w:w="3757" w:type="pct"/>
            <w:shd w:val="clear" w:color="auto" w:fill="auto"/>
            <w:vAlign w:val="center"/>
          </w:tcPr>
          <w:p w14:paraId="7D5CA445">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短线交易所得收益归</w:t>
            </w:r>
            <w:r>
              <w:rPr>
                <w:rFonts w:hint="eastAsia" w:ascii="汉仪书宋一简" w:eastAsia="汉仪书宋一简"/>
                <w:color w:val="FF0000"/>
                <w:kern w:val="0"/>
                <w:sz w:val="20"/>
                <w:szCs w:val="20"/>
              </w:rPr>
              <w:t>该</w:t>
            </w:r>
            <w:r>
              <w:rPr>
                <w:rFonts w:hint="eastAsia" w:ascii="汉仪书宋一简" w:hAnsi="楷体" w:eastAsia="汉仪书宋一简" w:cs="楷体"/>
                <w:color w:val="FF0000"/>
                <w:kern w:val="0"/>
                <w:sz w:val="20"/>
                <w:szCs w:val="20"/>
              </w:rPr>
              <w:t>公司</w:t>
            </w:r>
            <w:r>
              <w:rPr>
                <w:rFonts w:hint="eastAsia" w:ascii="汉仪书宋一简" w:eastAsia="汉仪书宋一简"/>
                <w:color w:val="FF0000"/>
                <w:kern w:val="0"/>
                <w:sz w:val="20"/>
                <w:szCs w:val="20"/>
              </w:rPr>
              <w:t>所有</w:t>
            </w:r>
            <w:r>
              <w:rPr>
                <w:rFonts w:hint="eastAsia" w:ascii="汉仪书宋一简" w:eastAsia="汉仪书宋一简"/>
                <w:kern w:val="0"/>
                <w:sz w:val="20"/>
                <w:szCs w:val="20"/>
              </w:rPr>
              <w:t>。公司董事会应当收回其所得收益，否则股东有权要求董事会在30日内执行。公司董事会未在上述期限内执行的，股东有权为了公司的利益以自己的名义直接向法院提起诉讼。此外，董事会不收回其所得收益的，负有责任的董事依法承担连带责任</w:t>
            </w:r>
          </w:p>
        </w:tc>
      </w:tr>
    </w:tbl>
    <w:p w14:paraId="667A7BB1">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考点29  </w:t>
      </w:r>
      <w:r>
        <w:rPr>
          <w:rFonts w:hint="eastAsia" w:ascii="汉仪粗宋简" w:hAnsi="Times New Roman" w:eastAsia="汉仪大宋简" w:cs="汉仪粗宋简"/>
          <w:b/>
          <w:bCs/>
          <w:color w:val="000000"/>
          <w:kern w:val="0"/>
          <w:position w:val="4"/>
          <w:sz w:val="26"/>
          <w:szCs w:val="26"/>
          <w:lang w:val="zh-CN"/>
        </w:rPr>
        <w:t>上市公司收购</w:t>
      </w:r>
    </w:p>
    <w:p w14:paraId="03E815E3">
      <w:pPr>
        <w:ind w:firstLine="520"/>
        <w:rPr>
          <w:rFonts w:hint="eastAsia" w:ascii="汉仪书宋二简"/>
          <w:sz w:val="26"/>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098"/>
        <w:gridCol w:w="1123"/>
        <w:gridCol w:w="4948"/>
        <w:gridCol w:w="1336"/>
      </w:tblGrid>
      <w:tr w14:paraId="0909D9A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15" w:hRule="atLeast"/>
          <w:jc w:val="center"/>
        </w:trPr>
        <w:tc>
          <w:tcPr>
            <w:tcW w:w="646" w:type="pct"/>
            <w:shd w:val="clear" w:color="auto" w:fill="auto"/>
            <w:vAlign w:val="center"/>
          </w:tcPr>
          <w:p w14:paraId="799C5E1C">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概念</w:t>
            </w:r>
          </w:p>
        </w:tc>
        <w:tc>
          <w:tcPr>
            <w:tcW w:w="4353" w:type="pct"/>
            <w:gridSpan w:val="3"/>
            <w:shd w:val="clear" w:color="auto" w:fill="auto"/>
            <w:vAlign w:val="center"/>
          </w:tcPr>
          <w:p w14:paraId="7ED33E4C">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投资者依法定程序公开收购股份公司已发行上市的股份以达到对该公司控股或兼并目的的行为</w:t>
            </w:r>
          </w:p>
        </w:tc>
      </w:tr>
      <w:tr w14:paraId="0C157A0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58" w:hRule="atLeast"/>
          <w:jc w:val="center"/>
        </w:trPr>
        <w:tc>
          <w:tcPr>
            <w:tcW w:w="646" w:type="pct"/>
            <w:vMerge w:val="restart"/>
            <w:shd w:val="clear" w:color="auto" w:fill="auto"/>
            <w:vAlign w:val="center"/>
          </w:tcPr>
          <w:p w14:paraId="7DC1A292">
            <w:pPr>
              <w:spacing w:before="31" w:beforeLines="10" w:after="62" w:afterLines="20" w:line="280" w:lineRule="exact"/>
              <w:ind w:firstLine="0" w:firstLineChars="0"/>
              <w:jc w:val="center"/>
              <w:rPr>
                <w:rFonts w:ascii="汉仪中黑简" w:eastAsia="汉仪中黑简"/>
                <w:bCs/>
                <w:sz w:val="20"/>
                <w:szCs w:val="20"/>
              </w:rPr>
            </w:pPr>
            <w:r>
              <w:rPr>
                <w:rFonts w:hint="eastAsia" w:ascii="汉仪中黑简" w:eastAsia="汉仪中黑简"/>
                <w:bCs/>
                <w:sz w:val="20"/>
                <w:szCs w:val="20"/>
              </w:rPr>
              <w:t>举牌制度</w:t>
            </w:r>
          </w:p>
          <w:p w14:paraId="59EEBE3E">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color w:val="FF0000"/>
                <w:sz w:val="20"/>
                <w:szCs w:val="20"/>
              </w:rPr>
              <w:t>慢走规则</w:t>
            </w:r>
          </w:p>
        </w:tc>
        <w:tc>
          <w:tcPr>
            <w:tcW w:w="3568" w:type="pct"/>
            <w:gridSpan w:val="2"/>
            <w:shd w:val="clear" w:color="auto" w:fill="auto"/>
            <w:vAlign w:val="center"/>
          </w:tcPr>
          <w:p w14:paraId="370538AD">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5%举牌与限制交易：</w:t>
            </w:r>
            <w:r>
              <w:rPr>
                <w:rFonts w:hint="eastAsia" w:ascii="汉仪书宋一简" w:eastAsia="汉仪书宋一简"/>
                <w:sz w:val="20"/>
                <w:szCs w:val="20"/>
              </w:rPr>
              <w:t>通过证券交易所的证券交易，投资者或其一致行动人持有一个上市公司已发行的有表决权股份达到5%时，应当在该事实发生之日起3日内，</w:t>
            </w:r>
            <w:r>
              <w:rPr>
                <w:rFonts w:hint="eastAsia" w:ascii="汉仪书宋一简" w:hAnsi="楷体" w:eastAsia="汉仪书宋一简" w:cs="楷体"/>
                <w:sz w:val="20"/>
                <w:szCs w:val="20"/>
              </w:rPr>
              <w:t>向证监会、证券交易所作出书面报告，通知该上市公司，并予公告</w:t>
            </w:r>
            <w:r>
              <w:rPr>
                <w:rFonts w:hint="eastAsia" w:ascii="汉仪书宋一简" w:eastAsia="汉仪书宋一简"/>
                <w:sz w:val="20"/>
                <w:szCs w:val="20"/>
              </w:rPr>
              <w:t>，在上述期限内不得再行买卖该上市公司的股票，但证监会规定的情形除外</w:t>
            </w:r>
          </w:p>
        </w:tc>
        <w:tc>
          <w:tcPr>
            <w:tcW w:w="784" w:type="pct"/>
            <w:vMerge w:val="restart"/>
            <w:shd w:val="clear" w:color="auto" w:fill="auto"/>
            <w:vAlign w:val="center"/>
          </w:tcPr>
          <w:p w14:paraId="5E5C0AC1">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违规买入上市公司有表决权的股份的，在买入后的36个月内，对该超过规定比例部分的股份不得行使表决权</w:t>
            </w:r>
          </w:p>
        </w:tc>
      </w:tr>
      <w:tr w14:paraId="308C18D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57" w:hRule="atLeast"/>
          <w:jc w:val="center"/>
        </w:trPr>
        <w:tc>
          <w:tcPr>
            <w:tcW w:w="646" w:type="pct"/>
            <w:vMerge w:val="continue"/>
            <w:shd w:val="clear" w:color="auto" w:fill="auto"/>
            <w:vAlign w:val="center"/>
          </w:tcPr>
          <w:p w14:paraId="2EF68E25">
            <w:pPr>
              <w:spacing w:before="31" w:beforeLines="10" w:after="62" w:afterLines="20" w:line="280" w:lineRule="exact"/>
              <w:ind w:firstLine="0" w:firstLineChars="0"/>
              <w:jc w:val="center"/>
              <w:rPr>
                <w:rFonts w:hint="eastAsia" w:ascii="汉仪中黑简" w:eastAsia="汉仪中黑简"/>
                <w:bCs/>
                <w:sz w:val="20"/>
                <w:szCs w:val="20"/>
              </w:rPr>
            </w:pPr>
          </w:p>
        </w:tc>
        <w:tc>
          <w:tcPr>
            <w:tcW w:w="3568" w:type="pct"/>
            <w:gridSpan w:val="2"/>
            <w:shd w:val="clear" w:color="auto" w:fill="auto"/>
            <w:vAlign w:val="center"/>
          </w:tcPr>
          <w:p w14:paraId="43B7FF1A">
            <w:pPr>
              <w:spacing w:before="31" w:beforeLines="10" w:after="62" w:afterLines="20" w:line="280" w:lineRule="exact"/>
              <w:ind w:firstLine="0" w:firstLineChars="0"/>
              <w:rPr>
                <w:rFonts w:hint="eastAsia" w:ascii="汉仪书宋一简" w:eastAsia="汉仪书宋一简"/>
                <w:spacing w:val="-3"/>
                <w:kern w:val="0"/>
                <w:sz w:val="20"/>
                <w:szCs w:val="20"/>
              </w:rPr>
            </w:pPr>
            <w:r>
              <w:rPr>
                <w:rFonts w:hint="eastAsia" w:ascii="汉仪书宋一简" w:eastAsia="汉仪书宋一简"/>
                <w:spacing w:val="-3"/>
                <w:kern w:val="0"/>
                <w:sz w:val="20"/>
                <w:szCs w:val="20"/>
              </w:rPr>
              <w:t>变动5%举牌与限制交易：</w:t>
            </w:r>
            <w:r>
              <w:rPr>
                <w:rFonts w:hint="eastAsia" w:ascii="汉仪书宋一简" w:eastAsia="汉仪书宋一简"/>
                <w:spacing w:val="-3"/>
                <w:sz w:val="20"/>
                <w:szCs w:val="20"/>
              </w:rPr>
              <w:t>以后所持比例每增加或减少5%，应当向证监会、证券交易所作出书面报告，通知该上市公司，并予公告，在该事实发生之日起至公告后3日内，不得再行买卖该上市公司的股票，但国务院证券监督管理机构规定的情形除外；以后所持比例每增加或减少1%，应当在该事实发生的次日通知该上市公司，并予公告</w:t>
            </w:r>
          </w:p>
        </w:tc>
        <w:tc>
          <w:tcPr>
            <w:tcW w:w="784" w:type="pct"/>
            <w:vMerge w:val="continue"/>
            <w:shd w:val="clear" w:color="auto" w:fill="auto"/>
            <w:vAlign w:val="center"/>
          </w:tcPr>
          <w:p w14:paraId="04C2643D">
            <w:pPr>
              <w:spacing w:before="31" w:beforeLines="10" w:after="62" w:afterLines="20" w:line="280" w:lineRule="exact"/>
              <w:ind w:firstLine="0" w:firstLineChars="0"/>
              <w:rPr>
                <w:rFonts w:hint="eastAsia" w:ascii="汉仪书宋一简" w:eastAsia="汉仪书宋一简"/>
                <w:kern w:val="0"/>
                <w:sz w:val="20"/>
                <w:szCs w:val="20"/>
              </w:rPr>
            </w:pPr>
          </w:p>
        </w:tc>
      </w:tr>
      <w:tr w14:paraId="2A87CAE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6" w:type="pct"/>
            <w:shd w:val="clear" w:color="auto" w:fill="auto"/>
            <w:vAlign w:val="center"/>
          </w:tcPr>
          <w:p w14:paraId="09A15E5A">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收购方式</w:t>
            </w:r>
          </w:p>
        </w:tc>
        <w:tc>
          <w:tcPr>
            <w:tcW w:w="4353" w:type="pct"/>
            <w:gridSpan w:val="3"/>
            <w:shd w:val="clear" w:color="auto" w:fill="auto"/>
            <w:vAlign w:val="center"/>
          </w:tcPr>
          <w:p w14:paraId="0EAD544D">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要约收购、协议收购和其他合法方式收购</w:t>
            </w:r>
          </w:p>
        </w:tc>
      </w:tr>
      <w:tr w14:paraId="6B08831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46" w:type="pct"/>
            <w:vMerge w:val="restart"/>
            <w:shd w:val="clear" w:color="auto" w:fill="auto"/>
            <w:vAlign w:val="center"/>
          </w:tcPr>
          <w:p w14:paraId="367F5A28">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要约收购</w:t>
            </w:r>
          </w:p>
        </w:tc>
        <w:tc>
          <w:tcPr>
            <w:tcW w:w="660" w:type="pct"/>
            <w:shd w:val="clear" w:color="auto" w:fill="auto"/>
            <w:vAlign w:val="center"/>
          </w:tcPr>
          <w:p w14:paraId="4EB27564">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条件</w:t>
            </w:r>
          </w:p>
        </w:tc>
        <w:tc>
          <w:tcPr>
            <w:tcW w:w="3693" w:type="pct"/>
            <w:gridSpan w:val="2"/>
            <w:shd w:val="clear" w:color="auto" w:fill="auto"/>
            <w:vAlign w:val="center"/>
          </w:tcPr>
          <w:p w14:paraId="2F4E5465">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持有已发行的有表决权股</w:t>
            </w:r>
            <w:r>
              <w:rPr>
                <w:rFonts w:hint="eastAsia" w:ascii="汉仪书宋一简" w:eastAsia="汉仪书宋一简"/>
                <w:color w:val="FF0000"/>
                <w:kern w:val="0"/>
                <w:sz w:val="20"/>
                <w:szCs w:val="20"/>
              </w:rPr>
              <w:t>份30%且继续收购的  必须选择要约收购不能再协议收购</w:t>
            </w:r>
          </w:p>
        </w:tc>
      </w:tr>
      <w:tr w14:paraId="6458904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97" w:hRule="atLeast"/>
          <w:jc w:val="center"/>
        </w:trPr>
        <w:tc>
          <w:tcPr>
            <w:tcW w:w="646" w:type="pct"/>
            <w:vMerge w:val="continue"/>
            <w:shd w:val="clear" w:color="auto" w:fill="auto"/>
            <w:vAlign w:val="center"/>
          </w:tcPr>
          <w:p w14:paraId="40996EAE">
            <w:pPr>
              <w:spacing w:before="31" w:beforeLines="10" w:after="62" w:afterLines="20" w:line="280" w:lineRule="exact"/>
              <w:ind w:firstLine="0" w:firstLineChars="0"/>
              <w:rPr>
                <w:rFonts w:hint="eastAsia" w:ascii="汉仪书宋一简" w:eastAsia="汉仪书宋一简"/>
                <w:kern w:val="0"/>
                <w:sz w:val="20"/>
                <w:szCs w:val="20"/>
              </w:rPr>
            </w:pPr>
          </w:p>
        </w:tc>
        <w:tc>
          <w:tcPr>
            <w:tcW w:w="660" w:type="pct"/>
            <w:vMerge w:val="restart"/>
            <w:shd w:val="clear" w:color="auto" w:fill="auto"/>
            <w:vAlign w:val="center"/>
          </w:tcPr>
          <w:p w14:paraId="5937EFF0">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公平性</w:t>
            </w:r>
          </w:p>
        </w:tc>
        <w:tc>
          <w:tcPr>
            <w:tcW w:w="3693" w:type="pct"/>
            <w:gridSpan w:val="2"/>
            <w:shd w:val="clear" w:color="auto" w:fill="auto"/>
            <w:vAlign w:val="center"/>
          </w:tcPr>
          <w:p w14:paraId="51FCA526">
            <w:pPr>
              <w:spacing w:before="31" w:beforeLines="10" w:after="62" w:afterLines="20" w:line="280" w:lineRule="exact"/>
              <w:ind w:firstLine="0" w:firstLineChars="0"/>
              <w:rPr>
                <w:rFonts w:hint="eastAsia" w:ascii="汉仪书宋一简" w:eastAsia="汉仪书宋一简" w:hAnsiTheme="minorEastAsia"/>
                <w:kern w:val="0"/>
                <w:sz w:val="20"/>
                <w:szCs w:val="20"/>
              </w:rPr>
            </w:pPr>
            <w:r>
              <w:rPr>
                <w:rFonts w:hint="eastAsia" w:ascii="汉仪书宋一简" w:eastAsia="汉仪书宋一简" w:hAnsiTheme="minorEastAsia"/>
                <w:kern w:val="0"/>
                <w:sz w:val="20"/>
                <w:szCs w:val="20"/>
              </w:rPr>
              <w:t>被收购公司股东承诺出售的股份数额超过预定收购的股份数额的，收购人按比例进行收购</w:t>
            </w:r>
          </w:p>
        </w:tc>
      </w:tr>
      <w:tr w14:paraId="4E74DF1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96" w:hRule="atLeast"/>
          <w:jc w:val="center"/>
        </w:trPr>
        <w:tc>
          <w:tcPr>
            <w:tcW w:w="646" w:type="pct"/>
            <w:vMerge w:val="continue"/>
            <w:shd w:val="clear" w:color="auto" w:fill="auto"/>
            <w:vAlign w:val="center"/>
          </w:tcPr>
          <w:p w14:paraId="34A3B5BB">
            <w:pPr>
              <w:spacing w:before="31" w:beforeLines="10" w:after="62" w:afterLines="20" w:line="280" w:lineRule="exact"/>
              <w:ind w:firstLine="0" w:firstLineChars="0"/>
              <w:rPr>
                <w:rFonts w:hint="eastAsia" w:ascii="汉仪书宋一简" w:eastAsia="汉仪书宋一简"/>
                <w:kern w:val="0"/>
                <w:sz w:val="20"/>
                <w:szCs w:val="20"/>
              </w:rPr>
            </w:pPr>
          </w:p>
        </w:tc>
        <w:tc>
          <w:tcPr>
            <w:tcW w:w="660" w:type="pct"/>
            <w:vMerge w:val="continue"/>
            <w:shd w:val="clear" w:color="auto" w:fill="auto"/>
            <w:vAlign w:val="center"/>
          </w:tcPr>
          <w:p w14:paraId="077F9AC8">
            <w:pPr>
              <w:spacing w:before="31" w:beforeLines="10" w:after="62" w:afterLines="20" w:line="280" w:lineRule="exact"/>
              <w:ind w:firstLine="0" w:firstLineChars="0"/>
              <w:jc w:val="center"/>
              <w:rPr>
                <w:rFonts w:hint="eastAsia" w:ascii="汉仪书宋一简" w:eastAsia="汉仪书宋一简"/>
                <w:kern w:val="0"/>
                <w:sz w:val="20"/>
                <w:szCs w:val="20"/>
              </w:rPr>
            </w:pPr>
          </w:p>
        </w:tc>
        <w:tc>
          <w:tcPr>
            <w:tcW w:w="3693" w:type="pct"/>
            <w:gridSpan w:val="2"/>
            <w:shd w:val="clear" w:color="auto" w:fill="auto"/>
            <w:vAlign w:val="center"/>
          </w:tcPr>
          <w:p w14:paraId="4561A7F3">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收购要约提出的各项收购条件，适用于被收购公司的所有股东，但是，上市公司发行不同种类股份的，收购人可以针对不同种类股份提出不同的收购条件</w:t>
            </w:r>
          </w:p>
        </w:tc>
      </w:tr>
      <w:tr w14:paraId="724F6F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97" w:hRule="atLeast"/>
          <w:jc w:val="center"/>
        </w:trPr>
        <w:tc>
          <w:tcPr>
            <w:tcW w:w="646" w:type="pct"/>
            <w:vMerge w:val="continue"/>
            <w:shd w:val="clear" w:color="auto" w:fill="auto"/>
            <w:vAlign w:val="center"/>
          </w:tcPr>
          <w:p w14:paraId="749EFF3E">
            <w:pPr>
              <w:spacing w:before="31" w:beforeLines="10" w:after="62" w:afterLines="20" w:line="280" w:lineRule="exact"/>
              <w:ind w:firstLine="0" w:firstLineChars="0"/>
              <w:rPr>
                <w:rFonts w:hint="eastAsia" w:ascii="汉仪书宋一简" w:eastAsia="汉仪书宋一简"/>
                <w:kern w:val="0"/>
                <w:sz w:val="20"/>
                <w:szCs w:val="20"/>
              </w:rPr>
            </w:pPr>
          </w:p>
        </w:tc>
        <w:tc>
          <w:tcPr>
            <w:tcW w:w="660" w:type="pct"/>
            <w:shd w:val="clear" w:color="auto" w:fill="auto"/>
            <w:vAlign w:val="center"/>
          </w:tcPr>
          <w:p w14:paraId="12B2ECD4">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期限</w:t>
            </w:r>
          </w:p>
        </w:tc>
        <w:tc>
          <w:tcPr>
            <w:tcW w:w="3693" w:type="pct"/>
            <w:gridSpan w:val="2"/>
            <w:shd w:val="clear" w:color="auto" w:fill="auto"/>
            <w:vAlign w:val="center"/>
          </w:tcPr>
          <w:p w14:paraId="75344BDE">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不得少于30日，并不得超过60日</w:t>
            </w:r>
          </w:p>
        </w:tc>
      </w:tr>
      <w:tr w14:paraId="12648AA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566" w:hRule="atLeast"/>
          <w:jc w:val="center"/>
        </w:trPr>
        <w:tc>
          <w:tcPr>
            <w:tcW w:w="646" w:type="pct"/>
            <w:vMerge w:val="continue"/>
            <w:shd w:val="clear" w:color="auto" w:fill="auto"/>
            <w:vAlign w:val="center"/>
          </w:tcPr>
          <w:p w14:paraId="6C65D7D7">
            <w:pPr>
              <w:spacing w:before="31" w:beforeLines="10" w:after="62" w:afterLines="20" w:line="280" w:lineRule="exact"/>
              <w:ind w:firstLine="0" w:firstLineChars="0"/>
              <w:rPr>
                <w:rFonts w:hint="eastAsia" w:ascii="汉仪书宋一简" w:eastAsia="汉仪书宋一简"/>
                <w:kern w:val="0"/>
                <w:sz w:val="20"/>
                <w:szCs w:val="20"/>
              </w:rPr>
            </w:pPr>
          </w:p>
        </w:tc>
        <w:tc>
          <w:tcPr>
            <w:tcW w:w="660" w:type="pct"/>
            <w:shd w:val="clear" w:color="auto" w:fill="auto"/>
            <w:vAlign w:val="center"/>
          </w:tcPr>
          <w:p w14:paraId="1A163125">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排他性</w:t>
            </w:r>
          </w:p>
        </w:tc>
        <w:tc>
          <w:tcPr>
            <w:tcW w:w="3693" w:type="pct"/>
            <w:gridSpan w:val="2"/>
            <w:shd w:val="clear" w:color="auto" w:fill="auto"/>
            <w:vAlign w:val="center"/>
          </w:tcPr>
          <w:p w14:paraId="60680A6B">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收购人在收购期限内，不得卖出被收购公司的股票，也不得采取要约规定以外的形式和超出要约的条件买入被收购公司的股票</w:t>
            </w:r>
          </w:p>
        </w:tc>
      </w:tr>
      <w:tr w14:paraId="232C577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566" w:hRule="atLeast"/>
          <w:jc w:val="center"/>
        </w:trPr>
        <w:tc>
          <w:tcPr>
            <w:tcW w:w="646" w:type="pct"/>
            <w:vMerge w:val="continue"/>
            <w:shd w:val="clear" w:color="auto" w:fill="auto"/>
            <w:vAlign w:val="center"/>
          </w:tcPr>
          <w:p w14:paraId="36272193">
            <w:pPr>
              <w:spacing w:before="31" w:beforeLines="10" w:after="62" w:afterLines="20" w:line="280" w:lineRule="exact"/>
              <w:ind w:firstLine="0" w:firstLineChars="0"/>
              <w:rPr>
                <w:rFonts w:hint="eastAsia" w:ascii="汉仪书宋一简" w:eastAsia="汉仪书宋一简"/>
                <w:kern w:val="0"/>
                <w:sz w:val="20"/>
                <w:szCs w:val="20"/>
              </w:rPr>
            </w:pPr>
          </w:p>
        </w:tc>
        <w:tc>
          <w:tcPr>
            <w:tcW w:w="660" w:type="pct"/>
            <w:shd w:val="clear" w:color="auto" w:fill="auto"/>
            <w:vAlign w:val="center"/>
          </w:tcPr>
          <w:p w14:paraId="163FCB23">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不可撤销</w:t>
            </w:r>
          </w:p>
        </w:tc>
        <w:tc>
          <w:tcPr>
            <w:tcW w:w="3693" w:type="pct"/>
            <w:gridSpan w:val="2"/>
            <w:shd w:val="clear" w:color="auto" w:fill="auto"/>
            <w:vAlign w:val="center"/>
          </w:tcPr>
          <w:p w14:paraId="2860C32D">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要约</w:t>
            </w:r>
            <w:r>
              <w:rPr>
                <w:rFonts w:hint="eastAsia" w:ascii="汉仪书宋一简" w:hAnsi="楷体" w:eastAsia="汉仪书宋一简" w:cs="楷体"/>
                <w:kern w:val="0"/>
                <w:sz w:val="20"/>
                <w:szCs w:val="20"/>
              </w:rPr>
              <w:t>不得撤销</w:t>
            </w:r>
            <w:r>
              <w:rPr>
                <w:rFonts w:hint="eastAsia" w:ascii="汉仪书宋一简" w:eastAsia="汉仪书宋一简"/>
                <w:kern w:val="0"/>
                <w:sz w:val="20"/>
                <w:szCs w:val="20"/>
              </w:rPr>
              <w:t>，若要变更</w:t>
            </w:r>
            <w:r>
              <w:rPr>
                <w:rFonts w:hint="eastAsia" w:ascii="汉仪书宋一简" w:eastAsia="汉仪书宋一简"/>
                <w:sz w:val="20"/>
                <w:szCs w:val="20"/>
              </w:rPr>
              <w:t>，应当及时公告，且不得存在下列情形：</w:t>
            </w:r>
            <w:r>
              <w:rPr>
                <w:rFonts w:hint="eastAsia" w:ascii="汉仪书宋一简" w:eastAsia="汉仪书宋一简" w:hAnsiTheme="minorEastAsia"/>
                <w:sz w:val="20"/>
                <w:szCs w:val="20"/>
              </w:rPr>
              <w:t>①</w:t>
            </w:r>
            <w:r>
              <w:rPr>
                <w:rFonts w:hint="eastAsia" w:ascii="汉仪书宋一简" w:eastAsia="汉仪书宋一简"/>
                <w:sz w:val="20"/>
                <w:szCs w:val="20"/>
              </w:rPr>
              <w:t>降低收购价格；</w:t>
            </w:r>
            <w:r>
              <w:rPr>
                <w:rFonts w:hint="eastAsia" w:ascii="汉仪书宋一简" w:eastAsia="汉仪书宋一简" w:hAnsiTheme="minorEastAsia"/>
                <w:sz w:val="20"/>
                <w:szCs w:val="20"/>
              </w:rPr>
              <w:t>②</w:t>
            </w:r>
            <w:r>
              <w:rPr>
                <w:rFonts w:hint="eastAsia" w:ascii="汉仪书宋一简" w:eastAsia="汉仪书宋一简"/>
                <w:sz w:val="20"/>
                <w:szCs w:val="20"/>
              </w:rPr>
              <w:t>减少预定收购股份数额；</w:t>
            </w:r>
            <w:r>
              <w:rPr>
                <w:rFonts w:hint="eastAsia" w:ascii="汉仪书宋一简" w:eastAsia="汉仪书宋一简" w:hAnsiTheme="minorEastAsia"/>
                <w:sz w:val="20"/>
                <w:szCs w:val="20"/>
              </w:rPr>
              <w:t>③</w:t>
            </w:r>
            <w:r>
              <w:rPr>
                <w:rFonts w:hint="eastAsia" w:ascii="汉仪书宋一简" w:eastAsia="汉仪书宋一简"/>
                <w:sz w:val="20"/>
                <w:szCs w:val="20"/>
              </w:rPr>
              <w:t>缩短收购期限；</w:t>
            </w:r>
            <w:r>
              <w:rPr>
                <w:rFonts w:hint="eastAsia" w:ascii="汉仪书宋一简" w:eastAsia="汉仪书宋一简" w:hAnsiTheme="minorEastAsia"/>
                <w:sz w:val="20"/>
                <w:szCs w:val="20"/>
              </w:rPr>
              <w:t>④</w:t>
            </w:r>
            <w:r>
              <w:rPr>
                <w:rFonts w:hint="eastAsia" w:ascii="汉仪书宋一简" w:eastAsia="汉仪书宋一简"/>
                <w:sz w:val="20"/>
                <w:szCs w:val="20"/>
              </w:rPr>
              <w:t>证监会规定的其他情形</w:t>
            </w:r>
          </w:p>
        </w:tc>
      </w:tr>
      <w:tr w14:paraId="0BF9974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90" w:hRule="atLeast"/>
          <w:jc w:val="center"/>
        </w:trPr>
        <w:tc>
          <w:tcPr>
            <w:tcW w:w="646" w:type="pct"/>
            <w:vMerge w:val="restart"/>
            <w:shd w:val="clear" w:color="auto" w:fill="auto"/>
            <w:vAlign w:val="center"/>
          </w:tcPr>
          <w:p w14:paraId="77231F1A">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协议收购</w:t>
            </w:r>
          </w:p>
        </w:tc>
        <w:tc>
          <w:tcPr>
            <w:tcW w:w="4353" w:type="pct"/>
            <w:gridSpan w:val="3"/>
            <w:shd w:val="clear" w:color="auto" w:fill="auto"/>
            <w:vAlign w:val="center"/>
          </w:tcPr>
          <w:p w14:paraId="196D2A39">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依照法律、行政法规规定以协议方式收购上市公司时，达成协议后，收购人必须在3日内将该收购协议向证监会及证券交易所作出书面报告，并予公告。在公告前不得履行收购协议（</w:t>
            </w:r>
            <w:r>
              <w:rPr>
                <w:rFonts w:hint="eastAsia" w:ascii="汉仪书宋一简" w:eastAsia="汉仪书宋一简"/>
                <w:color w:val="FF0000"/>
                <w:kern w:val="0"/>
                <w:sz w:val="20"/>
                <w:szCs w:val="20"/>
              </w:rPr>
              <w:t>和股东一对一协议）</w:t>
            </w:r>
          </w:p>
        </w:tc>
      </w:tr>
      <w:tr w14:paraId="50BEF2F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90" w:hRule="atLeast"/>
          <w:jc w:val="center"/>
        </w:trPr>
        <w:tc>
          <w:tcPr>
            <w:tcW w:w="646" w:type="pct"/>
            <w:vMerge w:val="continue"/>
            <w:shd w:val="clear" w:color="auto" w:fill="auto"/>
            <w:vAlign w:val="center"/>
          </w:tcPr>
          <w:p w14:paraId="012CB4EB">
            <w:pPr>
              <w:spacing w:before="31" w:beforeLines="10" w:after="62" w:afterLines="20" w:line="280" w:lineRule="exact"/>
              <w:ind w:firstLine="0" w:firstLineChars="0"/>
              <w:jc w:val="center"/>
              <w:rPr>
                <w:rFonts w:hint="eastAsia" w:ascii="汉仪中黑简" w:eastAsia="汉仪中黑简"/>
                <w:bCs/>
                <w:sz w:val="20"/>
                <w:szCs w:val="20"/>
              </w:rPr>
            </w:pPr>
          </w:p>
        </w:tc>
        <w:tc>
          <w:tcPr>
            <w:tcW w:w="4353" w:type="pct"/>
            <w:gridSpan w:val="3"/>
            <w:shd w:val="clear" w:color="auto" w:fill="auto"/>
            <w:vAlign w:val="center"/>
          </w:tcPr>
          <w:p w14:paraId="2B254B1A">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color w:val="FF0000"/>
                <w:kern w:val="0"/>
                <w:sz w:val="20"/>
                <w:szCs w:val="20"/>
              </w:rPr>
              <w:t>协议受到到达要约收购的起点（30%）的，应当启</w:t>
            </w:r>
            <w:r>
              <w:rPr>
                <w:rFonts w:hint="eastAsia" w:ascii="汉仪书宋一简" w:eastAsia="汉仪书宋一简"/>
                <w:kern w:val="0"/>
                <w:sz w:val="20"/>
                <w:szCs w:val="20"/>
              </w:rPr>
              <w:t>动要约收购，但是</w:t>
            </w:r>
            <w:r>
              <w:rPr>
                <w:rFonts w:hint="eastAsia" w:ascii="汉仪书宋一简" w:eastAsia="汉仪书宋一简"/>
                <w:sz w:val="20"/>
                <w:szCs w:val="20"/>
              </w:rPr>
              <w:t>按照证监会规定免除发出要约的除外</w:t>
            </w:r>
          </w:p>
        </w:tc>
      </w:tr>
      <w:tr w14:paraId="4FF2DA8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025" w:hRule="atLeast"/>
          <w:jc w:val="center"/>
        </w:trPr>
        <w:tc>
          <w:tcPr>
            <w:tcW w:w="646" w:type="pct"/>
            <w:vMerge w:val="restart"/>
            <w:shd w:val="clear" w:color="auto" w:fill="auto"/>
            <w:vAlign w:val="center"/>
          </w:tcPr>
          <w:p w14:paraId="487C0739">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收购完成</w:t>
            </w:r>
          </w:p>
        </w:tc>
        <w:tc>
          <w:tcPr>
            <w:tcW w:w="4353" w:type="pct"/>
            <w:gridSpan w:val="3"/>
            <w:shd w:val="clear" w:color="auto" w:fill="auto"/>
            <w:vAlign w:val="center"/>
          </w:tcPr>
          <w:p w14:paraId="592DDFE3">
            <w:pPr>
              <w:spacing w:before="31" w:beforeLines="10" w:after="62" w:afterLines="20" w:line="280" w:lineRule="exact"/>
              <w:ind w:firstLine="0" w:firstLineChars="0"/>
              <w:rPr>
                <w:rFonts w:hint="eastAsia" w:ascii="汉仪书宋一简" w:eastAsia="汉仪书宋一简"/>
                <w:sz w:val="20"/>
                <w:szCs w:val="20"/>
                <w:shd w:val="clear" w:color="auto" w:fill="FFFFFF"/>
              </w:rPr>
            </w:pPr>
            <w:r>
              <w:rPr>
                <w:rFonts w:hint="eastAsia" w:ascii="汉仪书宋一简" w:eastAsia="汉仪书宋一简"/>
                <w:sz w:val="20"/>
                <w:szCs w:val="20"/>
                <w:shd w:val="clear" w:color="auto" w:fill="FFFFFF"/>
              </w:rPr>
              <w:t>必然的结果：①限制转让：在上市公司收购中，收购人持有的被收购的上市公司的股票，在收购行为完成后的18个月内不得转让；②</w:t>
            </w:r>
            <w:r>
              <w:rPr>
                <w:rFonts w:hint="eastAsia" w:ascii="汉仪书宋一简" w:eastAsia="汉仪书宋一简" w:hAnsiTheme="minorEastAsia"/>
                <w:sz w:val="20"/>
                <w:szCs w:val="20"/>
                <w:shd w:val="clear" w:color="auto" w:fill="FFFFFF"/>
              </w:rPr>
              <w:t>报告公告：</w:t>
            </w:r>
            <w:r>
              <w:rPr>
                <w:rFonts w:hint="eastAsia" w:ascii="汉仪书宋一简" w:eastAsia="汉仪书宋一简"/>
                <w:sz w:val="20"/>
                <w:szCs w:val="20"/>
              </w:rPr>
              <w:t>收购行为完成后，收购人应当在15日内报告证监会和证券交易所，并予公告</w:t>
            </w:r>
          </w:p>
        </w:tc>
      </w:tr>
      <w:tr w14:paraId="58665FE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63" w:hRule="atLeast"/>
          <w:jc w:val="center"/>
        </w:trPr>
        <w:tc>
          <w:tcPr>
            <w:tcW w:w="646" w:type="pct"/>
            <w:vMerge w:val="continue"/>
            <w:shd w:val="clear" w:color="auto" w:fill="auto"/>
            <w:vAlign w:val="center"/>
          </w:tcPr>
          <w:p w14:paraId="32B78AA6">
            <w:pPr>
              <w:spacing w:before="31" w:beforeLines="10" w:after="62" w:afterLines="20" w:line="280" w:lineRule="exact"/>
              <w:ind w:firstLine="0" w:firstLineChars="0"/>
              <w:rPr>
                <w:rFonts w:hint="eastAsia" w:ascii="汉仪书宋一简" w:eastAsia="汉仪书宋一简"/>
                <w:b/>
                <w:sz w:val="20"/>
                <w:szCs w:val="20"/>
                <w:shd w:val="clear" w:color="auto" w:fill="FFFFFF"/>
              </w:rPr>
            </w:pPr>
          </w:p>
        </w:tc>
        <w:tc>
          <w:tcPr>
            <w:tcW w:w="4353" w:type="pct"/>
            <w:gridSpan w:val="3"/>
            <w:shd w:val="clear" w:color="auto" w:fill="auto"/>
            <w:vAlign w:val="center"/>
          </w:tcPr>
          <w:p w14:paraId="464ECEF5">
            <w:pPr>
              <w:spacing w:before="31" w:beforeLines="10" w:after="62" w:afterLines="20" w:line="280" w:lineRule="exact"/>
              <w:ind w:firstLine="0" w:firstLineChars="0"/>
              <w:rPr>
                <w:rFonts w:hint="eastAsia" w:ascii="汉仪书宋一简" w:eastAsia="汉仪书宋一简"/>
                <w:sz w:val="20"/>
                <w:szCs w:val="20"/>
                <w:shd w:val="clear" w:color="auto" w:fill="FFFFFF"/>
              </w:rPr>
            </w:pPr>
            <w:r>
              <w:rPr>
                <w:rFonts w:hint="eastAsia" w:ascii="汉仪书宋一简" w:eastAsia="汉仪书宋一简"/>
                <w:sz w:val="20"/>
                <w:szCs w:val="20"/>
                <w:shd w:val="clear" w:color="auto" w:fill="FFFFFF"/>
              </w:rPr>
              <w:t>可能的结果：①终止上市；②变更形式；③公司解散</w:t>
            </w:r>
          </w:p>
        </w:tc>
      </w:tr>
    </w:tbl>
    <w:p w14:paraId="3FF0259A">
      <w:pPr>
        <w:tabs>
          <w:tab w:val="clear" w:pos="420"/>
        </w:tabs>
        <w:autoSpaceDE w:val="0"/>
        <w:autoSpaceDN w:val="0"/>
        <w:adjustRightInd w:val="0"/>
        <w:ind w:firstLine="425" w:firstLineChars="0"/>
        <w:textAlignment w:val="center"/>
        <w:rPr>
          <w:rFonts w:hint="eastAsia"/>
        </w:rPr>
      </w:pPr>
    </w:p>
    <w:p w14:paraId="5A5616A6">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rPr>
      </w:pPr>
      <w:r>
        <w:rPr>
          <w:rFonts w:hint="eastAsia" w:ascii="汉仪粗宋简" w:hAnsi="Times New Roman" w:eastAsia="汉仪大宋简" w:cs="汉仪粗宋简"/>
          <w:b/>
          <w:bCs/>
          <w:color w:val="000000"/>
          <w:kern w:val="0"/>
          <w:position w:val="4"/>
          <w:sz w:val="26"/>
          <w:szCs w:val="26"/>
          <w:lang w:val="en-US" w:eastAsia="zh-CN"/>
        </w:rPr>
        <w:t xml:space="preserve">考点31  </w:t>
      </w:r>
      <w:r>
        <w:rPr>
          <w:rFonts w:hint="eastAsia" w:ascii="汉仪粗宋简" w:hAnsi="Times New Roman" w:eastAsia="汉仪大宋简" w:cs="汉仪粗宋简"/>
          <w:b/>
          <w:bCs/>
          <w:color w:val="000000"/>
          <w:kern w:val="0"/>
          <w:position w:val="4"/>
          <w:sz w:val="26"/>
          <w:szCs w:val="26"/>
          <w:lang w:val="zh-CN"/>
        </w:rPr>
        <w:t>信息披露</w:t>
      </w:r>
    </w:p>
    <w:p w14:paraId="33AFB1DA">
      <w:pPr>
        <w:tabs>
          <w:tab w:val="clear" w:pos="420"/>
        </w:tabs>
        <w:autoSpaceDE w:val="0"/>
        <w:autoSpaceDN w:val="0"/>
        <w:adjustRightInd w:val="0"/>
        <w:ind w:firstLine="425" w:firstLineChars="0"/>
        <w:textAlignment w:val="center"/>
        <w:rPr>
          <w:rFonts w:ascii="汉仪书宋二简" w:hAnsi="Times New Roman" w:cs="汉仪书宋二简"/>
          <w:color w:val="000000"/>
          <w:kern w:val="0"/>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4"/>
        <w:gridCol w:w="7401"/>
      </w:tblGrid>
      <w:tr w14:paraId="0DED6B5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8" w:hRule="atLeast"/>
          <w:jc w:val="center"/>
        </w:trPr>
        <w:tc>
          <w:tcPr>
            <w:tcW w:w="649" w:type="pct"/>
            <w:vMerge w:val="restart"/>
            <w:shd w:val="clear" w:color="auto" w:fill="auto"/>
            <w:vAlign w:val="center"/>
          </w:tcPr>
          <w:p w14:paraId="7646BFF9">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kern w:val="0"/>
                <w:sz w:val="20"/>
                <w:szCs w:val="20"/>
              </w:rPr>
              <w:t>一般规则</w:t>
            </w:r>
          </w:p>
        </w:tc>
        <w:tc>
          <w:tcPr>
            <w:tcW w:w="4351" w:type="pct"/>
            <w:shd w:val="clear" w:color="auto" w:fill="auto"/>
            <w:vAlign w:val="center"/>
          </w:tcPr>
          <w:p w14:paraId="133FB41D">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hAnsiTheme="minorEastAsia"/>
                <w:sz w:val="20"/>
                <w:szCs w:val="20"/>
              </w:rPr>
              <w:t>披露要求：①</w:t>
            </w:r>
            <w:r>
              <w:rPr>
                <w:rFonts w:hint="eastAsia" w:ascii="汉仪书宋一简" w:eastAsia="汉仪书宋一简"/>
                <w:sz w:val="20"/>
                <w:szCs w:val="20"/>
              </w:rPr>
              <w:t>真实、准确、完整，简明清晰，通俗易懂；</w:t>
            </w:r>
            <w:r>
              <w:rPr>
                <w:rFonts w:hint="eastAsia" w:ascii="汉仪书宋一简" w:eastAsia="汉仪书宋一简" w:hAnsiTheme="minorEastAsia"/>
                <w:sz w:val="20"/>
                <w:szCs w:val="20"/>
              </w:rPr>
              <w:t>②</w:t>
            </w:r>
            <w:r>
              <w:rPr>
                <w:rFonts w:hint="eastAsia" w:ascii="汉仪书宋一简" w:eastAsia="汉仪书宋一简"/>
                <w:sz w:val="20"/>
                <w:szCs w:val="20"/>
              </w:rPr>
              <w:t>境内外同步</w:t>
            </w:r>
          </w:p>
        </w:tc>
      </w:tr>
      <w:tr w14:paraId="4550571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8" w:hRule="atLeast"/>
          <w:jc w:val="center"/>
        </w:trPr>
        <w:tc>
          <w:tcPr>
            <w:tcW w:w="649" w:type="pct"/>
            <w:vMerge w:val="continue"/>
            <w:shd w:val="clear" w:color="auto" w:fill="auto"/>
            <w:vAlign w:val="center"/>
          </w:tcPr>
          <w:p w14:paraId="683CBCC7">
            <w:pPr>
              <w:spacing w:before="31" w:beforeLines="10" w:after="62" w:afterLines="20" w:line="280" w:lineRule="exact"/>
              <w:ind w:firstLine="0" w:firstLineChars="0"/>
              <w:jc w:val="center"/>
              <w:rPr>
                <w:rFonts w:hint="eastAsia" w:ascii="汉仪中黑简" w:eastAsia="汉仪中黑简"/>
                <w:bCs/>
                <w:kern w:val="0"/>
                <w:sz w:val="20"/>
                <w:szCs w:val="20"/>
              </w:rPr>
            </w:pPr>
          </w:p>
        </w:tc>
        <w:tc>
          <w:tcPr>
            <w:tcW w:w="4351" w:type="pct"/>
            <w:shd w:val="clear" w:color="auto" w:fill="auto"/>
            <w:vAlign w:val="center"/>
          </w:tcPr>
          <w:p w14:paraId="7D231101">
            <w:pPr>
              <w:spacing w:before="31" w:beforeLines="10" w:after="62" w:afterLines="20" w:line="280" w:lineRule="exact"/>
              <w:ind w:firstLine="0" w:firstLineChars="0"/>
              <w:rPr>
                <w:rFonts w:hint="eastAsia" w:ascii="汉仪书宋一简" w:eastAsia="汉仪书宋一简" w:hAnsiTheme="minorEastAsia"/>
                <w:sz w:val="20"/>
                <w:szCs w:val="20"/>
              </w:rPr>
            </w:pPr>
            <w:r>
              <w:rPr>
                <w:rFonts w:hint="eastAsia" w:ascii="汉仪书宋一简" w:eastAsia="汉仪书宋一简" w:hAnsiTheme="minorEastAsia"/>
                <w:sz w:val="20"/>
                <w:szCs w:val="20"/>
              </w:rPr>
              <w:t>董监高：①</w:t>
            </w:r>
            <w:r>
              <w:rPr>
                <w:rFonts w:hint="eastAsia" w:ascii="汉仪书宋一简" w:eastAsia="汉仪书宋一简"/>
                <w:sz w:val="20"/>
                <w:szCs w:val="20"/>
              </w:rPr>
              <w:t>应当对证券发行文件和定期报告签署</w:t>
            </w:r>
            <w:r>
              <w:rPr>
                <w:rFonts w:hint="eastAsia" w:ascii="汉仪书宋一简" w:eastAsia="汉仪书宋一简"/>
                <w:color w:val="FF0000"/>
                <w:sz w:val="20"/>
                <w:szCs w:val="20"/>
              </w:rPr>
              <w:t>书面确认意见</w:t>
            </w:r>
            <w:r>
              <w:rPr>
                <w:rFonts w:hint="eastAsia" w:ascii="汉仪书宋一简" w:eastAsia="汉仪书宋一简"/>
                <w:sz w:val="20"/>
                <w:szCs w:val="20"/>
              </w:rPr>
              <w:t>；</w:t>
            </w:r>
            <w:r>
              <w:rPr>
                <w:rFonts w:hint="eastAsia" w:ascii="汉仪书宋一简" w:eastAsia="汉仪书宋一简" w:hAnsiTheme="minorEastAsia"/>
                <w:sz w:val="20"/>
                <w:szCs w:val="20"/>
              </w:rPr>
              <w:t>②</w:t>
            </w:r>
            <w:r>
              <w:rPr>
                <w:rFonts w:hint="eastAsia" w:ascii="汉仪书宋一简" w:eastAsia="汉仪书宋一简"/>
                <w:sz w:val="20"/>
                <w:szCs w:val="20"/>
              </w:rPr>
              <w:t>无法保证证券发行文件和定期报告内容的真实性、准确性、完整性或有异议的，应当在书面确认意见中发表意见并陈述理由，发行人应当披露。发行人不予披露的，董监高可以直接申请披露</w:t>
            </w:r>
          </w:p>
        </w:tc>
      </w:tr>
      <w:tr w14:paraId="161AB2B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91" w:hRule="atLeast"/>
          <w:jc w:val="center"/>
        </w:trPr>
        <w:tc>
          <w:tcPr>
            <w:tcW w:w="649" w:type="pct"/>
            <w:vMerge w:val="restart"/>
            <w:shd w:val="clear" w:color="auto" w:fill="auto"/>
            <w:vAlign w:val="center"/>
          </w:tcPr>
          <w:p w14:paraId="3629CD6C">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定期报告</w:t>
            </w:r>
          </w:p>
        </w:tc>
        <w:tc>
          <w:tcPr>
            <w:tcW w:w="4351" w:type="pct"/>
            <w:shd w:val="clear" w:color="auto" w:fill="auto"/>
            <w:vAlign w:val="center"/>
          </w:tcPr>
          <w:p w14:paraId="7CBA6752">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主体：上市公司、公司债券上市交易的公司、股票在国务院批准的其他全国性证券交易场所交易的公司</w:t>
            </w:r>
          </w:p>
        </w:tc>
      </w:tr>
      <w:tr w14:paraId="42C8385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89" w:hRule="atLeast"/>
          <w:jc w:val="center"/>
        </w:trPr>
        <w:tc>
          <w:tcPr>
            <w:tcW w:w="649" w:type="pct"/>
            <w:vMerge w:val="continue"/>
            <w:shd w:val="clear" w:color="auto" w:fill="auto"/>
            <w:vAlign w:val="center"/>
          </w:tcPr>
          <w:p w14:paraId="194809E7">
            <w:pPr>
              <w:spacing w:before="31" w:beforeLines="10" w:after="62" w:afterLines="20" w:line="280" w:lineRule="exact"/>
              <w:ind w:firstLine="0" w:firstLineChars="0"/>
              <w:rPr>
                <w:rFonts w:hint="eastAsia" w:ascii="汉仪书宋一简" w:eastAsia="汉仪书宋一简"/>
                <w:b/>
                <w:sz w:val="20"/>
                <w:szCs w:val="20"/>
              </w:rPr>
            </w:pPr>
          </w:p>
        </w:tc>
        <w:tc>
          <w:tcPr>
            <w:tcW w:w="4351" w:type="pct"/>
            <w:shd w:val="clear" w:color="auto" w:fill="auto"/>
            <w:vAlign w:val="center"/>
          </w:tcPr>
          <w:p w14:paraId="7BB0A573">
            <w:pPr>
              <w:spacing w:before="31" w:beforeLines="10" w:after="62" w:afterLines="20" w:line="280" w:lineRule="exact"/>
              <w:ind w:firstLine="0" w:firstLineChars="0"/>
              <w:rPr>
                <w:rFonts w:hint="eastAsia" w:ascii="汉仪书宋一简" w:eastAsia="汉仪书宋一简" w:hAnsiTheme="minorEastAsia"/>
                <w:sz w:val="20"/>
                <w:szCs w:val="20"/>
              </w:rPr>
            </w:pPr>
            <w:r>
              <w:rPr>
                <w:rFonts w:hint="eastAsia" w:ascii="汉仪书宋一简" w:eastAsia="汉仪书宋一简" w:hAnsiTheme="minorEastAsia"/>
                <w:sz w:val="20"/>
                <w:szCs w:val="20"/>
              </w:rPr>
              <w:t>方式：</w:t>
            </w:r>
            <w:r>
              <w:rPr>
                <w:rFonts w:hint="eastAsia" w:ascii="汉仪书宋一简" w:eastAsia="汉仪书宋一简"/>
                <w:sz w:val="20"/>
                <w:szCs w:val="20"/>
              </w:rPr>
              <w:t>编制定期报告，向证监会和交易所报送并公告</w:t>
            </w:r>
          </w:p>
        </w:tc>
      </w:tr>
      <w:tr w14:paraId="41B13D3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448" w:hRule="atLeast"/>
          <w:jc w:val="center"/>
        </w:trPr>
        <w:tc>
          <w:tcPr>
            <w:tcW w:w="649" w:type="pct"/>
            <w:vMerge w:val="continue"/>
            <w:shd w:val="clear" w:color="auto" w:fill="auto"/>
            <w:vAlign w:val="center"/>
          </w:tcPr>
          <w:p w14:paraId="16275747">
            <w:pPr>
              <w:spacing w:before="31" w:beforeLines="10" w:after="62" w:afterLines="20" w:line="280" w:lineRule="exact"/>
              <w:ind w:firstLine="0" w:firstLineChars="0"/>
              <w:rPr>
                <w:rFonts w:hint="eastAsia" w:ascii="汉仪书宋一简" w:eastAsia="汉仪书宋一简"/>
                <w:b/>
                <w:sz w:val="20"/>
                <w:szCs w:val="20"/>
              </w:rPr>
            </w:pPr>
          </w:p>
        </w:tc>
        <w:tc>
          <w:tcPr>
            <w:tcW w:w="4351" w:type="pct"/>
            <w:shd w:val="clear" w:color="auto" w:fill="auto"/>
            <w:vAlign w:val="center"/>
          </w:tcPr>
          <w:p w14:paraId="7E4BEC32">
            <w:pPr>
              <w:spacing w:before="31" w:beforeLines="10" w:after="62" w:afterLines="20" w:line="280" w:lineRule="exact"/>
              <w:ind w:firstLine="0" w:firstLineChars="0"/>
              <w:rPr>
                <w:rFonts w:hint="eastAsia" w:ascii="汉仪书宋一简" w:eastAsia="汉仪书宋一简" w:hAnsiTheme="minorEastAsia"/>
                <w:sz w:val="20"/>
                <w:szCs w:val="20"/>
              </w:rPr>
            </w:pPr>
            <w:r>
              <w:rPr>
                <w:rFonts w:hint="eastAsia" w:ascii="汉仪书宋一简" w:eastAsia="汉仪书宋一简" w:hAnsiTheme="minorEastAsia"/>
                <w:sz w:val="20"/>
                <w:szCs w:val="20"/>
              </w:rPr>
              <w:t>内容：①</w:t>
            </w:r>
            <w:r>
              <w:rPr>
                <w:rFonts w:hint="eastAsia" w:ascii="汉仪书宋一简" w:eastAsia="汉仪书宋一简"/>
                <w:sz w:val="20"/>
                <w:szCs w:val="20"/>
              </w:rPr>
              <w:t>在每一会计年度结束之日起4个月内，报送并公告年度报告，其中的年度财务会计报告应当经会计师事务所审计；</w:t>
            </w:r>
            <w:r>
              <w:rPr>
                <w:rFonts w:hint="eastAsia" w:ascii="汉仪书宋一简" w:eastAsia="汉仪书宋一简" w:hAnsiTheme="minorEastAsia"/>
                <w:sz w:val="20"/>
                <w:szCs w:val="20"/>
              </w:rPr>
              <w:t>②</w:t>
            </w:r>
            <w:r>
              <w:rPr>
                <w:rFonts w:hint="eastAsia" w:ascii="汉仪书宋一简" w:eastAsia="汉仪书宋一简"/>
                <w:sz w:val="20"/>
                <w:szCs w:val="20"/>
              </w:rPr>
              <w:t>在每一会计年度的上半年结束之日起2个月内，报送并公告中期报告</w:t>
            </w:r>
          </w:p>
        </w:tc>
      </w:tr>
    </w:tbl>
    <w:p w14:paraId="478634FB">
      <w:pPr>
        <w:tabs>
          <w:tab w:val="clear" w:pos="420"/>
        </w:tabs>
        <w:autoSpaceDE w:val="0"/>
        <w:autoSpaceDN w:val="0"/>
        <w:adjustRightInd w:val="0"/>
        <w:ind w:firstLine="425" w:firstLineChars="0"/>
        <w:textAlignment w:val="center"/>
        <w:rPr>
          <w:rFonts w:hint="eastAsia"/>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4"/>
        <w:gridCol w:w="716"/>
        <w:gridCol w:w="6685"/>
      </w:tblGrid>
      <w:tr w14:paraId="5A6D0FA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88" w:hRule="atLeast"/>
          <w:jc w:val="center"/>
        </w:trPr>
        <w:tc>
          <w:tcPr>
            <w:tcW w:w="649" w:type="pct"/>
            <w:vMerge w:val="restart"/>
            <w:shd w:val="clear" w:color="auto" w:fill="auto"/>
            <w:vAlign w:val="center"/>
          </w:tcPr>
          <w:p w14:paraId="02AB5E66">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临时报告</w:t>
            </w:r>
          </w:p>
        </w:tc>
        <w:tc>
          <w:tcPr>
            <w:tcW w:w="4351" w:type="pct"/>
            <w:gridSpan w:val="2"/>
            <w:shd w:val="clear" w:color="auto" w:fill="auto"/>
            <w:vAlign w:val="center"/>
          </w:tcPr>
          <w:p w14:paraId="03512109">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股票：发生可能对上市公司、股票在国务院批准的其他全国性证券交易场所交易的公司的股票交易</w:t>
            </w:r>
            <w:r>
              <w:rPr>
                <w:rFonts w:hint="eastAsia" w:ascii="汉仪书宋一简" w:eastAsia="汉仪书宋一简"/>
                <w:color w:val="FF0000"/>
                <w:sz w:val="20"/>
                <w:szCs w:val="20"/>
              </w:rPr>
              <w:t>价格产生较大影响的重大事</w:t>
            </w:r>
            <w:r>
              <w:rPr>
                <w:rFonts w:hint="eastAsia" w:ascii="汉仪书宋一简" w:eastAsia="汉仪书宋一简"/>
                <w:sz w:val="20"/>
                <w:szCs w:val="20"/>
              </w:rPr>
              <w:t>件，投资者尚未得知时，公司应当立即将有关该重大事件的情况向证监会和证券交易场所报送临时报告，并予公告，说明事件的起因、目前的状态和可能产生的法律后果</w:t>
            </w:r>
          </w:p>
        </w:tc>
      </w:tr>
      <w:tr w14:paraId="0271703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88" w:hRule="atLeast"/>
          <w:jc w:val="center"/>
        </w:trPr>
        <w:tc>
          <w:tcPr>
            <w:tcW w:w="649" w:type="pct"/>
            <w:vMerge w:val="continue"/>
            <w:shd w:val="clear" w:color="auto" w:fill="auto"/>
            <w:vAlign w:val="center"/>
          </w:tcPr>
          <w:p w14:paraId="24FEE2D8">
            <w:pPr>
              <w:spacing w:before="31" w:beforeLines="10" w:after="31" w:afterLines="10" w:line="280" w:lineRule="exact"/>
              <w:ind w:firstLine="0" w:firstLineChars="0"/>
              <w:jc w:val="center"/>
              <w:rPr>
                <w:rFonts w:hint="eastAsia" w:ascii="汉仪中黑简" w:eastAsia="汉仪中黑简"/>
                <w:bCs/>
                <w:kern w:val="0"/>
                <w:sz w:val="20"/>
                <w:szCs w:val="20"/>
              </w:rPr>
            </w:pPr>
          </w:p>
        </w:tc>
        <w:tc>
          <w:tcPr>
            <w:tcW w:w="4351" w:type="pct"/>
            <w:gridSpan w:val="2"/>
            <w:shd w:val="clear" w:color="auto" w:fill="auto"/>
            <w:vAlign w:val="center"/>
          </w:tcPr>
          <w:p w14:paraId="61512E7E">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债券：发生可能对上市交易公司债券的交易价格产生较大影响的重大事件，投资者尚未得知时，公司应当立即将有关该重大事件的情况向证监会和证券交易场所报送临时报告，并予公告，说明事件的起因、目前的状态和可能产生的法律后果</w:t>
            </w:r>
          </w:p>
        </w:tc>
      </w:tr>
      <w:tr w14:paraId="034AB72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9" w:type="pct"/>
            <w:vMerge w:val="restart"/>
            <w:shd w:val="clear" w:color="auto" w:fill="auto"/>
            <w:vAlign w:val="center"/>
          </w:tcPr>
          <w:p w14:paraId="54E9C82A">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虚假陈述</w:t>
            </w:r>
          </w:p>
        </w:tc>
        <w:tc>
          <w:tcPr>
            <w:tcW w:w="421" w:type="pct"/>
            <w:shd w:val="clear" w:color="auto" w:fill="auto"/>
            <w:vAlign w:val="center"/>
          </w:tcPr>
          <w:p w14:paraId="27B0CE3A">
            <w:pPr>
              <w:spacing w:before="31" w:beforeLines="10" w:after="31" w:afterLines="10" w:line="280" w:lineRule="exact"/>
              <w:ind w:firstLine="0" w:firstLineChars="0"/>
              <w:jc w:val="center"/>
              <w:rPr>
                <w:rFonts w:hint="eastAsia" w:ascii="汉仪书宋一简" w:eastAsia="汉仪书宋一简"/>
                <w:bCs/>
                <w:sz w:val="20"/>
                <w:szCs w:val="20"/>
              </w:rPr>
            </w:pPr>
            <w:r>
              <w:rPr>
                <w:rFonts w:hint="eastAsia" w:ascii="汉仪书宋一简" w:eastAsia="汉仪书宋一简"/>
                <w:bCs/>
                <w:sz w:val="20"/>
                <w:szCs w:val="20"/>
              </w:rPr>
              <w:t>行为</w:t>
            </w:r>
          </w:p>
        </w:tc>
        <w:tc>
          <w:tcPr>
            <w:tcW w:w="3930" w:type="pct"/>
            <w:shd w:val="clear" w:color="auto" w:fill="auto"/>
            <w:vAlign w:val="center"/>
          </w:tcPr>
          <w:p w14:paraId="44E43ED1">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未按照规定披露信息，或披露信息有虚假记载、误导性陈述或重大遗漏，致使投资者在证券交易中遭受损失</w:t>
            </w:r>
          </w:p>
        </w:tc>
      </w:tr>
      <w:tr w14:paraId="767A452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9" w:type="pct"/>
            <w:vMerge w:val="continue"/>
            <w:shd w:val="clear" w:color="auto" w:fill="auto"/>
            <w:vAlign w:val="center"/>
          </w:tcPr>
          <w:p w14:paraId="64617490">
            <w:pPr>
              <w:spacing w:before="31" w:beforeLines="10" w:after="31" w:afterLines="10" w:line="280" w:lineRule="exact"/>
              <w:ind w:firstLine="0" w:firstLineChars="0"/>
              <w:rPr>
                <w:rFonts w:hint="eastAsia" w:ascii="汉仪书宋一简" w:eastAsia="汉仪书宋一简"/>
                <w:b/>
                <w:sz w:val="20"/>
                <w:szCs w:val="20"/>
              </w:rPr>
            </w:pPr>
          </w:p>
        </w:tc>
        <w:tc>
          <w:tcPr>
            <w:tcW w:w="421" w:type="pct"/>
            <w:shd w:val="clear" w:color="auto" w:fill="auto"/>
            <w:vAlign w:val="center"/>
          </w:tcPr>
          <w:p w14:paraId="09C19BE6">
            <w:pPr>
              <w:spacing w:before="31" w:beforeLines="10" w:after="31" w:afterLines="10" w:line="280" w:lineRule="exact"/>
              <w:ind w:firstLine="0" w:firstLineChars="0"/>
              <w:jc w:val="center"/>
              <w:rPr>
                <w:rFonts w:hint="eastAsia" w:ascii="汉仪书宋一简" w:eastAsia="汉仪书宋一简"/>
                <w:bCs/>
                <w:sz w:val="20"/>
                <w:szCs w:val="20"/>
              </w:rPr>
            </w:pPr>
            <w:r>
              <w:rPr>
                <w:rFonts w:hint="eastAsia" w:ascii="汉仪书宋一简" w:eastAsia="汉仪书宋一简"/>
                <w:bCs/>
                <w:sz w:val="20"/>
                <w:szCs w:val="20"/>
              </w:rPr>
              <w:t>责任</w:t>
            </w:r>
          </w:p>
        </w:tc>
        <w:tc>
          <w:tcPr>
            <w:tcW w:w="3930" w:type="pct"/>
            <w:shd w:val="clear" w:color="auto" w:fill="auto"/>
            <w:vAlign w:val="center"/>
          </w:tcPr>
          <w:p w14:paraId="63867A07">
            <w:pPr>
              <w:pStyle w:val="8"/>
              <w:numPr>
                <w:ilvl w:val="0"/>
                <w:numId w:val="10"/>
              </w:numPr>
              <w:spacing w:before="31" w:beforeLines="10" w:after="31" w:afterLines="10" w:line="280" w:lineRule="exact"/>
              <w:rPr>
                <w:rFonts w:hint="eastAsia" w:ascii="汉仪书宋一简" w:eastAsia="汉仪书宋一简"/>
                <w:color w:val="FF0000"/>
                <w:sz w:val="20"/>
                <w:szCs w:val="20"/>
              </w:rPr>
            </w:pPr>
            <w:r>
              <w:rPr>
                <w:rFonts w:hint="eastAsia" w:ascii="汉仪书宋一简" w:hAnsi="楷体" w:eastAsia="汉仪书宋一简" w:cs="楷体"/>
                <w:color w:val="FF0000"/>
                <w:sz w:val="20"/>
                <w:szCs w:val="20"/>
              </w:rPr>
              <w:t>信息披露义务人</w:t>
            </w:r>
            <w:r>
              <w:rPr>
                <w:rFonts w:hint="eastAsia" w:ascii="汉仪书宋一简" w:eastAsia="汉仪书宋一简"/>
                <w:color w:val="FF0000"/>
                <w:sz w:val="20"/>
                <w:szCs w:val="20"/>
              </w:rPr>
              <w:t>应当承担赔偿责任</w:t>
            </w:r>
          </w:p>
          <w:p w14:paraId="39045694">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②发行人的</w:t>
            </w:r>
            <w:r>
              <w:rPr>
                <w:rFonts w:hint="eastAsia" w:ascii="汉仪书宋一简" w:hAnsi="楷体" w:eastAsia="汉仪书宋一简" w:cs="楷体"/>
                <w:sz w:val="20"/>
                <w:szCs w:val="20"/>
              </w:rPr>
              <w:t>控股股东、实际控制人、董监高和其他直接责任人员以及保荐人、承销的证券公司及其直接责任人员</w:t>
            </w:r>
            <w:r>
              <w:rPr>
                <w:rFonts w:hint="eastAsia" w:ascii="汉仪书宋一简" w:eastAsia="汉仪书宋一简"/>
                <w:sz w:val="20"/>
                <w:szCs w:val="20"/>
              </w:rPr>
              <w:t>，应当与发行人承担连带赔偿责任，但是能够证明自己没有过错的除外</w:t>
            </w:r>
            <w:r>
              <w:rPr>
                <w:rFonts w:hint="eastAsia" w:ascii="汉仪书宋一简" w:eastAsia="汉仪书宋一简"/>
                <w:color w:val="FF0000"/>
                <w:sz w:val="20"/>
                <w:szCs w:val="20"/>
              </w:rPr>
              <w:t>（过错推定）</w:t>
            </w:r>
          </w:p>
        </w:tc>
      </w:tr>
    </w:tbl>
    <w:p w14:paraId="0137273C">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考点32  </w:t>
      </w:r>
      <w:r>
        <w:rPr>
          <w:rFonts w:hint="eastAsia" w:ascii="汉仪粗宋简" w:hAnsi="Times New Roman" w:eastAsia="汉仪大宋简" w:cs="汉仪粗宋简"/>
          <w:b/>
          <w:bCs/>
          <w:color w:val="000000"/>
          <w:kern w:val="0"/>
          <w:position w:val="4"/>
          <w:sz w:val="26"/>
          <w:szCs w:val="26"/>
          <w:lang w:val="zh-CN"/>
        </w:rPr>
        <w:t>投资者保护</w:t>
      </w:r>
    </w:p>
    <w:p w14:paraId="3BE8CE69">
      <w:pPr>
        <w:tabs>
          <w:tab w:val="clear" w:pos="420"/>
        </w:tabs>
        <w:autoSpaceDE w:val="0"/>
        <w:autoSpaceDN w:val="0"/>
        <w:adjustRightInd w:val="0"/>
        <w:ind w:firstLine="425" w:firstLineChars="0"/>
        <w:textAlignment w:val="center"/>
        <w:rPr>
          <w:rFonts w:ascii="汉仪书宋二简" w:hAnsi="Times New Roman" w:cs="汉仪书宋二简"/>
          <w:color w:val="000000"/>
          <w:kern w:val="0"/>
          <w:lang w:val="zh-CN"/>
        </w:rPr>
      </w:pPr>
    </w:p>
    <w:tbl>
      <w:tblPr>
        <w:tblStyle w:val="6"/>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1"/>
        <w:gridCol w:w="7404"/>
      </w:tblGrid>
      <w:tr w14:paraId="13ACD3B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shd w:val="clear" w:color="auto" w:fill="auto"/>
            <w:vAlign w:val="center"/>
          </w:tcPr>
          <w:p w14:paraId="6D437307">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投资者</w:t>
            </w:r>
          </w:p>
          <w:p w14:paraId="4FA0B387">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适当性</w:t>
            </w:r>
          </w:p>
        </w:tc>
        <w:tc>
          <w:tcPr>
            <w:tcW w:w="4352" w:type="pct"/>
            <w:shd w:val="clear" w:color="auto" w:fill="auto"/>
            <w:vAlign w:val="center"/>
          </w:tcPr>
          <w:p w14:paraId="63140FBE">
            <w:pPr>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投资者分类：根据证监会规定的标准，投资者可以分为普通投资者和专业投资者。普通投资者与证券公司发生纠纷，证券公司负举证责任</w:t>
            </w:r>
            <w:r>
              <w:rPr>
                <w:rFonts w:hint="eastAsia" w:ascii="汉仪书宋一简" w:eastAsia="汉仪书宋一简"/>
                <w:color w:val="FF0000"/>
                <w:kern w:val="0"/>
                <w:sz w:val="20"/>
                <w:szCs w:val="20"/>
              </w:rPr>
              <w:t>（举证责任倒置）</w:t>
            </w:r>
          </w:p>
        </w:tc>
      </w:tr>
      <w:tr w14:paraId="066EB66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restart"/>
            <w:shd w:val="clear" w:color="auto" w:fill="auto"/>
            <w:vAlign w:val="center"/>
          </w:tcPr>
          <w:p w14:paraId="68434908">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债券受托管理人</w:t>
            </w:r>
          </w:p>
        </w:tc>
        <w:tc>
          <w:tcPr>
            <w:tcW w:w="4352" w:type="pct"/>
            <w:shd w:val="clear" w:color="auto" w:fill="auto"/>
            <w:vAlign w:val="center"/>
          </w:tcPr>
          <w:p w14:paraId="7855962A">
            <w:pPr>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color w:val="000000"/>
                <w:kern w:val="0"/>
                <w:sz w:val="20"/>
                <w:szCs w:val="20"/>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w:t>
            </w:r>
            <w:r>
              <w:rPr>
                <w:rFonts w:hint="eastAsia" w:ascii="汉仪书宋一简" w:eastAsia="汉仪书宋一简"/>
                <w:color w:val="FF0000"/>
                <w:kern w:val="0"/>
                <w:sz w:val="20"/>
                <w:szCs w:val="20"/>
              </w:rPr>
              <w:t>。债券受托管理人应当勤勉尽责</w:t>
            </w:r>
            <w:r>
              <w:rPr>
                <w:rFonts w:hint="eastAsia" w:ascii="汉仪书宋一简" w:eastAsia="汉仪书宋一简"/>
                <w:color w:val="000000"/>
                <w:kern w:val="0"/>
                <w:sz w:val="20"/>
                <w:szCs w:val="20"/>
              </w:rPr>
              <w:t>，公正履行受托管理职责，不得损害债券持有人利益</w:t>
            </w:r>
          </w:p>
        </w:tc>
      </w:tr>
      <w:tr w14:paraId="408C314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60596676">
            <w:pPr>
              <w:spacing w:before="31" w:beforeLines="10" w:after="31" w:afterLines="10" w:line="280" w:lineRule="exact"/>
              <w:ind w:firstLine="0" w:firstLineChars="0"/>
              <w:jc w:val="center"/>
              <w:rPr>
                <w:rFonts w:hint="eastAsia" w:ascii="汉仪中黑简" w:eastAsia="汉仪中黑简"/>
                <w:bCs/>
                <w:kern w:val="0"/>
                <w:sz w:val="20"/>
                <w:szCs w:val="20"/>
              </w:rPr>
            </w:pPr>
          </w:p>
        </w:tc>
        <w:tc>
          <w:tcPr>
            <w:tcW w:w="4352" w:type="pct"/>
            <w:shd w:val="clear" w:color="auto" w:fill="auto"/>
            <w:vAlign w:val="center"/>
          </w:tcPr>
          <w:p w14:paraId="60BCA82A">
            <w:pPr>
              <w:pStyle w:val="4"/>
              <w:shd w:val="clear" w:color="auto" w:fill="FFFFFF"/>
              <w:spacing w:before="31" w:beforeLines="10" w:beforeAutospacing="0" w:after="31" w:afterLines="10" w:afterAutospacing="0" w:line="280" w:lineRule="exact"/>
              <w:ind w:firstLine="0" w:firstLineChars="0"/>
              <w:jc w:val="both"/>
              <w:rPr>
                <w:rFonts w:hint="eastAsia" w:ascii="汉仪书宋一简" w:eastAsia="汉仪书宋一简"/>
                <w:color w:val="000000" w:themeColor="text1"/>
                <w:sz w:val="20"/>
                <w:szCs w:val="20"/>
                <w14:textFill>
                  <w14:solidFill>
                    <w14:schemeClr w14:val="tx1"/>
                  </w14:solidFill>
                </w14:textFill>
              </w:rPr>
            </w:pPr>
            <w:r>
              <w:rPr>
                <w:rFonts w:hint="eastAsia" w:ascii="汉仪书宋一简" w:hAnsi="Times New Roman" w:eastAsia="汉仪书宋一简" w:cs="Times New Roman"/>
                <w:color w:val="000000"/>
                <w:kern w:val="2"/>
                <w:sz w:val="20"/>
                <w:szCs w:val="20"/>
              </w:rPr>
              <w:t>债券发行人未能按期兑付债券本息的，债券受托管理人可以接受全部或者部分债券持有人的委托，以自己名义代表债券持有人提起、参加民事诉讼或者清算程序</w:t>
            </w:r>
          </w:p>
        </w:tc>
      </w:tr>
      <w:tr w14:paraId="33B94BC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restart"/>
            <w:shd w:val="clear" w:color="auto" w:fill="auto"/>
            <w:vAlign w:val="center"/>
          </w:tcPr>
          <w:p w14:paraId="5D4BE283">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公开征集</w:t>
            </w:r>
          </w:p>
          <w:p w14:paraId="433D9461">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股东权利</w:t>
            </w:r>
          </w:p>
        </w:tc>
        <w:tc>
          <w:tcPr>
            <w:tcW w:w="4352" w:type="pct"/>
            <w:shd w:val="clear" w:color="auto" w:fill="auto"/>
            <w:vAlign w:val="center"/>
          </w:tcPr>
          <w:p w14:paraId="2C723072">
            <w:pPr>
              <w:widowControl/>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征集人：上市公司</w:t>
            </w:r>
            <w:r>
              <w:rPr>
                <w:rFonts w:hint="eastAsia" w:ascii="汉仪书宋一简" w:hAnsi="楷体" w:eastAsia="汉仪书宋一简" w:cs="楷体"/>
                <w:kern w:val="0"/>
                <w:sz w:val="20"/>
                <w:szCs w:val="20"/>
              </w:rPr>
              <w:t>董事会、独立董事、持有1%以上有表决权股份的股东或投资者保护机构（不要求持股时间）</w:t>
            </w:r>
          </w:p>
        </w:tc>
      </w:tr>
      <w:tr w14:paraId="60486B2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669CB3E8">
            <w:pPr>
              <w:spacing w:before="31" w:beforeLines="10" w:after="31" w:afterLines="10" w:line="280" w:lineRule="exact"/>
              <w:ind w:firstLine="0" w:firstLineChars="0"/>
              <w:jc w:val="center"/>
              <w:rPr>
                <w:rFonts w:hint="eastAsia" w:ascii="汉仪中黑简" w:eastAsia="汉仪中黑简"/>
                <w:bCs/>
                <w:kern w:val="0"/>
                <w:sz w:val="20"/>
                <w:szCs w:val="20"/>
              </w:rPr>
            </w:pPr>
          </w:p>
        </w:tc>
        <w:tc>
          <w:tcPr>
            <w:tcW w:w="4352" w:type="pct"/>
            <w:shd w:val="clear" w:color="auto" w:fill="auto"/>
            <w:vAlign w:val="center"/>
          </w:tcPr>
          <w:p w14:paraId="24AEC857">
            <w:pPr>
              <w:widowControl/>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征集内容：征集人自行或委托证券公司、证券服务机构，公开请求上市公司股东委托其代为出席股东会，并代为行使提案权、表决权等股东权利</w:t>
            </w:r>
          </w:p>
        </w:tc>
      </w:tr>
      <w:tr w14:paraId="1E03FD7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55437DD3">
            <w:pPr>
              <w:spacing w:before="31" w:beforeLines="10" w:after="31" w:afterLines="10" w:line="280" w:lineRule="exact"/>
              <w:ind w:firstLine="0" w:firstLineChars="0"/>
              <w:jc w:val="center"/>
              <w:rPr>
                <w:rFonts w:hint="eastAsia" w:ascii="汉仪中黑简" w:eastAsia="汉仪中黑简"/>
                <w:bCs/>
                <w:kern w:val="0"/>
                <w:sz w:val="20"/>
                <w:szCs w:val="20"/>
              </w:rPr>
            </w:pPr>
          </w:p>
        </w:tc>
        <w:tc>
          <w:tcPr>
            <w:tcW w:w="4352" w:type="pct"/>
            <w:shd w:val="clear" w:color="auto" w:fill="auto"/>
            <w:vAlign w:val="center"/>
          </w:tcPr>
          <w:p w14:paraId="193EEC82">
            <w:pPr>
              <w:widowControl/>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信息披露：征集人应当披露征集文件，上市公司应当予以配合</w:t>
            </w:r>
          </w:p>
        </w:tc>
      </w:tr>
      <w:tr w14:paraId="167FC3C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1A1E6CBC">
            <w:pPr>
              <w:spacing w:before="31" w:beforeLines="10" w:after="31" w:afterLines="10" w:line="280" w:lineRule="exact"/>
              <w:ind w:firstLine="0" w:firstLineChars="0"/>
              <w:jc w:val="center"/>
              <w:rPr>
                <w:rFonts w:hint="eastAsia" w:ascii="汉仪中黑简" w:eastAsia="汉仪中黑简"/>
                <w:bCs/>
                <w:kern w:val="0"/>
                <w:sz w:val="20"/>
                <w:szCs w:val="20"/>
              </w:rPr>
            </w:pPr>
          </w:p>
        </w:tc>
        <w:tc>
          <w:tcPr>
            <w:tcW w:w="4352" w:type="pct"/>
            <w:shd w:val="clear" w:color="auto" w:fill="auto"/>
            <w:vAlign w:val="center"/>
          </w:tcPr>
          <w:p w14:paraId="1C3E20DF">
            <w:pPr>
              <w:widowControl/>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无偿性：</w:t>
            </w:r>
            <w:r>
              <w:rPr>
                <w:rFonts w:hint="eastAsia" w:ascii="汉仪书宋一简" w:eastAsia="汉仪书宋一简"/>
                <w:color w:val="FF0000"/>
                <w:kern w:val="0"/>
                <w:sz w:val="20"/>
                <w:szCs w:val="20"/>
              </w:rPr>
              <w:t>禁止以有偿或变相有偿的方式公开征集股东权利</w:t>
            </w:r>
          </w:p>
        </w:tc>
      </w:tr>
      <w:tr w14:paraId="5AAEDA7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3E87A9E6">
            <w:pPr>
              <w:spacing w:before="31" w:beforeLines="10" w:after="31" w:afterLines="10" w:line="280" w:lineRule="exact"/>
              <w:ind w:firstLine="0" w:firstLineChars="0"/>
              <w:jc w:val="center"/>
              <w:rPr>
                <w:rFonts w:hint="eastAsia" w:ascii="汉仪中黑简" w:eastAsia="汉仪中黑简"/>
                <w:bCs/>
                <w:kern w:val="0"/>
                <w:sz w:val="20"/>
                <w:szCs w:val="20"/>
              </w:rPr>
            </w:pPr>
          </w:p>
        </w:tc>
        <w:tc>
          <w:tcPr>
            <w:tcW w:w="4352" w:type="pct"/>
            <w:shd w:val="clear" w:color="auto" w:fill="auto"/>
            <w:vAlign w:val="center"/>
          </w:tcPr>
          <w:p w14:paraId="758DC441">
            <w:pPr>
              <w:widowControl/>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责任：违法征集导致上市公司或其股东遭受损失的，应当依法承担赔偿责任</w:t>
            </w:r>
          </w:p>
        </w:tc>
      </w:tr>
      <w:tr w14:paraId="3658B1D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restart"/>
            <w:shd w:val="clear" w:color="auto" w:fill="auto"/>
            <w:vAlign w:val="center"/>
          </w:tcPr>
          <w:p w14:paraId="00FED907">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投资者</w:t>
            </w:r>
          </w:p>
          <w:p w14:paraId="4BD888F4">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保护机构</w:t>
            </w:r>
          </w:p>
        </w:tc>
        <w:tc>
          <w:tcPr>
            <w:tcW w:w="4352" w:type="pct"/>
            <w:shd w:val="clear" w:color="auto" w:fill="auto"/>
            <w:vAlign w:val="center"/>
          </w:tcPr>
          <w:p w14:paraId="4D0AE74F">
            <w:pPr>
              <w:widowControl/>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先行赔付：发行人因欺诈发行、虚假陈述或其他重大违法行为给投资者造成损失的，发行人的控股股东、实际控制人、相关的证券公司可以委托投资者保护机构，就赔偿事宜与受到损失的投资者达成协议，予以先行赔付。</w:t>
            </w:r>
            <w:r>
              <w:rPr>
                <w:rFonts w:hint="eastAsia" w:ascii="汉仪书宋一简" w:eastAsia="汉仪书宋一简"/>
                <w:color w:val="FF0000"/>
                <w:kern w:val="0"/>
                <w:sz w:val="20"/>
                <w:szCs w:val="20"/>
              </w:rPr>
              <w:t>先行赔付后，可以依法向发行人以及其他连带责任人追偿</w:t>
            </w:r>
          </w:p>
        </w:tc>
      </w:tr>
      <w:tr w14:paraId="20FF71B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03AC6845">
            <w:pPr>
              <w:widowControl/>
              <w:spacing w:before="31" w:beforeLines="10" w:after="31" w:afterLines="10" w:line="280" w:lineRule="exact"/>
              <w:ind w:firstLine="0" w:firstLineChars="0"/>
              <w:rPr>
                <w:rFonts w:hint="eastAsia" w:ascii="汉仪书宋一简" w:eastAsia="汉仪书宋一简"/>
                <w:b/>
                <w:kern w:val="0"/>
                <w:sz w:val="20"/>
                <w:szCs w:val="20"/>
              </w:rPr>
            </w:pPr>
          </w:p>
        </w:tc>
        <w:tc>
          <w:tcPr>
            <w:tcW w:w="4352" w:type="pct"/>
            <w:shd w:val="clear" w:color="auto" w:fill="auto"/>
            <w:vAlign w:val="center"/>
          </w:tcPr>
          <w:p w14:paraId="0828D1A6">
            <w:pPr>
              <w:widowControl/>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调解：投资者与发行人、证券公司等发生纠纷的，双方可以向投资者保护机构申请调解。普通投资者与证券公司发生证券业务纠纷，普通投资者提出调解请求的，证券公司不得拒绝</w:t>
            </w:r>
          </w:p>
        </w:tc>
      </w:tr>
      <w:tr w14:paraId="05B406C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02BA8454">
            <w:pPr>
              <w:widowControl/>
              <w:spacing w:before="31" w:beforeLines="10" w:after="31" w:afterLines="10" w:line="280" w:lineRule="exact"/>
              <w:ind w:firstLine="0" w:firstLineChars="0"/>
              <w:rPr>
                <w:rFonts w:hint="eastAsia" w:ascii="汉仪书宋一简" w:eastAsia="汉仪书宋一简"/>
                <w:b/>
                <w:kern w:val="0"/>
                <w:sz w:val="20"/>
                <w:szCs w:val="20"/>
              </w:rPr>
            </w:pPr>
          </w:p>
        </w:tc>
        <w:tc>
          <w:tcPr>
            <w:tcW w:w="4352" w:type="pct"/>
            <w:shd w:val="clear" w:color="auto" w:fill="auto"/>
            <w:vAlign w:val="center"/>
          </w:tcPr>
          <w:p w14:paraId="6CE52C42">
            <w:pPr>
              <w:spacing w:before="31" w:beforeLines="10" w:after="31" w:afterLines="10" w:line="280" w:lineRule="exact"/>
              <w:ind w:firstLine="0" w:firstLineChars="0"/>
              <w:rPr>
                <w:rFonts w:ascii="汉仪书宋一简" w:eastAsia="汉仪书宋一简"/>
                <w:kern w:val="0"/>
                <w:sz w:val="20"/>
                <w:szCs w:val="20"/>
              </w:rPr>
            </w:pPr>
            <w:r>
              <w:rPr>
                <w:rFonts w:hint="eastAsia" w:ascii="汉仪书宋一简" w:eastAsia="汉仪书宋一简"/>
                <w:kern w:val="0"/>
                <w:sz w:val="20"/>
                <w:szCs w:val="20"/>
              </w:rPr>
              <w:t>股东代表诉讼：针对董监高、控股股东、实际控制人侵犯公司利益行为，投资者保护机构持有该公司股份的，可以提起股东代表诉讼，持股比例和持股期限不受《公司法》规定的限制（即1%+180天）</w:t>
            </w:r>
          </w:p>
          <w:p w14:paraId="48732DE2">
            <w:pPr>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color w:val="FF0000"/>
                <w:kern w:val="0"/>
                <w:sz w:val="20"/>
                <w:szCs w:val="20"/>
              </w:rPr>
              <w:t>投资者保护机构在上市公司中均持股</w:t>
            </w:r>
          </w:p>
        </w:tc>
      </w:tr>
      <w:tr w14:paraId="58D8DE8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restart"/>
            <w:shd w:val="clear" w:color="auto" w:fill="auto"/>
            <w:vAlign w:val="center"/>
          </w:tcPr>
          <w:p w14:paraId="6673E7D0">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代表人</w:t>
            </w:r>
          </w:p>
          <w:p w14:paraId="0790FE44">
            <w:pPr>
              <w:spacing w:before="31" w:beforeLines="10" w:after="31" w:afterLines="1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诉讼</w:t>
            </w:r>
          </w:p>
        </w:tc>
        <w:tc>
          <w:tcPr>
            <w:tcW w:w="4352" w:type="pct"/>
            <w:shd w:val="clear" w:color="auto" w:fill="auto"/>
            <w:vAlign w:val="center"/>
          </w:tcPr>
          <w:p w14:paraId="6077392A">
            <w:pPr>
              <w:widowControl/>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适用范围：投资者提起虚假陈述等证券民事赔偿诉讼时，诉讼标的是同一种类，且当事人一方人数众多的，可以依法推选代表人进行诉讼</w:t>
            </w:r>
          </w:p>
        </w:tc>
      </w:tr>
      <w:tr w14:paraId="2DFE820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12DD5B20">
            <w:pPr>
              <w:widowControl/>
              <w:spacing w:before="31" w:beforeLines="10" w:after="31" w:afterLines="10" w:line="280" w:lineRule="exact"/>
              <w:ind w:firstLine="0" w:firstLineChars="0"/>
              <w:rPr>
                <w:rFonts w:hint="eastAsia" w:ascii="汉仪书宋一简" w:eastAsia="汉仪书宋一简"/>
                <w:b/>
                <w:kern w:val="0"/>
                <w:sz w:val="20"/>
                <w:szCs w:val="20"/>
              </w:rPr>
            </w:pPr>
          </w:p>
        </w:tc>
        <w:tc>
          <w:tcPr>
            <w:tcW w:w="4352" w:type="pct"/>
            <w:shd w:val="clear" w:color="auto" w:fill="auto"/>
            <w:vAlign w:val="center"/>
          </w:tcPr>
          <w:p w14:paraId="50FDA70D">
            <w:pPr>
              <w:widowControl/>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法院登记：对代表人诉讼，可能存在有相同诉讼请求的其他众多投资者的，法院可以发出公告，说明该诉讼请求的案件情况，通知投资者在一定期间向法院登记。法院作出的判决、裁定，对参加登记的投资者发生效力</w:t>
            </w:r>
          </w:p>
        </w:tc>
      </w:tr>
      <w:tr w14:paraId="22F9EDC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0" w:hRule="atLeast"/>
          <w:jc w:val="center"/>
        </w:trPr>
        <w:tc>
          <w:tcPr>
            <w:tcW w:w="647" w:type="pct"/>
            <w:vMerge w:val="continue"/>
            <w:shd w:val="clear" w:color="auto" w:fill="auto"/>
            <w:vAlign w:val="center"/>
          </w:tcPr>
          <w:p w14:paraId="17D00EE2">
            <w:pPr>
              <w:widowControl/>
              <w:spacing w:before="31" w:beforeLines="10" w:after="31" w:afterLines="10" w:line="280" w:lineRule="exact"/>
              <w:ind w:firstLine="0" w:firstLineChars="0"/>
              <w:rPr>
                <w:rFonts w:hint="eastAsia" w:ascii="汉仪书宋一简" w:eastAsia="汉仪书宋一简"/>
                <w:b/>
                <w:kern w:val="0"/>
                <w:sz w:val="20"/>
                <w:szCs w:val="20"/>
              </w:rPr>
            </w:pPr>
          </w:p>
        </w:tc>
        <w:tc>
          <w:tcPr>
            <w:tcW w:w="4352" w:type="pct"/>
            <w:shd w:val="clear" w:color="auto" w:fill="auto"/>
            <w:vAlign w:val="center"/>
          </w:tcPr>
          <w:p w14:paraId="23D7A5A2">
            <w:pPr>
              <w:widowControl/>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hAnsi="楷体" w:eastAsia="汉仪书宋一简" w:cs="楷体"/>
                <w:kern w:val="0"/>
                <w:sz w:val="20"/>
                <w:szCs w:val="20"/>
              </w:rPr>
              <w:t>默示参加</w:t>
            </w:r>
            <w:r>
              <w:rPr>
                <w:rFonts w:hint="eastAsia" w:ascii="汉仪书宋一简" w:eastAsia="汉仪书宋一简"/>
                <w:kern w:val="0"/>
                <w:sz w:val="20"/>
                <w:szCs w:val="20"/>
              </w:rPr>
              <w:t>：</w:t>
            </w:r>
            <w:r>
              <w:rPr>
                <w:rFonts w:hint="eastAsia" w:ascii="汉仪书宋一简" w:eastAsia="汉仪书宋一简"/>
                <w:color w:val="FF0000"/>
                <w:kern w:val="0"/>
                <w:sz w:val="20"/>
                <w:szCs w:val="20"/>
              </w:rPr>
              <w:t>投资者保护机构受50名以上投资者委托，可以作为代表人参加诉讼</w:t>
            </w:r>
            <w:r>
              <w:rPr>
                <w:rFonts w:hint="eastAsia" w:ascii="汉仪书宋一简" w:eastAsia="汉仪书宋一简"/>
                <w:kern w:val="0"/>
                <w:sz w:val="20"/>
                <w:szCs w:val="20"/>
              </w:rPr>
              <w:t>，并为经证券登记结算机构确认的权利人向法院登记，但投资者明确表示不愿意参加该诉讼的除外</w:t>
            </w:r>
          </w:p>
        </w:tc>
      </w:tr>
    </w:tbl>
    <w:p w14:paraId="4022249C">
      <w:pPr>
        <w:pStyle w:val="3"/>
        <w:ind w:firstLine="312" w:firstLineChars="120"/>
        <w:jc w:val="center"/>
        <w:rPr>
          <w:rFonts w:hint="default" w:ascii="汉仪粗宋简" w:hAnsi="Times New Roman" w:eastAsia="汉仪大宋简" w:cs="汉仪粗宋简"/>
          <w:b/>
          <w:bCs/>
          <w:color w:val="000000"/>
          <w:kern w:val="0"/>
          <w:position w:val="4"/>
          <w:sz w:val="26"/>
          <w:szCs w:val="26"/>
          <w:lang w:val="en-US" w:eastAsia="zh-CN" w:bidi="ar-SA"/>
          <w14:ligatures w14:val="none"/>
        </w:rPr>
      </w:pPr>
      <w:r>
        <w:rPr>
          <w:rFonts w:hint="eastAsia" w:ascii="汉仪粗宋简" w:hAnsi="Times New Roman" w:eastAsia="汉仪大宋简" w:cs="汉仪粗宋简"/>
          <w:b/>
          <w:bCs/>
          <w:color w:val="000000"/>
          <w:kern w:val="0"/>
          <w:position w:val="4"/>
          <w:sz w:val="26"/>
          <w:szCs w:val="26"/>
          <w:lang w:val="en-US" w:eastAsia="zh-CN" w:bidi="ar-SA"/>
          <w14:ligatures w14:val="none"/>
        </w:rPr>
        <w:t>考点33  证券投资基金</w:t>
      </w:r>
    </w:p>
    <w:p w14:paraId="30E31F04">
      <w:pPr>
        <w:pStyle w:val="3"/>
        <w:ind w:firstLine="336" w:firstLineChars="120"/>
        <w:rPr>
          <w:rFonts w:hint="eastAsia"/>
        </w:rPr>
      </w:pPr>
      <w:r>
        <w:rPr>
          <w:rFonts w:hint="eastAsia"/>
          <w:lang w:val="en-US" w:eastAsia="zh-CN"/>
        </w:rPr>
        <w:t>一、</w:t>
      </w:r>
      <w:r>
        <w:rPr>
          <w:rFonts w:hint="eastAsia"/>
        </w:rPr>
        <w:t>公募基金运作</w:t>
      </w:r>
    </w:p>
    <w:p w14:paraId="14299999">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1．运作方式</w:t>
      </w:r>
    </w:p>
    <w:p w14:paraId="1AF63E74">
      <w:pPr>
        <w:ind w:firstLine="420"/>
        <w:rPr>
          <w:rFonts w:hint="eastAsia" w:ascii="汉仪书宋二简"/>
          <w:color w:val="000000"/>
          <w:kern w:val="0"/>
          <w:shd w:val="clear" w:color="auto" w:fill="FFFFFF"/>
        </w:rPr>
      </w:pPr>
      <w:r>
        <w:rPr>
          <w:rFonts w:hint="eastAsia" w:ascii="汉仪书宋二简"/>
          <w:color w:val="FF0000"/>
        </w:rPr>
        <w:t>开放式（总额不固定，可赎回）和封闭式（总额固定，不可赎回）。</w:t>
      </w:r>
      <w:r>
        <w:rPr>
          <w:rFonts w:hint="eastAsia" w:ascii="汉仪书宋二简"/>
          <w:color w:val="000000"/>
          <w:kern w:val="0"/>
          <w:shd w:val="clear" w:color="auto" w:fill="FFFFFF"/>
        </w:rPr>
        <w:t>开放式基金应当保持足够的现金或者政府债券，以备支付基金份额持有人的赎回款项。按照基金合同的约定或者基金份额持有人大会的决议，基金可以转换运作方式或者与其他基金合并。</w:t>
      </w:r>
    </w:p>
    <w:p w14:paraId="73C6A0A2">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2．公开募集</w:t>
      </w:r>
    </w:p>
    <w:p w14:paraId="260D6568">
      <w:pPr>
        <w:ind w:firstLine="408"/>
        <w:rPr>
          <w:rFonts w:hint="eastAsia" w:ascii="汉仪书宋二简"/>
          <w:spacing w:val="-3"/>
          <w:kern w:val="0"/>
          <w:shd w:val="clear" w:color="auto" w:fill="FFFFFF"/>
        </w:rPr>
      </w:pPr>
      <w:r>
        <w:rPr>
          <w:rFonts w:hint="eastAsia" w:ascii="汉仪书宋二简"/>
          <w:spacing w:val="-3"/>
          <w:kern w:val="0"/>
          <w:shd w:val="clear" w:color="auto" w:fill="FFFFFF"/>
        </w:rPr>
        <w:t>（1）注册。公开募集基金，应当经证监会注册。未经注册，不得公开或者变相公开募集基金。</w:t>
      </w:r>
    </w:p>
    <w:p w14:paraId="6AF818AD">
      <w:pPr>
        <w:ind w:firstLine="420"/>
        <w:rPr>
          <w:rFonts w:hint="eastAsia" w:ascii="汉仪书宋二简"/>
          <w:color w:val="000000"/>
          <w:kern w:val="0"/>
          <w:shd w:val="clear" w:color="auto" w:fill="FFFFFF"/>
        </w:rPr>
      </w:pPr>
      <w:r>
        <w:rPr>
          <w:rFonts w:hint="eastAsia" w:ascii="汉仪书宋二简"/>
          <w:kern w:val="0"/>
          <w:shd w:val="clear" w:color="auto" w:fill="FFFFFF"/>
        </w:rPr>
        <w:t>（2）发售。基金募集申请经注册后，方可发售基金份额。</w:t>
      </w:r>
      <w:r>
        <w:rPr>
          <w:rFonts w:hint="eastAsia" w:ascii="汉仪书宋二简"/>
          <w:color w:val="000000"/>
          <w:kern w:val="0"/>
          <w:shd w:val="clear" w:color="auto" w:fill="FFFFFF"/>
        </w:rPr>
        <w:t>基金份额的发售，由基金管理人或者其委托的基金销售机构办理。</w:t>
      </w:r>
    </w:p>
    <w:p w14:paraId="4AD79324">
      <w:pPr>
        <w:ind w:firstLine="420"/>
        <w:rPr>
          <w:rFonts w:hint="eastAsia" w:ascii="汉仪书宋二简"/>
          <w:color w:val="000000"/>
          <w:kern w:val="0"/>
          <w:shd w:val="clear" w:color="auto" w:fill="FFFFFF"/>
        </w:rPr>
      </w:pPr>
      <w:r>
        <w:rPr>
          <w:rFonts w:hint="eastAsia" w:ascii="汉仪书宋二简"/>
          <w:color w:val="000000"/>
          <w:kern w:val="0"/>
          <w:shd w:val="clear" w:color="auto" w:fill="FFFFFF"/>
        </w:rPr>
        <w:t>（3）募集期。基金管理人应当自收到准予注册文件之日起6个月内进行基金募集。超过6个月开始募集，原注册的事项未发生实质性变化的，应当报证监会备案；发生实质性变化的，应当向证监会重新提交注册申请。基金募集期限自基金份额发售之日起计算，不得超过证监会注册的基金募集期。</w:t>
      </w:r>
    </w:p>
    <w:p w14:paraId="4B34B44E">
      <w:pPr>
        <w:ind w:firstLine="420"/>
        <w:rPr>
          <w:rFonts w:hint="eastAsia" w:ascii="汉仪书宋二简"/>
          <w:color w:val="000000"/>
          <w:kern w:val="0"/>
          <w:shd w:val="clear" w:color="auto" w:fill="FFFFFF"/>
        </w:rPr>
      </w:pPr>
      <w:r>
        <w:rPr>
          <w:rFonts w:hint="eastAsia" w:ascii="汉仪书宋二简"/>
          <w:color w:val="000000"/>
          <w:kern w:val="0"/>
          <w:shd w:val="clear" w:color="auto" w:fill="FFFFFF"/>
        </w:rPr>
        <w:t>（4）募集成功、验资与备案。募集成功的标准为，基金募集期限届满，封闭式基金募集的基金份额总额达到准予注册规模的80%以上，开放式基金募集的基金份额总额超过准予注册的最低募集份额总额，并且基金份额持有人人数符合证监会规定。基金管理人应当聘请法定验资机构验资，向证监会提交验资报告，办理基金备案手续，并予以公告。</w:t>
      </w:r>
    </w:p>
    <w:p w14:paraId="3FF5E136">
      <w:pPr>
        <w:ind w:firstLine="420"/>
        <w:rPr>
          <w:rFonts w:hint="eastAsia" w:ascii="汉仪书宋二简"/>
          <w:color w:val="000000"/>
          <w:kern w:val="0"/>
          <w:shd w:val="clear" w:color="auto" w:fill="FFFFFF"/>
        </w:rPr>
      </w:pPr>
      <w:r>
        <w:rPr>
          <w:rFonts w:hint="eastAsia" w:ascii="汉仪书宋二简"/>
          <w:color w:val="000000"/>
          <w:kern w:val="0"/>
          <w:shd w:val="clear" w:color="auto" w:fill="FFFFFF"/>
        </w:rPr>
        <w:t>投资人交纳认购的基金份额的款项时，基金合同成立；基金管理人办理基金备案手续，基金合同生效。</w:t>
      </w:r>
    </w:p>
    <w:p w14:paraId="56CDBC64">
      <w:pPr>
        <w:ind w:firstLine="420"/>
        <w:rPr>
          <w:rFonts w:hint="eastAsia" w:ascii="汉仪书宋二简"/>
          <w:color w:val="000000"/>
          <w:kern w:val="0"/>
          <w:shd w:val="clear" w:color="auto" w:fill="FFFFFF"/>
        </w:rPr>
      </w:pPr>
      <w:r>
        <w:rPr>
          <w:rFonts w:hint="eastAsia" w:ascii="汉仪书宋二简"/>
          <w:color w:val="000000"/>
          <w:kern w:val="0"/>
          <w:shd w:val="clear" w:color="auto" w:fill="FFFFFF"/>
        </w:rPr>
        <w:t>（5）募集失败。基金募集期限届满，未到达上述募集成功标准，基金管理人应当以其固有财产承担因募集行为而产生的债务和费用；在基金募集期限届满后30日内返还投资人已交纳的款项，并加计银行同期存款利息。</w:t>
      </w:r>
    </w:p>
    <w:p w14:paraId="2DC1381F">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3．投资限制</w:t>
      </w:r>
    </w:p>
    <w:p w14:paraId="6892D766">
      <w:pPr>
        <w:ind w:firstLine="420"/>
        <w:rPr>
          <w:rFonts w:hint="eastAsia" w:ascii="汉仪书宋二简"/>
          <w:kern w:val="0"/>
          <w:shd w:val="clear" w:color="auto" w:fill="FFFFFF"/>
        </w:rPr>
      </w:pPr>
      <w:r>
        <w:rPr>
          <w:rFonts w:hint="eastAsia" w:ascii="汉仪书宋二简"/>
          <w:kern w:val="0"/>
          <w:shd w:val="clear" w:color="auto" w:fill="FFFFFF"/>
        </w:rPr>
        <w:t>基金财产应当用于下列投资：（1）上市交易的股票、债券；（2）证监会规定的其他证券及其衍生品种。基金财产不得用于下列投资或者活动：（1）承销证券；（2）违反规定向他人贷款或者提供担保；（3）从事承担无限责任的投资；（4）买卖其他基金份额，但是证监会另有规定的除外；（5）向基金管理人、基金托管人出资；（6）从事内幕交易、操纵证券交易价格及其他不正当的证券交易活动；（7）法律、行政法规和证监会规定禁止的其他活动。</w:t>
      </w:r>
    </w:p>
    <w:p w14:paraId="645E5199">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4．终止</w:t>
      </w:r>
    </w:p>
    <w:p w14:paraId="116D49DB">
      <w:pPr>
        <w:ind w:firstLine="420"/>
        <w:rPr>
          <w:rFonts w:hint="eastAsia" w:ascii="汉仪书宋二简"/>
          <w:color w:val="000000"/>
          <w:kern w:val="0"/>
          <w:shd w:val="clear" w:color="auto" w:fill="FFFFFF"/>
        </w:rPr>
      </w:pPr>
      <w:r>
        <w:rPr>
          <w:rFonts w:hint="eastAsia" w:ascii="汉仪书宋二简"/>
          <w:color w:val="000000"/>
          <w:kern w:val="0"/>
          <w:shd w:val="clear" w:color="auto" w:fill="FFFFFF"/>
        </w:rPr>
        <w:t>有下列情形之一的，基金合同终止：（1）基金合同期限届满而未延期；（2）基金份额持有人大会决定终止；（3）基金管理人、基金托管人职责终止，在6个月内没有新基金管理人、新基金托管人承接；（4）基金合同约定的其他情形。</w:t>
      </w:r>
    </w:p>
    <w:p w14:paraId="28B6FFEC">
      <w:pPr>
        <w:ind w:firstLine="420"/>
        <w:rPr>
          <w:rFonts w:hint="eastAsia" w:ascii="汉仪书宋二简"/>
          <w:kern w:val="0"/>
        </w:rPr>
      </w:pPr>
      <w:r>
        <w:rPr>
          <w:rFonts w:hint="eastAsia" w:ascii="汉仪书宋二简"/>
          <w:kern w:val="0"/>
          <w:shd w:val="clear" w:color="auto" w:fill="FFFFFF"/>
        </w:rPr>
        <w:t>基金合同终止时，基金管理人应当组织清算组对基金财产进行清算。清算组由基金管理人、基金托管人以及相关的中介服务机构组成。清算组作出的清算报告经会计师事务所审计，律师事务所出具法律意见书后，报证监会备案并公告。清算后的剩余基金财产，应当按照基金份额持有人所持份额比例进行分配。</w:t>
      </w:r>
    </w:p>
    <w:p w14:paraId="0F84BE67">
      <w:pPr>
        <w:ind w:firstLine="480"/>
        <w:rPr>
          <w:rFonts w:hint="eastAsia" w:ascii="汉仪书宋二简" w:hAnsiTheme="majorHAnsi" w:cstheme="majorBidi"/>
          <w:bCs/>
          <w:sz w:val="24"/>
          <w:szCs w:val="28"/>
        </w:rPr>
      </w:pPr>
    </w:p>
    <w:p w14:paraId="72893BB3">
      <w:pPr>
        <w:pStyle w:val="3"/>
        <w:ind w:firstLine="336" w:firstLineChars="120"/>
        <w:rPr>
          <w:rFonts w:hint="eastAsia"/>
        </w:rPr>
      </w:pPr>
      <w:r>
        <w:rPr>
          <w:rFonts w:hint="eastAsia"/>
          <w:lang w:val="en-US" w:eastAsia="zh-CN"/>
        </w:rPr>
        <w:t>二、</w:t>
      </w:r>
      <w:r>
        <w:rPr>
          <w:rFonts w:hint="eastAsia"/>
        </w:rPr>
        <w:t>公募基金和私募基金</w:t>
      </w:r>
    </w:p>
    <w:p w14:paraId="15C42A68">
      <w:pPr>
        <w:ind w:firstLine="480"/>
        <w:rPr>
          <w:rFonts w:hint="eastAsia" w:ascii="汉仪书宋二简" w:hAnsiTheme="majorHAnsi" w:cstheme="majorBidi"/>
          <w:bCs/>
          <w:sz w:val="24"/>
          <w:szCs w:val="28"/>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4"/>
        <w:gridCol w:w="3675"/>
        <w:gridCol w:w="3726"/>
      </w:tblGrid>
      <w:tr w14:paraId="1094E6B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9" w:type="pct"/>
            <w:shd w:val="clear" w:color="auto" w:fill="auto"/>
            <w:vAlign w:val="center"/>
          </w:tcPr>
          <w:p w14:paraId="219B8C4F">
            <w:pPr>
              <w:spacing w:before="31" w:beforeLines="10" w:after="62" w:afterLines="20" w:line="280" w:lineRule="exact"/>
              <w:ind w:firstLine="0" w:firstLineChars="0"/>
              <w:rPr>
                <w:rFonts w:hint="eastAsia" w:ascii="汉仪书宋一简" w:eastAsia="汉仪书宋一简"/>
                <w:kern w:val="0"/>
                <w:sz w:val="20"/>
                <w:szCs w:val="20"/>
              </w:rPr>
            </w:pPr>
          </w:p>
        </w:tc>
        <w:tc>
          <w:tcPr>
            <w:tcW w:w="2160" w:type="pct"/>
            <w:shd w:val="clear" w:color="auto" w:fill="auto"/>
            <w:vAlign w:val="center"/>
          </w:tcPr>
          <w:p w14:paraId="676272D6">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公募基金</w:t>
            </w:r>
          </w:p>
        </w:tc>
        <w:tc>
          <w:tcPr>
            <w:tcW w:w="2190" w:type="pct"/>
            <w:shd w:val="clear" w:color="auto" w:fill="auto"/>
            <w:vAlign w:val="center"/>
          </w:tcPr>
          <w:p w14:paraId="46DC682A">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私募基金</w:t>
            </w:r>
            <w:r>
              <w:rPr>
                <w:rFonts w:hint="eastAsia" w:ascii="汉仪中黑简" w:eastAsia="汉仪中黑简"/>
                <w:bCs/>
                <w:color w:val="FF0000"/>
                <w:kern w:val="0"/>
                <w:sz w:val="20"/>
                <w:szCs w:val="20"/>
              </w:rPr>
              <w:t>（非公开募集）</w:t>
            </w:r>
          </w:p>
        </w:tc>
      </w:tr>
      <w:tr w14:paraId="69876CB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9" w:type="pct"/>
            <w:shd w:val="clear" w:color="auto" w:fill="auto"/>
            <w:vAlign w:val="center"/>
          </w:tcPr>
          <w:p w14:paraId="3B6454BF">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募集对象</w:t>
            </w:r>
          </w:p>
        </w:tc>
        <w:tc>
          <w:tcPr>
            <w:tcW w:w="2160" w:type="pct"/>
            <w:shd w:val="clear" w:color="auto" w:fill="auto"/>
            <w:vAlign w:val="center"/>
          </w:tcPr>
          <w:p w14:paraId="131401CD">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不特定对象或者特定对象累计超200人</w:t>
            </w:r>
          </w:p>
        </w:tc>
        <w:tc>
          <w:tcPr>
            <w:tcW w:w="2190" w:type="pct"/>
            <w:shd w:val="clear" w:color="auto" w:fill="auto"/>
            <w:vAlign w:val="center"/>
          </w:tcPr>
          <w:p w14:paraId="0195C3DB">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合格投资者，</w:t>
            </w:r>
            <w:r>
              <w:rPr>
                <w:rFonts w:hint="eastAsia" w:ascii="汉仪书宋一简" w:hAnsi="楷体" w:eastAsia="汉仪书宋一简" w:cs="楷体"/>
                <w:kern w:val="0"/>
                <w:sz w:val="20"/>
                <w:szCs w:val="20"/>
              </w:rPr>
              <w:t>累计不超过200人</w:t>
            </w:r>
            <w:r>
              <w:rPr>
                <w:rFonts w:hint="eastAsia" w:ascii="汉仪书宋一简" w:eastAsia="汉仪书宋一简"/>
                <w:kern w:val="0"/>
                <w:sz w:val="20"/>
                <w:szCs w:val="20"/>
              </w:rPr>
              <w:t>，</w:t>
            </w:r>
            <w:r>
              <w:rPr>
                <w:rFonts w:hint="eastAsia" w:ascii="汉仪书宋一简" w:eastAsia="汉仪书宋一简"/>
                <w:color w:val="0000FF"/>
                <w:sz w:val="20"/>
                <w:szCs w:val="20"/>
              </w:rPr>
              <w:t>不得通过公众传播媒体或者讲座、报告会、分析会等方式向不特定对象宣传推介</w:t>
            </w:r>
          </w:p>
        </w:tc>
      </w:tr>
      <w:tr w14:paraId="49AEF59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9" w:type="pct"/>
            <w:shd w:val="clear" w:color="auto" w:fill="auto"/>
            <w:vAlign w:val="center"/>
          </w:tcPr>
          <w:p w14:paraId="0B639A1B">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注册备案</w:t>
            </w:r>
          </w:p>
        </w:tc>
        <w:tc>
          <w:tcPr>
            <w:tcW w:w="2160" w:type="pct"/>
            <w:shd w:val="clear" w:color="auto" w:fill="auto"/>
            <w:vAlign w:val="center"/>
          </w:tcPr>
          <w:p w14:paraId="071BBE07">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公开募集基金前应经证监会注册</w:t>
            </w:r>
          </w:p>
        </w:tc>
        <w:tc>
          <w:tcPr>
            <w:tcW w:w="2190" w:type="pct"/>
            <w:shd w:val="clear" w:color="auto" w:fill="auto"/>
            <w:vAlign w:val="center"/>
          </w:tcPr>
          <w:p w14:paraId="4E55B935">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募集完毕后向基金行业协会备案</w:t>
            </w:r>
          </w:p>
        </w:tc>
      </w:tr>
      <w:tr w14:paraId="604742A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9" w:type="pct"/>
            <w:shd w:val="clear" w:color="auto" w:fill="auto"/>
            <w:vAlign w:val="center"/>
          </w:tcPr>
          <w:p w14:paraId="5810FC7F">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管理人</w:t>
            </w:r>
          </w:p>
        </w:tc>
        <w:tc>
          <w:tcPr>
            <w:tcW w:w="2160" w:type="pct"/>
            <w:shd w:val="clear" w:color="auto" w:fill="auto"/>
            <w:vAlign w:val="center"/>
          </w:tcPr>
          <w:p w14:paraId="1EB36F07">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基金公司或证监会核准的其他机构。不得</w:t>
            </w:r>
            <w:r>
              <w:rPr>
                <w:rFonts w:hint="eastAsia" w:ascii="汉仪书宋一简" w:eastAsia="汉仪书宋一简"/>
                <w:sz w:val="20"/>
                <w:szCs w:val="20"/>
              </w:rPr>
              <w:t>将其固有财产或者他人财产混同于基金财产从事证券投资</w:t>
            </w:r>
          </w:p>
        </w:tc>
        <w:tc>
          <w:tcPr>
            <w:tcW w:w="2190" w:type="pct"/>
            <w:shd w:val="clear" w:color="auto" w:fill="auto"/>
            <w:vAlign w:val="center"/>
          </w:tcPr>
          <w:p w14:paraId="64B71FAE">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公司或者合伙企业。可以</w:t>
            </w:r>
            <w:r>
              <w:rPr>
                <w:rFonts w:hint="eastAsia" w:ascii="汉仪书宋一简" w:eastAsia="汉仪书宋一简"/>
                <w:sz w:val="20"/>
                <w:szCs w:val="20"/>
              </w:rPr>
              <w:t>由部分基金份额持有人作为基金管理人负责基金的投资管理活动，并对基金财产的债务承担无限连带责任</w:t>
            </w:r>
          </w:p>
        </w:tc>
      </w:tr>
      <w:tr w14:paraId="0AB867D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9" w:type="pct"/>
            <w:shd w:val="clear" w:color="auto" w:fill="auto"/>
            <w:vAlign w:val="center"/>
          </w:tcPr>
          <w:p w14:paraId="28D41453">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托管人</w:t>
            </w:r>
          </w:p>
        </w:tc>
        <w:tc>
          <w:tcPr>
            <w:tcW w:w="2160" w:type="pct"/>
            <w:shd w:val="clear" w:color="auto" w:fill="auto"/>
            <w:vAlign w:val="center"/>
          </w:tcPr>
          <w:p w14:paraId="6B1C74F7">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必须有（商业银行或其他金融机构）</w:t>
            </w:r>
          </w:p>
        </w:tc>
        <w:tc>
          <w:tcPr>
            <w:tcW w:w="2190" w:type="pct"/>
            <w:shd w:val="clear" w:color="auto" w:fill="auto"/>
            <w:vAlign w:val="center"/>
          </w:tcPr>
          <w:p w14:paraId="3DC00624">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可以没有</w:t>
            </w:r>
          </w:p>
        </w:tc>
      </w:tr>
      <w:tr w14:paraId="6CDE927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9" w:type="pct"/>
            <w:shd w:val="clear" w:color="auto" w:fill="auto"/>
            <w:vAlign w:val="center"/>
          </w:tcPr>
          <w:p w14:paraId="5F73CDD6">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收益风险</w:t>
            </w:r>
          </w:p>
        </w:tc>
        <w:tc>
          <w:tcPr>
            <w:tcW w:w="2160" w:type="pct"/>
            <w:shd w:val="clear" w:color="auto" w:fill="auto"/>
            <w:vAlign w:val="center"/>
          </w:tcPr>
          <w:p w14:paraId="78AC6FD1">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按持有基金份额</w:t>
            </w:r>
          </w:p>
        </w:tc>
        <w:tc>
          <w:tcPr>
            <w:tcW w:w="2190" w:type="pct"/>
            <w:shd w:val="clear" w:color="auto" w:fill="auto"/>
            <w:vAlign w:val="center"/>
          </w:tcPr>
          <w:p w14:paraId="0A4AA668">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按基金合同约定</w:t>
            </w:r>
          </w:p>
        </w:tc>
      </w:tr>
      <w:tr w14:paraId="7E8055B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9" w:type="pct"/>
            <w:shd w:val="clear" w:color="auto" w:fill="auto"/>
            <w:vAlign w:val="center"/>
          </w:tcPr>
          <w:p w14:paraId="31A598ED">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投资对象</w:t>
            </w:r>
          </w:p>
        </w:tc>
        <w:tc>
          <w:tcPr>
            <w:tcW w:w="2160" w:type="pct"/>
            <w:shd w:val="clear" w:color="auto" w:fill="auto"/>
            <w:vAlign w:val="center"/>
          </w:tcPr>
          <w:p w14:paraId="38E890D8">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上市交易的股票、债券、证监会规定的其他证券及其衍生品种</w:t>
            </w:r>
          </w:p>
        </w:tc>
        <w:tc>
          <w:tcPr>
            <w:tcW w:w="2190" w:type="pct"/>
            <w:shd w:val="clear" w:color="auto" w:fill="auto"/>
            <w:vAlign w:val="center"/>
          </w:tcPr>
          <w:p w14:paraId="4D0972A7">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公开发行的股份有限公司股票、债券、基金份额，以及证监会规定的其他证券及其衍生品种</w:t>
            </w:r>
          </w:p>
        </w:tc>
      </w:tr>
    </w:tbl>
    <w:p w14:paraId="1C665B81">
      <w:pPr>
        <w:widowControl/>
        <w:ind w:firstLine="420"/>
        <w:rPr>
          <w:rFonts w:hint="eastAsia" w:ascii="汉仪书宋二简"/>
          <w:bCs/>
          <w:smallCaps/>
          <w:color w:val="FF0000"/>
          <w:kern w:val="0"/>
        </w:rPr>
      </w:pPr>
      <w:r>
        <w:rPr>
          <w:rFonts w:hint="eastAsia" w:ascii="汉仪书宋二简"/>
          <w:bCs/>
          <w:smallCaps/>
          <w:color w:val="FF0000"/>
          <w:kern w:val="0"/>
        </w:rPr>
        <w:t>公募更为严格</w:t>
      </w:r>
    </w:p>
    <w:p w14:paraId="13C85B21">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考点34  人身保险合同的</w:t>
      </w:r>
      <w:r>
        <w:rPr>
          <w:rFonts w:hint="eastAsia" w:ascii="汉仪粗宋简" w:hAnsi="Times New Roman" w:eastAsia="汉仪大宋简" w:cs="汉仪粗宋简"/>
          <w:b/>
          <w:bCs/>
          <w:color w:val="000000"/>
          <w:kern w:val="0"/>
          <w:position w:val="4"/>
          <w:sz w:val="26"/>
          <w:szCs w:val="26"/>
          <w:lang w:val="zh-CN"/>
        </w:rPr>
        <w:t>受益人</w:t>
      </w:r>
    </w:p>
    <w:p w14:paraId="085CB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汉仪书宋二简"/>
        </w:rPr>
      </w:pPr>
      <w:r>
        <w:rPr>
          <w:rFonts w:hint="eastAsia" w:ascii="汉仪书宋二简"/>
        </w:rPr>
        <w:t>受益人是指人身保险合同中由被保险人或投保人指定的享有保险金请求权的人。关于受益人，大家需要掌握以下几个要点：</w:t>
      </w:r>
    </w:p>
    <w:p w14:paraId="6921F847">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1．范围</w:t>
      </w:r>
    </w:p>
    <w:p w14:paraId="573EA9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汉仪书宋二简"/>
          <w:color w:val="FF0000"/>
        </w:rPr>
      </w:pPr>
      <w:r>
        <w:rPr>
          <w:rFonts w:hint="eastAsia" w:ascii="汉仪书宋二简"/>
        </w:rPr>
        <w:t>受益人没有身份或行为能力的限制。</w:t>
      </w:r>
      <w:r>
        <w:rPr>
          <w:rFonts w:hint="eastAsia" w:ascii="汉仪书宋二简"/>
          <w:color w:val="FF0000"/>
        </w:rPr>
        <w:t>投保人、被保险人可以为受益人</w:t>
      </w:r>
      <w:r>
        <w:rPr>
          <w:rFonts w:hint="eastAsia" w:ascii="汉仪书宋二简"/>
        </w:rPr>
        <w:t>。另外，投保人与被保险人可以是同一人，也可以不是同一人。投保人为与其有劳动关系的劳动者投保人身保险，</w:t>
      </w:r>
      <w:r>
        <w:rPr>
          <w:rFonts w:hint="eastAsia" w:ascii="汉仪书宋二简"/>
          <w:color w:val="FF0000"/>
        </w:rPr>
        <w:t>不得指定被保险人及其近亲属以外的人为受益人</w:t>
      </w:r>
      <w:r>
        <w:rPr>
          <w:rFonts w:hint="eastAsia" w:ascii="汉仪书宋二简"/>
        </w:rPr>
        <w:t>。</w:t>
      </w:r>
      <w:r>
        <w:rPr>
          <w:rFonts w:hint="eastAsia" w:ascii="汉仪书宋二简"/>
          <w:color w:val="FF0000"/>
        </w:rPr>
        <w:t>其他情形对受益人范围没有要求</w:t>
      </w:r>
    </w:p>
    <w:p w14:paraId="19FBD72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2．指定</w:t>
      </w:r>
    </w:p>
    <w:p w14:paraId="6D78A9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汉仪书宋二简"/>
          <w:kern w:val="0"/>
        </w:rPr>
      </w:pPr>
      <w:r>
        <w:rPr>
          <w:rFonts w:hint="eastAsia" w:ascii="汉仪书宋二简"/>
        </w:rPr>
        <w:t>受益人由</w:t>
      </w:r>
      <w:r>
        <w:rPr>
          <w:rFonts w:hint="eastAsia" w:ascii="汉仪书宋二简" w:hAnsi="楷体" w:eastAsia="汉仪中黑简" w:cs="楷体"/>
          <w:color w:val="FF0000"/>
        </w:rPr>
        <w:t>被保险人指定</w:t>
      </w:r>
      <w:r>
        <w:rPr>
          <w:rFonts w:hint="eastAsia" w:ascii="汉仪书宋二简"/>
        </w:rPr>
        <w:t>，或者投保人指定并</w:t>
      </w:r>
      <w:r>
        <w:rPr>
          <w:rFonts w:hint="eastAsia" w:ascii="汉仪书宋二简" w:hAnsi="楷体" w:eastAsia="汉仪中黑简" w:cs="楷体"/>
          <w:color w:val="FF0000"/>
        </w:rPr>
        <w:t>经被保险人同意</w:t>
      </w:r>
      <w:r>
        <w:rPr>
          <w:rFonts w:hint="eastAsia" w:ascii="汉仪书宋二简"/>
        </w:rPr>
        <w:t>。</w:t>
      </w:r>
      <w:r>
        <w:rPr>
          <w:rFonts w:hint="eastAsia" w:ascii="汉仪书宋二简"/>
          <w:kern w:val="0"/>
        </w:rPr>
        <w:t>投保人指定受益人未经被保险人同意的，指定行为无效。</w:t>
      </w:r>
    </w:p>
    <w:p w14:paraId="491E0DB3">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3．变更</w:t>
      </w:r>
    </w:p>
    <w:p w14:paraId="21006E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汉仪书宋二简"/>
          <w:kern w:val="0"/>
        </w:rPr>
      </w:pPr>
      <w:r>
        <w:rPr>
          <w:rFonts w:hint="eastAsia" w:ascii="汉仪书宋二简"/>
        </w:rPr>
        <w:t>受益人由</w:t>
      </w:r>
      <w:r>
        <w:rPr>
          <w:rFonts w:hint="eastAsia" w:ascii="汉仪书宋二简" w:hAnsi="楷体" w:eastAsia="汉仪中黑简" w:cs="楷体"/>
          <w:color w:val="FF0000"/>
        </w:rPr>
        <w:t>被保险人变更</w:t>
      </w:r>
      <w:r>
        <w:rPr>
          <w:rFonts w:hint="eastAsia" w:ascii="汉仪书宋二简"/>
        </w:rPr>
        <w:t>，或者投保人变更并</w:t>
      </w:r>
      <w:r>
        <w:rPr>
          <w:rFonts w:hint="eastAsia" w:ascii="汉仪书宋二简" w:hAnsi="楷体" w:eastAsia="汉仪中黑简" w:cs="楷体"/>
          <w:color w:val="FF0000"/>
        </w:rPr>
        <w:t>经被保险人同意</w:t>
      </w:r>
      <w:r>
        <w:rPr>
          <w:rFonts w:hint="eastAsia" w:ascii="汉仪书宋二简"/>
        </w:rPr>
        <w:t>。</w:t>
      </w:r>
      <w:r>
        <w:rPr>
          <w:rFonts w:hint="eastAsia" w:ascii="汉仪书宋二简"/>
          <w:kern w:val="0"/>
        </w:rPr>
        <w:t>变更受益人应书面通知保险人，否则对保险人不生效。变更行为自变更意思表示</w:t>
      </w:r>
      <w:r>
        <w:rPr>
          <w:rFonts w:hint="eastAsia" w:ascii="汉仪书宋二简" w:hAnsi="楷体" w:eastAsia="汉仪中黑简" w:cs="楷体"/>
          <w:color w:val="FF0000"/>
          <w:kern w:val="0"/>
        </w:rPr>
        <w:t>发出时（另外一个是股东失权）</w:t>
      </w:r>
      <w:r>
        <w:rPr>
          <w:rFonts w:hint="eastAsia" w:ascii="汉仪书宋二简"/>
          <w:kern w:val="0"/>
        </w:rPr>
        <w:t>生效。在保险事故发生后变更受益人，变更后的受益人不享有保险金请求权。</w:t>
      </w:r>
    </w:p>
    <w:p w14:paraId="2892B8D6">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4．争议处理</w:t>
      </w:r>
    </w:p>
    <w:p w14:paraId="1FC9C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汉仪书宋二简"/>
          <w:kern w:val="0"/>
        </w:rPr>
      </w:pPr>
      <w:r>
        <w:rPr>
          <w:rFonts w:hint="eastAsia" w:ascii="汉仪书宋二简"/>
          <w:kern w:val="0"/>
        </w:rPr>
        <w:t>除另有约定外，按照以下情形分别处理：（1）受益人约定为“法定”或“法定继承人”的，以法定继承人为受益人；（2）受益人仅约定为身份关系，投保人与被保险人为</w:t>
      </w:r>
      <w:r>
        <w:rPr>
          <w:rFonts w:hint="eastAsia" w:ascii="汉仪书宋二简" w:hAnsi="楷体" w:eastAsia="汉仪中黑简" w:cs="楷体"/>
          <w:color w:val="FF0000"/>
          <w:kern w:val="0"/>
        </w:rPr>
        <w:t>同一主体</w:t>
      </w:r>
      <w:r>
        <w:rPr>
          <w:rFonts w:hint="eastAsia" w:ascii="汉仪书宋二简"/>
          <w:kern w:val="0"/>
        </w:rPr>
        <w:t>的，根据</w:t>
      </w:r>
      <w:r>
        <w:rPr>
          <w:rFonts w:hint="eastAsia" w:ascii="汉仪书宋二简" w:hAnsi="楷体" w:eastAsia="汉仪中黑简" w:cs="楷体"/>
          <w:color w:val="FF0000"/>
          <w:kern w:val="0"/>
        </w:rPr>
        <w:t>保险事故发生时</w:t>
      </w:r>
      <w:r>
        <w:rPr>
          <w:rFonts w:hint="eastAsia" w:ascii="汉仪书宋二简"/>
          <w:kern w:val="0"/>
        </w:rPr>
        <w:t>与被保险人的身份关系确定受益人；投保人与被保险人为</w:t>
      </w:r>
      <w:r>
        <w:rPr>
          <w:rFonts w:hint="eastAsia" w:ascii="汉仪书宋二简" w:hAnsi="楷体" w:eastAsia="汉仪中黑简" w:cs="楷体"/>
          <w:color w:val="FF0000"/>
          <w:kern w:val="0"/>
        </w:rPr>
        <w:t>不同主体</w:t>
      </w:r>
      <w:r>
        <w:rPr>
          <w:rFonts w:hint="eastAsia" w:ascii="汉仪书宋二简"/>
          <w:kern w:val="0"/>
        </w:rPr>
        <w:t>的，根据</w:t>
      </w:r>
      <w:r>
        <w:rPr>
          <w:rFonts w:hint="eastAsia" w:ascii="汉仪书宋二简" w:hAnsi="楷体" w:eastAsia="汉仪中黑简" w:cs="楷体"/>
          <w:color w:val="FF0000"/>
          <w:kern w:val="0"/>
        </w:rPr>
        <w:t>保险合同成立时</w:t>
      </w:r>
      <w:r>
        <w:rPr>
          <w:rFonts w:hint="eastAsia" w:ascii="汉仪书宋二简"/>
          <w:kern w:val="0"/>
        </w:rPr>
        <w:t>与被保险人的身份关系确定受益人；（3）受益人的约定包括姓名和身份关系，保险事故发生时身份关系发生变化的，认定为未指定受益人。</w:t>
      </w:r>
    </w:p>
    <w:p w14:paraId="1A21BFA6">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5．受益权转让</w:t>
      </w:r>
    </w:p>
    <w:p w14:paraId="1BC2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汉仪书宋二简"/>
          <w:color w:val="FF0000"/>
          <w:kern w:val="0"/>
        </w:rPr>
      </w:pPr>
      <w:r>
        <w:rPr>
          <w:rFonts w:hint="eastAsia" w:ascii="汉仪书宋二简"/>
          <w:kern w:val="0"/>
        </w:rPr>
        <w:t>保险事故发生前，受益权不得转让（</w:t>
      </w:r>
      <w:r>
        <w:rPr>
          <w:rFonts w:hint="eastAsia" w:ascii="汉仪书宋二简"/>
          <w:color w:val="FF0000"/>
          <w:kern w:val="0"/>
        </w:rPr>
        <w:t>没有受益人，受益人先死亡，被保险人获得保险金</w:t>
      </w:r>
      <w:r>
        <w:rPr>
          <w:rFonts w:hint="eastAsia" w:ascii="汉仪书宋二简"/>
          <w:kern w:val="0"/>
        </w:rPr>
        <w:t>）。保险事故发生后，受益人可转让部分或者全部保险金请求权（</w:t>
      </w:r>
      <w:r>
        <w:rPr>
          <w:rFonts w:hint="eastAsia" w:ascii="汉仪书宋二简"/>
          <w:color w:val="FF0000"/>
          <w:kern w:val="0"/>
        </w:rPr>
        <w:t>债权</w:t>
      </w:r>
      <w:r>
        <w:rPr>
          <w:rFonts w:hint="eastAsia" w:ascii="汉仪书宋二简"/>
          <w:kern w:val="0"/>
        </w:rPr>
        <w:t>）。</w:t>
      </w:r>
    </w:p>
    <w:p w14:paraId="7D2A910C">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6．丧失受益权</w:t>
      </w:r>
    </w:p>
    <w:p w14:paraId="650B6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汉仪书宋二简"/>
        </w:rPr>
      </w:pPr>
      <w:r>
        <w:rPr>
          <w:rFonts w:hint="eastAsia" w:ascii="汉仪书宋二简"/>
        </w:rPr>
        <w:t>受益人故意造成被保险人死亡、伤残或疾病的，或故意杀害被保险人未遂的，该受益人丧失受益权。</w:t>
      </w:r>
    </w:p>
    <w:p w14:paraId="1E1224CA">
      <w:pPr>
        <w:pStyle w:val="3"/>
        <w:ind w:firstLine="312" w:firstLineChars="120"/>
        <w:jc w:val="center"/>
        <w:rPr>
          <w:rFonts w:hint="eastAsia" w:ascii="汉仪粗宋简" w:hAnsi="Times New Roman" w:eastAsia="汉仪大宋简" w:cs="汉仪粗宋简"/>
          <w:b/>
          <w:bCs/>
          <w:color w:val="000000"/>
          <w:kern w:val="0"/>
          <w:position w:val="4"/>
          <w:sz w:val="26"/>
          <w:szCs w:val="26"/>
          <w:lang w:val="en-US" w:eastAsia="zh-CN" w:bidi="ar-SA"/>
          <w14:ligatures w14:val="none"/>
        </w:rPr>
      </w:pPr>
      <w:r>
        <w:rPr>
          <w:rFonts w:hint="eastAsia" w:ascii="汉仪粗宋简" w:hAnsi="Times New Roman" w:eastAsia="汉仪大宋简" w:cs="汉仪粗宋简"/>
          <w:b/>
          <w:bCs/>
          <w:color w:val="000000"/>
          <w:kern w:val="0"/>
          <w:position w:val="4"/>
          <w:sz w:val="26"/>
          <w:szCs w:val="26"/>
          <w:lang w:val="en-US" w:eastAsia="zh-CN" w:bidi="ar-SA"/>
          <w14:ligatures w14:val="none"/>
        </w:rPr>
        <w:t>考点35  投保人告知义务</w:t>
      </w:r>
    </w:p>
    <w:p w14:paraId="391A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int="eastAsia" w:ascii="汉仪书宋二简" w:hAnsiTheme="majorHAnsi" w:cstheme="majorBidi"/>
          <w:bCs/>
          <w:sz w:val="24"/>
          <w:szCs w:val="28"/>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099"/>
        <w:gridCol w:w="7406"/>
      </w:tblGrid>
      <w:tr w14:paraId="4641257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1" w:type="dxa"/>
            <w:shd w:val="clear" w:color="auto" w:fill="auto"/>
            <w:vAlign w:val="center"/>
          </w:tcPr>
          <w:p w14:paraId="36F08B28">
            <w:pPr>
              <w:spacing w:before="31" w:beforeLines="10" w:after="62" w:afterLines="20" w:line="280" w:lineRule="exact"/>
              <w:ind w:firstLine="0" w:firstLineChars="0"/>
              <w:jc w:val="center"/>
              <w:rPr>
                <w:rFonts w:hint="eastAsia" w:ascii="汉仪中黑简" w:eastAsia="汉仪中黑简"/>
                <w:sz w:val="20"/>
                <w:szCs w:val="20"/>
                <w:lang w:val="zh-CN"/>
              </w:rPr>
            </w:pPr>
            <w:r>
              <w:rPr>
                <w:rFonts w:hint="eastAsia" w:ascii="汉仪中黑简" w:eastAsia="汉仪中黑简"/>
                <w:sz w:val="20"/>
                <w:szCs w:val="20"/>
                <w:lang w:val="zh-CN"/>
              </w:rPr>
              <w:t>告知范围</w:t>
            </w:r>
          </w:p>
        </w:tc>
        <w:tc>
          <w:tcPr>
            <w:tcW w:w="7421" w:type="dxa"/>
            <w:shd w:val="clear" w:color="auto" w:fill="auto"/>
            <w:vAlign w:val="center"/>
          </w:tcPr>
          <w:p w14:paraId="4517484F">
            <w:pPr>
              <w:spacing w:before="31" w:beforeLines="10" w:after="62" w:afterLines="20" w:line="280" w:lineRule="exact"/>
              <w:ind w:firstLine="0" w:firstLineChars="0"/>
              <w:rPr>
                <w:rFonts w:hint="eastAsia" w:ascii="汉仪书宋一简" w:eastAsia="汉仪书宋一简"/>
                <w:color w:val="FF0000"/>
                <w:sz w:val="20"/>
                <w:szCs w:val="20"/>
              </w:rPr>
            </w:pPr>
            <w:r>
              <w:rPr>
                <w:rFonts w:hint="eastAsia" w:ascii="汉仪中黑简" w:eastAsia="汉仪中黑简"/>
                <w:sz w:val="20"/>
                <w:szCs w:val="20"/>
                <w:lang w:val="zh-CN"/>
              </w:rPr>
              <w:t>①询问回答主义：</w:t>
            </w:r>
            <w:r>
              <w:rPr>
                <w:rFonts w:hint="eastAsia" w:ascii="汉仪书宋一简" w:eastAsia="汉仪书宋一简"/>
                <w:sz w:val="20"/>
                <w:szCs w:val="20"/>
              </w:rPr>
              <w:t>限于保险人询问的范围和内容。当事人对询问范围及内容有争议的，保险人负举证责任。投保单询问表中所列概括性条款无效，</w:t>
            </w:r>
            <w:r>
              <w:rPr>
                <w:rFonts w:hint="eastAsia" w:ascii="汉仪书宋一简" w:eastAsia="汉仪书宋一简"/>
                <w:color w:val="FF0000"/>
                <w:sz w:val="20"/>
                <w:szCs w:val="20"/>
              </w:rPr>
              <w:t>但该概括性条款有具体内容的除外</w:t>
            </w:r>
          </w:p>
          <w:p w14:paraId="293DE32E">
            <w:pPr>
              <w:spacing w:before="31" w:beforeLines="10" w:after="62" w:afterLines="20" w:line="280" w:lineRule="exact"/>
              <w:ind w:firstLine="0" w:firstLineChars="0"/>
              <w:rPr>
                <w:rFonts w:hint="eastAsia" w:ascii="汉仪书宋一简" w:eastAsia="汉仪书宋一简"/>
                <w:sz w:val="20"/>
                <w:szCs w:val="20"/>
              </w:rPr>
            </w:pPr>
            <w:r>
              <w:rPr>
                <w:rFonts w:hint="eastAsia" w:ascii="汉仪中黑简" w:eastAsia="汉仪中黑简"/>
                <w:sz w:val="20"/>
                <w:szCs w:val="20"/>
                <w:lang w:val="zh-CN"/>
              </w:rPr>
              <w:t>②以明知为限：</w:t>
            </w:r>
            <w:r>
              <w:rPr>
                <w:rFonts w:hint="eastAsia" w:ascii="汉仪书宋一简" w:eastAsia="汉仪书宋一简"/>
                <w:sz w:val="20"/>
                <w:szCs w:val="20"/>
              </w:rPr>
              <w:t>投保人明知的与保险标的或被保险人有关的情况，应当告知。被保险人根据保险人的要求在指定医疗服务机构进行体检，不免除告知义务。保险人知道体检结果的，不得主张投保人违反相关情况的告知义务</w:t>
            </w:r>
          </w:p>
        </w:tc>
      </w:tr>
      <w:tr w14:paraId="538771C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1" w:type="dxa"/>
            <w:vMerge w:val="restart"/>
            <w:shd w:val="clear" w:color="auto" w:fill="auto"/>
            <w:vAlign w:val="center"/>
          </w:tcPr>
          <w:p w14:paraId="4C462FB3">
            <w:pPr>
              <w:spacing w:before="31" w:beforeLines="10" w:after="62" w:afterLines="20" w:line="280" w:lineRule="exact"/>
              <w:ind w:firstLine="0" w:firstLineChars="0"/>
              <w:jc w:val="center"/>
              <w:rPr>
                <w:rFonts w:hint="eastAsia" w:ascii="汉仪中黑简" w:eastAsia="汉仪中黑简"/>
                <w:sz w:val="20"/>
                <w:szCs w:val="20"/>
                <w:lang w:val="zh-CN"/>
              </w:rPr>
            </w:pPr>
            <w:r>
              <w:rPr>
                <w:rFonts w:hint="eastAsia" w:ascii="汉仪中黑简" w:eastAsia="汉仪中黑简"/>
                <w:sz w:val="20"/>
                <w:szCs w:val="20"/>
                <w:lang w:val="zh-CN"/>
              </w:rPr>
              <w:t>法律后果</w:t>
            </w:r>
          </w:p>
        </w:tc>
        <w:tc>
          <w:tcPr>
            <w:tcW w:w="7421" w:type="dxa"/>
            <w:shd w:val="clear" w:color="auto" w:fill="auto"/>
            <w:vAlign w:val="center"/>
          </w:tcPr>
          <w:p w14:paraId="3BA0C317">
            <w:pPr>
              <w:spacing w:before="31" w:beforeLines="10" w:after="62" w:afterLines="20" w:line="280" w:lineRule="exact"/>
              <w:ind w:firstLine="0" w:firstLineChars="0"/>
              <w:rPr>
                <w:rFonts w:hint="eastAsia" w:ascii="汉仪书宋一简" w:eastAsia="汉仪书宋一简"/>
                <w:sz w:val="20"/>
                <w:szCs w:val="20"/>
              </w:rPr>
            </w:pPr>
            <w:r>
              <w:rPr>
                <w:rFonts w:hint="eastAsia" w:ascii="汉仪中黑简" w:eastAsia="汉仪中黑简"/>
                <w:sz w:val="20"/>
                <w:szCs w:val="20"/>
                <w:lang w:val="zh-CN"/>
              </w:rPr>
              <w:t>保险人有权解除合同。</w:t>
            </w:r>
            <w:r>
              <w:rPr>
                <w:rFonts w:hint="eastAsia" w:ascii="汉仪书宋一简" w:eastAsia="汉仪书宋一简"/>
                <w:sz w:val="20"/>
                <w:szCs w:val="20"/>
              </w:rPr>
              <w:t>保险人解除权的限制：</w:t>
            </w:r>
          </w:p>
          <w:p w14:paraId="216913C3">
            <w:pPr>
              <w:pStyle w:val="8"/>
              <w:numPr>
                <w:ilvl w:val="0"/>
                <w:numId w:val="11"/>
              </w:numPr>
              <w:spacing w:before="31" w:beforeLines="10" w:after="62" w:afterLines="20" w:line="280" w:lineRule="exact"/>
              <w:rPr>
                <w:rFonts w:hint="eastAsia" w:ascii="汉仪书宋一简" w:eastAsia="汉仪书宋一简"/>
                <w:sz w:val="20"/>
                <w:szCs w:val="20"/>
              </w:rPr>
            </w:pPr>
            <w:r>
              <w:rPr>
                <w:rFonts w:hint="eastAsia" w:ascii="汉仪书宋一简" w:eastAsia="汉仪书宋一简"/>
                <w:sz w:val="20"/>
                <w:szCs w:val="20"/>
              </w:rPr>
              <w:t>30天除斥期间</w:t>
            </w:r>
            <w:r>
              <w:rPr>
                <w:rFonts w:hint="eastAsia" w:ascii="汉仪书宋一简" w:hAnsi="楷体" w:eastAsia="汉仪书宋一简"/>
                <w:sz w:val="20"/>
                <w:szCs w:val="20"/>
              </w:rPr>
              <w:t>（自保险人知道有解除事由之日起，超过</w:t>
            </w:r>
            <w:r>
              <w:rPr>
                <w:rFonts w:hint="eastAsia" w:ascii="汉仪书宋一简" w:eastAsia="汉仪书宋一简"/>
                <w:sz w:val="20"/>
                <w:szCs w:val="20"/>
              </w:rPr>
              <w:t>30</w:t>
            </w:r>
            <w:r>
              <w:rPr>
                <w:rFonts w:hint="eastAsia" w:ascii="汉仪书宋一简" w:hAnsi="楷体" w:eastAsia="汉仪书宋一简"/>
                <w:sz w:val="20"/>
                <w:szCs w:val="20"/>
              </w:rPr>
              <w:t>日不行使而消灭）</w:t>
            </w:r>
          </w:p>
          <w:p w14:paraId="5727E17A">
            <w:pPr>
              <w:pStyle w:val="8"/>
              <w:numPr>
                <w:ilvl w:val="0"/>
                <w:numId w:val="12"/>
              </w:numPr>
              <w:spacing w:before="31" w:beforeLines="10" w:after="62" w:afterLines="20" w:line="280" w:lineRule="exact"/>
              <w:rPr>
                <w:rFonts w:hint="eastAsia" w:ascii="汉仪书宋一简" w:eastAsia="汉仪书宋一简"/>
                <w:color w:val="FF0000"/>
                <w:sz w:val="20"/>
                <w:szCs w:val="20"/>
              </w:rPr>
            </w:pPr>
            <w:r>
              <w:rPr>
                <w:rFonts w:hint="eastAsia" w:ascii="汉仪书宋一简" w:eastAsia="汉仪书宋一简"/>
                <w:color w:val="FF0000"/>
                <w:sz w:val="20"/>
                <w:szCs w:val="20"/>
              </w:rPr>
              <w:t>2年不可抗辩</w:t>
            </w:r>
            <w:r>
              <w:rPr>
                <w:rFonts w:hint="eastAsia" w:ascii="汉仪书宋一简" w:hAnsi="楷体" w:eastAsia="汉仪书宋一简"/>
                <w:color w:val="FF0000"/>
                <w:sz w:val="20"/>
                <w:szCs w:val="20"/>
              </w:rPr>
              <w:t>（自合同成立之日起超过</w:t>
            </w:r>
            <w:r>
              <w:rPr>
                <w:rFonts w:hint="eastAsia" w:ascii="汉仪书宋一简" w:eastAsia="汉仪书宋一简"/>
                <w:color w:val="FF0000"/>
                <w:sz w:val="20"/>
                <w:szCs w:val="20"/>
              </w:rPr>
              <w:t>2</w:t>
            </w:r>
            <w:r>
              <w:rPr>
                <w:rFonts w:hint="eastAsia" w:ascii="汉仪书宋一简" w:hAnsi="楷体" w:eastAsia="汉仪书宋一简"/>
                <w:color w:val="FF0000"/>
                <w:sz w:val="20"/>
                <w:szCs w:val="20"/>
              </w:rPr>
              <w:t>年的，保险人不得解除合同）产生了信赖</w:t>
            </w:r>
          </w:p>
          <w:p w14:paraId="3001E3A8">
            <w:pPr>
              <w:spacing w:before="31" w:beforeLines="10" w:after="62" w:afterLines="20" w:line="280" w:lineRule="exact"/>
              <w:ind w:firstLine="0" w:firstLineChars="0"/>
              <w:rPr>
                <w:rFonts w:hint="eastAsia" w:ascii="汉仪书宋一简" w:eastAsia="汉仪书宋一简"/>
                <w:b/>
                <w:sz w:val="20"/>
                <w:szCs w:val="20"/>
              </w:rPr>
            </w:pPr>
            <w:r>
              <w:rPr>
                <w:rFonts w:hint="eastAsia" w:ascii="汉仪书宋一简" w:eastAsia="汉仪书宋一简"/>
                <w:sz w:val="20"/>
                <w:szCs w:val="20"/>
              </w:rPr>
              <w:t>③弃权与禁止反言</w:t>
            </w:r>
            <w:r>
              <w:rPr>
                <w:rFonts w:hint="eastAsia" w:ascii="汉仪书宋一简" w:hAnsi="楷体" w:eastAsia="汉仪书宋一简"/>
                <w:sz w:val="20"/>
                <w:szCs w:val="20"/>
              </w:rPr>
              <w:t>（保险人在合同订立时已经知道投保人未如实告知的情况的，或者保险人在保险合同成立后知道或应当知道投保人未履行如实告知义务仍然收取保险费的，保险人不得解除合同）</w:t>
            </w:r>
          </w:p>
        </w:tc>
      </w:tr>
      <w:tr w14:paraId="71F7784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0E25DA82">
            <w:pPr>
              <w:spacing w:before="31" w:beforeLines="10" w:after="62" w:afterLines="20" w:line="280" w:lineRule="exact"/>
              <w:ind w:firstLine="0" w:firstLineChars="0"/>
              <w:rPr>
                <w:rFonts w:hint="eastAsia" w:ascii="汉仪书宋一简" w:eastAsia="汉仪书宋一简"/>
                <w:b/>
                <w:sz w:val="20"/>
                <w:szCs w:val="20"/>
              </w:rPr>
            </w:pPr>
          </w:p>
        </w:tc>
        <w:tc>
          <w:tcPr>
            <w:tcW w:w="7421" w:type="dxa"/>
            <w:shd w:val="clear" w:color="auto" w:fill="auto"/>
            <w:vAlign w:val="center"/>
          </w:tcPr>
          <w:p w14:paraId="5D3C6B91">
            <w:pPr>
              <w:spacing w:before="31" w:beforeLines="10" w:after="62" w:afterLines="20" w:line="280" w:lineRule="exact"/>
              <w:ind w:firstLine="0" w:firstLineChars="0"/>
              <w:rPr>
                <w:rFonts w:hint="eastAsia" w:ascii="汉仪书宋一简" w:eastAsia="汉仪书宋一简"/>
                <w:b/>
                <w:sz w:val="20"/>
                <w:szCs w:val="20"/>
              </w:rPr>
            </w:pPr>
            <w:r>
              <w:rPr>
                <w:rFonts w:hint="eastAsia" w:ascii="汉仪中黑简" w:eastAsia="汉仪中黑简"/>
                <w:sz w:val="20"/>
                <w:szCs w:val="20"/>
                <w:lang w:val="zh-CN"/>
              </w:rPr>
              <w:t>保险人不承担保险责任：</w:t>
            </w:r>
            <w:r>
              <w:rPr>
                <w:rFonts w:hint="eastAsia" w:ascii="汉仪书宋一简" w:eastAsia="汉仪书宋一简"/>
                <w:sz w:val="20"/>
                <w:szCs w:val="20"/>
              </w:rPr>
              <w:t>投保人故意不履行如实告知义务的，或者因重大过失未履行如实告知义务对保险事故的发生有严重影响的，保险人对于合同解除前发生的保险事故，不承担赔偿或者给付保险金的责任。</w:t>
            </w:r>
            <w:r>
              <w:rPr>
                <w:rFonts w:hint="eastAsia" w:ascii="汉仪书宋一简" w:eastAsia="汉仪书宋一简"/>
                <w:color w:val="FF0000"/>
                <w:sz w:val="20"/>
                <w:szCs w:val="20"/>
              </w:rPr>
              <w:t>保险人不行使解除权，仅主张拒绝赔偿的，不予支持</w:t>
            </w:r>
          </w:p>
        </w:tc>
      </w:tr>
      <w:tr w14:paraId="1B2769E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3DCF5859">
            <w:pPr>
              <w:spacing w:before="31" w:beforeLines="10" w:after="62" w:afterLines="20" w:line="280" w:lineRule="exact"/>
              <w:ind w:firstLine="0" w:firstLineChars="0"/>
              <w:rPr>
                <w:rFonts w:hint="eastAsia" w:ascii="汉仪书宋一简" w:eastAsia="汉仪书宋一简"/>
                <w:b/>
                <w:sz w:val="20"/>
                <w:szCs w:val="20"/>
              </w:rPr>
            </w:pPr>
          </w:p>
        </w:tc>
        <w:tc>
          <w:tcPr>
            <w:tcW w:w="7421" w:type="dxa"/>
            <w:shd w:val="clear" w:color="auto" w:fill="auto"/>
            <w:vAlign w:val="center"/>
          </w:tcPr>
          <w:p w14:paraId="2F0D2BA5">
            <w:pPr>
              <w:spacing w:before="31" w:beforeLines="10" w:after="62" w:afterLines="20" w:line="280" w:lineRule="exact"/>
              <w:ind w:firstLine="0" w:firstLineChars="0"/>
              <w:rPr>
                <w:rFonts w:ascii="汉仪书宋一简" w:hAnsi="楷体" w:eastAsia="汉仪书宋一简" w:cs="楷体"/>
                <w:sz w:val="20"/>
                <w:szCs w:val="20"/>
              </w:rPr>
            </w:pPr>
            <w:r>
              <w:rPr>
                <w:rFonts w:hint="eastAsia" w:ascii="汉仪中黑简" w:eastAsia="汉仪中黑简"/>
                <w:sz w:val="20"/>
                <w:szCs w:val="20"/>
                <w:lang w:val="zh-CN"/>
              </w:rPr>
              <w:t>保险人是否退还保险费：</w:t>
            </w:r>
            <w:r>
              <w:rPr>
                <w:rFonts w:hint="eastAsia" w:ascii="汉仪书宋一简" w:hAnsi="楷体" w:eastAsia="汉仪书宋一简" w:cs="楷体"/>
                <w:sz w:val="20"/>
                <w:szCs w:val="20"/>
              </w:rPr>
              <w:t>故意违反的不退还，重大过失违反的应当退还</w:t>
            </w:r>
          </w:p>
          <w:p w14:paraId="567D2CAA">
            <w:pPr>
              <w:spacing w:before="31" w:beforeLines="10" w:after="62" w:afterLines="20" w:line="280" w:lineRule="exact"/>
              <w:ind w:firstLine="0" w:firstLineChars="0"/>
              <w:rPr>
                <w:rFonts w:hint="eastAsia" w:ascii="汉仪书宋一简" w:eastAsia="汉仪书宋一简"/>
                <w:b/>
                <w:sz w:val="20"/>
                <w:szCs w:val="20"/>
              </w:rPr>
            </w:pPr>
            <w:r>
              <w:rPr>
                <w:rFonts w:hint="eastAsia" w:ascii="汉仪书宋一简" w:hAnsi="楷体" w:eastAsia="汉仪书宋一简" w:cs="楷体"/>
                <w:color w:val="FF0000"/>
                <w:sz w:val="20"/>
                <w:szCs w:val="20"/>
              </w:rPr>
              <w:t>解除合同原则都要退保费</w:t>
            </w:r>
          </w:p>
        </w:tc>
      </w:tr>
    </w:tbl>
    <w:p w14:paraId="65FE8A0D">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考点36  </w:t>
      </w:r>
      <w:r>
        <w:rPr>
          <w:rFonts w:hint="eastAsia" w:ascii="汉仪粗宋简" w:hAnsi="Times New Roman" w:eastAsia="汉仪大宋简" w:cs="汉仪粗宋简"/>
          <w:b/>
          <w:bCs/>
          <w:color w:val="000000"/>
          <w:kern w:val="0"/>
          <w:position w:val="4"/>
          <w:sz w:val="26"/>
          <w:szCs w:val="26"/>
          <w:lang w:val="zh-CN"/>
        </w:rPr>
        <w:t>保险合同的解除</w:t>
      </w:r>
    </w:p>
    <w:p w14:paraId="7103033D">
      <w:pPr>
        <w:ind w:firstLine="520"/>
        <w:rPr>
          <w:rFonts w:hint="eastAsia" w:ascii="汉仪书宋二简"/>
          <w:sz w:val="26"/>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983"/>
        <w:gridCol w:w="7522"/>
      </w:tblGrid>
      <w:tr w14:paraId="025565B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983" w:type="dxa"/>
            <w:shd w:val="clear" w:color="auto" w:fill="auto"/>
            <w:vAlign w:val="center"/>
          </w:tcPr>
          <w:p w14:paraId="1BA0384B">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保险人</w:t>
            </w:r>
          </w:p>
        </w:tc>
        <w:tc>
          <w:tcPr>
            <w:tcW w:w="7522" w:type="dxa"/>
            <w:shd w:val="clear" w:color="auto" w:fill="auto"/>
            <w:vAlign w:val="center"/>
          </w:tcPr>
          <w:p w14:paraId="6C9C55E8">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通常不得解除合同，但保险法规定了例外：</w:t>
            </w:r>
          </w:p>
          <w:p w14:paraId="44989C1E">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hAnsi="楷体" w:eastAsia="汉仪书宋一简" w:cs="楷体"/>
                <w:sz w:val="20"/>
                <w:szCs w:val="20"/>
              </w:rPr>
              <w:t>①投保人违反告知义务</w:t>
            </w:r>
          </w:p>
          <w:p w14:paraId="2DAA0809">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hAnsi="楷体" w:eastAsia="汉仪书宋一简" w:cs="楷体"/>
                <w:sz w:val="20"/>
                <w:szCs w:val="20"/>
              </w:rPr>
              <w:t>②被保险人或受益人谎称发生事故索赔</w:t>
            </w:r>
          </w:p>
          <w:p w14:paraId="6F0312A4">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hAnsi="楷体" w:eastAsia="汉仪书宋一简" w:cs="楷体"/>
                <w:sz w:val="20"/>
                <w:szCs w:val="20"/>
              </w:rPr>
              <w:t>③投保人、被保险人故意造成保险事故</w:t>
            </w:r>
          </w:p>
          <w:p w14:paraId="63EF0175">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hAnsi="楷体" w:eastAsia="汉仪书宋一简" w:cs="楷体"/>
                <w:sz w:val="20"/>
                <w:szCs w:val="20"/>
              </w:rPr>
              <w:t>④投保人、被保险人未按约定履行对保险标的的安全保护义务</w:t>
            </w:r>
          </w:p>
          <w:p w14:paraId="6317C449">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hAnsi="楷体" w:eastAsia="汉仪书宋一简" w:cs="楷体"/>
                <w:sz w:val="20"/>
                <w:szCs w:val="20"/>
              </w:rPr>
              <w:t>⑤保险标的危险程度显著增加</w:t>
            </w:r>
          </w:p>
          <w:p w14:paraId="21D21C1B">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hAnsi="楷体" w:eastAsia="汉仪书宋一简" w:cs="楷体"/>
                <w:sz w:val="20"/>
                <w:szCs w:val="20"/>
              </w:rPr>
              <w:t>⑥投保人申报的年龄不真实且真实年龄不能投保</w:t>
            </w:r>
          </w:p>
          <w:p w14:paraId="4E176075">
            <w:pPr>
              <w:spacing w:before="31" w:beforeLines="10" w:after="62" w:afterLines="20" w:line="280" w:lineRule="exact"/>
              <w:ind w:firstLine="0" w:firstLineChars="0"/>
              <w:rPr>
                <w:rFonts w:ascii="汉仪书宋一简" w:hAnsi="楷体" w:eastAsia="汉仪书宋一简" w:cs="楷体"/>
                <w:sz w:val="20"/>
                <w:szCs w:val="20"/>
              </w:rPr>
            </w:pPr>
            <w:r>
              <w:rPr>
                <w:rFonts w:hint="eastAsia" w:ascii="汉仪书宋一简" w:hAnsi="楷体" w:eastAsia="汉仪书宋一简" w:cs="楷体"/>
                <w:sz w:val="20"/>
                <w:szCs w:val="20"/>
              </w:rPr>
              <w:t>⑦人身保险合同效力中止满2年未复效</w:t>
            </w:r>
          </w:p>
          <w:p w14:paraId="148D0DC1">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hAnsi="楷体" w:eastAsia="汉仪书宋一简" w:cs="楷体"/>
                <w:sz w:val="20"/>
                <w:szCs w:val="20"/>
              </w:rPr>
              <w:t>故</w:t>
            </w:r>
            <w:r>
              <w:rPr>
                <w:rFonts w:hint="eastAsia" w:ascii="汉仪书宋一简" w:hAnsi="楷体" w:eastAsia="汉仪书宋一简" w:cs="楷体"/>
                <w:color w:val="FF0000"/>
                <w:sz w:val="20"/>
                <w:szCs w:val="20"/>
              </w:rPr>
              <w:t>意违反告知义务不退保费，其余都退</w:t>
            </w:r>
          </w:p>
        </w:tc>
      </w:tr>
      <w:tr w14:paraId="68ADD90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983" w:type="dxa"/>
            <w:shd w:val="clear" w:color="auto" w:fill="auto"/>
            <w:vAlign w:val="center"/>
          </w:tcPr>
          <w:p w14:paraId="212B73E6">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投保人</w:t>
            </w:r>
          </w:p>
        </w:tc>
        <w:tc>
          <w:tcPr>
            <w:tcW w:w="7522" w:type="dxa"/>
            <w:shd w:val="clear" w:color="auto" w:fill="auto"/>
            <w:vAlign w:val="center"/>
          </w:tcPr>
          <w:p w14:paraId="1B09F94E">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通常可以解除合同。人身保险中，保险人应按照合同约定向投保人退还保险单的现金价值。财产保险中，保险人应当扣除手续费后退还保险费，或按比例退还保险费</w:t>
            </w:r>
          </w:p>
        </w:tc>
      </w:tr>
      <w:tr w14:paraId="3049E84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983" w:type="dxa"/>
            <w:shd w:val="clear" w:color="auto" w:fill="auto"/>
            <w:vAlign w:val="center"/>
          </w:tcPr>
          <w:p w14:paraId="706C14D8">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例外</w:t>
            </w:r>
          </w:p>
        </w:tc>
        <w:tc>
          <w:tcPr>
            <w:tcW w:w="7522" w:type="dxa"/>
            <w:shd w:val="clear" w:color="auto" w:fill="auto"/>
            <w:vAlign w:val="center"/>
          </w:tcPr>
          <w:p w14:paraId="7D6895DB">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货物运输保险合同和运输工具航程保险合同，保险责任开始后，合同当事人不得解除合同</w:t>
            </w:r>
          </w:p>
        </w:tc>
      </w:tr>
    </w:tbl>
    <w:p w14:paraId="525A07DF">
      <w:pPr>
        <w:tabs>
          <w:tab w:val="clear" w:pos="420"/>
        </w:tabs>
        <w:autoSpaceDE w:val="0"/>
        <w:autoSpaceDN w:val="0"/>
        <w:adjustRightInd w:val="0"/>
        <w:ind w:firstLine="0" w:firstLineChars="0"/>
        <w:jc w:val="center"/>
        <w:textAlignment w:val="center"/>
        <w:rPr>
          <w:rFonts w:hint="eastAsia" w:ascii="汉仪粗宋简" w:hAnsi="Times New Roman" w:eastAsia="汉仪大宋简" w:cs="汉仪粗宋简"/>
          <w:color w:val="FF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考点37  </w:t>
      </w:r>
      <w:r>
        <w:rPr>
          <w:rFonts w:hint="eastAsia" w:ascii="汉仪粗宋简" w:hAnsi="Times New Roman" w:eastAsia="汉仪大宋简" w:cs="汉仪粗宋简"/>
          <w:b/>
          <w:bCs/>
          <w:color w:val="000000"/>
          <w:kern w:val="0"/>
          <w:position w:val="4"/>
          <w:sz w:val="26"/>
          <w:szCs w:val="26"/>
          <w:lang w:val="zh-CN"/>
        </w:rPr>
        <w:t xml:space="preserve">人身保险合同 </w:t>
      </w:r>
      <w:r>
        <w:rPr>
          <w:rFonts w:hint="eastAsia" w:ascii="汉仪粗宋简" w:hAnsi="Times New Roman" w:eastAsia="汉仪大宋简" w:cs="汉仪粗宋简"/>
          <w:color w:val="FF0000"/>
          <w:kern w:val="0"/>
          <w:position w:val="4"/>
          <w:sz w:val="26"/>
          <w:szCs w:val="26"/>
          <w:lang w:val="zh-CN"/>
        </w:rPr>
        <w:t>不是损失补偿 是定额给付</w:t>
      </w:r>
    </w:p>
    <w:p w14:paraId="62ECC476">
      <w:pPr>
        <w:pStyle w:val="3"/>
        <w:ind w:firstLine="336" w:firstLineChars="120"/>
        <w:rPr>
          <w:rFonts w:hint="eastAsia"/>
        </w:rPr>
      </w:pPr>
      <w:r>
        <w:rPr>
          <w:rFonts w:hint="eastAsia"/>
        </w:rPr>
        <w:t>（一）死亡保险的限制</w:t>
      </w:r>
    </w:p>
    <w:p w14:paraId="3039C387">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1．行为能力限制</w:t>
      </w:r>
    </w:p>
    <w:p w14:paraId="330ED1A9">
      <w:pPr>
        <w:ind w:firstLine="420"/>
        <w:rPr>
          <w:rFonts w:hint="eastAsia" w:ascii="汉仪书宋二简"/>
          <w:kern w:val="0"/>
        </w:rPr>
      </w:pPr>
      <w:r>
        <w:rPr>
          <w:rFonts w:hint="eastAsia" w:ascii="汉仪书宋二简"/>
          <w:kern w:val="0"/>
        </w:rPr>
        <w:t>投保人不得为无民事行为能力人投保以死亡为给付保险金条件的人身保险，保险人也不得承保。</w:t>
      </w:r>
      <w:r>
        <w:rPr>
          <w:rFonts w:hint="eastAsia" w:ascii="汉仪书宋二简"/>
          <w:color w:val="FF0000"/>
          <w:kern w:val="0"/>
        </w:rPr>
        <w:t>父母为其未成年子女投保的人身保险</w:t>
      </w:r>
      <w:r>
        <w:rPr>
          <w:rFonts w:hint="eastAsia" w:ascii="汉仪书宋二简"/>
          <w:kern w:val="0"/>
        </w:rPr>
        <w:t>，不受此限制，但是死亡保险金总和不得超过保监会规定的限额。</w:t>
      </w:r>
    </w:p>
    <w:p w14:paraId="5A8DFC09">
      <w:pPr>
        <w:ind w:firstLine="420"/>
        <w:rPr>
          <w:rFonts w:hint="eastAsia" w:ascii="汉仪书宋二简"/>
          <w:kern w:val="0"/>
        </w:rPr>
      </w:pPr>
      <w:r>
        <w:rPr>
          <w:rFonts w:hint="eastAsia" w:ascii="汉仪书宋二简"/>
          <w:kern w:val="0"/>
        </w:rPr>
        <w:t>父母之外的其他履行监护职责的人为未成年人订立以死亡为给付保险金条件的合同，合同无效，但经未成年人父母同意的除外。</w:t>
      </w:r>
    </w:p>
    <w:p w14:paraId="140AD597">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2．被保险人同意</w:t>
      </w:r>
    </w:p>
    <w:p w14:paraId="7EB0C00B">
      <w:pPr>
        <w:ind w:firstLine="420"/>
        <w:rPr>
          <w:rFonts w:ascii="汉仪书宋二简"/>
          <w:kern w:val="0"/>
        </w:rPr>
      </w:pPr>
      <w:r>
        <w:rPr>
          <w:rFonts w:hint="eastAsia" w:ascii="汉仪书宋二简"/>
          <w:kern w:val="0"/>
        </w:rPr>
        <w:t>以死亡为给付保险金条件的合同，未经被保险人</w:t>
      </w:r>
      <w:r>
        <w:rPr>
          <w:rFonts w:hint="eastAsia" w:ascii="汉仪书宋二简" w:hAnsi="楷体" w:eastAsia="汉仪中黑简" w:cs="楷体"/>
          <w:color w:val="FF0000"/>
          <w:kern w:val="0"/>
        </w:rPr>
        <w:t>同意并认可</w:t>
      </w:r>
      <w:r>
        <w:rPr>
          <w:rFonts w:hint="eastAsia" w:ascii="汉仪书宋二简"/>
          <w:kern w:val="0"/>
        </w:rPr>
        <w:t>保险金额的，合同无效。有下列情形之一的，应认定为被保险人同意投保人为其订立保险合同并认可保险金额：被保险人明知他人代其签名同意而未表示异议的；被保险人同意投保人指定的受益人的；有证据足以认定被保险人同意投保人为其投保的其他情形。被保险人以书面形式通知保险人和投保人撤销同意意思表示的，可认定为保险合同解除。</w:t>
      </w:r>
    </w:p>
    <w:p w14:paraId="69E2DBC9">
      <w:pPr>
        <w:ind w:firstLine="420"/>
        <w:rPr>
          <w:rFonts w:hint="eastAsia" w:ascii="汉仪书宋二简"/>
          <w:color w:val="FF0000"/>
          <w:kern w:val="0"/>
        </w:rPr>
      </w:pPr>
      <w:r>
        <w:rPr>
          <w:rFonts w:hint="eastAsia" w:ascii="汉仪书宋二简"/>
          <w:color w:val="FF0000"/>
          <w:kern w:val="0"/>
        </w:rPr>
        <w:t>需要实质审查</w:t>
      </w:r>
    </w:p>
    <w:p w14:paraId="5DC45D0E">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3．保单转让与质押</w:t>
      </w:r>
    </w:p>
    <w:p w14:paraId="25FDDB21">
      <w:pPr>
        <w:ind w:firstLine="420"/>
        <w:rPr>
          <w:rFonts w:hint="eastAsia" w:ascii="汉仪书宋二简"/>
          <w:kern w:val="0"/>
        </w:rPr>
      </w:pPr>
      <w:r>
        <w:rPr>
          <w:rFonts w:hint="eastAsia" w:ascii="汉仪书宋二简"/>
          <w:kern w:val="0"/>
        </w:rPr>
        <w:t>按照以死亡为给付保险金条件的合同所签发的保险单，未经被保险人</w:t>
      </w:r>
      <w:r>
        <w:rPr>
          <w:rFonts w:hint="eastAsia" w:ascii="汉仪书宋二简" w:hAnsi="楷体" w:eastAsia="汉仪中黑简" w:cs="楷体"/>
          <w:color w:val="FF0000"/>
          <w:kern w:val="0"/>
        </w:rPr>
        <w:t>书面同意</w:t>
      </w:r>
      <w:r>
        <w:rPr>
          <w:rFonts w:hint="eastAsia" w:ascii="汉仪书宋二简"/>
          <w:kern w:val="0"/>
        </w:rPr>
        <w:t>，不得转让或质押。</w:t>
      </w:r>
    </w:p>
    <w:p w14:paraId="16CC43C1">
      <w:pPr>
        <w:pStyle w:val="3"/>
        <w:ind w:firstLine="336" w:firstLineChars="120"/>
        <w:rPr>
          <w:rFonts w:hint="eastAsia"/>
        </w:rPr>
      </w:pPr>
      <w:bookmarkStart w:id="3" w:name="OLE_LINK4"/>
      <w:r>
        <w:rPr>
          <w:rFonts w:hint="eastAsia"/>
        </w:rPr>
        <w:t>（二）中止与复效</w:t>
      </w:r>
    </w:p>
    <w:bookmarkEnd w:id="3"/>
    <w:p w14:paraId="57DF007B">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1．宽限期</w:t>
      </w:r>
    </w:p>
    <w:p w14:paraId="21225869">
      <w:pPr>
        <w:ind w:firstLine="420"/>
        <w:rPr>
          <w:rFonts w:hint="eastAsia" w:ascii="汉仪书宋二简"/>
        </w:rPr>
      </w:pPr>
      <w:r>
        <w:rPr>
          <w:rFonts w:hint="eastAsia" w:ascii="汉仪书宋二简"/>
          <w:kern w:val="0"/>
        </w:rPr>
        <w:t>（1）可以由合同约定，或保险人催告之日30天，或缴费日起60天；（2）宽限期内</w:t>
      </w:r>
      <w:r>
        <w:rPr>
          <w:rFonts w:hint="eastAsia" w:ascii="汉仪书宋二简"/>
        </w:rPr>
        <w:t>发生保险事故的，保险人应当给付保险金，但可以扣减欠交的保险费。</w:t>
      </w:r>
    </w:p>
    <w:p w14:paraId="3DA672EF">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2．中止期</w:t>
      </w:r>
    </w:p>
    <w:p w14:paraId="35941CE8">
      <w:pPr>
        <w:ind w:firstLine="420"/>
        <w:rPr>
          <w:rFonts w:hint="eastAsia" w:ascii="汉仪书宋二简"/>
          <w:kern w:val="0"/>
        </w:rPr>
      </w:pPr>
      <w:r>
        <w:rPr>
          <w:rFonts w:hint="eastAsia" w:ascii="汉仪书宋二简"/>
          <w:kern w:val="0"/>
        </w:rPr>
        <w:t>（1）最长2年</w:t>
      </w:r>
      <w:r>
        <w:rPr>
          <w:rFonts w:hint="eastAsia" w:ascii="汉仪书宋二简"/>
          <w:color w:val="FF0000"/>
          <w:kern w:val="0"/>
        </w:rPr>
        <w:t>，满2年后保险人有权解除合同，退还保单现金价值</w:t>
      </w:r>
      <w:r>
        <w:rPr>
          <w:rFonts w:hint="eastAsia" w:ascii="汉仪书宋二简"/>
          <w:kern w:val="0"/>
        </w:rPr>
        <w:t>；（2）投保人提出恢复效力申请并同意补交保险费的，除被保险人的危险程度在中止期间显著增加外，保险人不得拒绝。保险人在收到恢复效力申请后，30日内未明确拒绝的，应认定为同意恢复效力。保险合同自投保人补交保险费之日恢复效力。保险人有权要求投保人补交相应利息。</w:t>
      </w:r>
    </w:p>
    <w:p w14:paraId="0E25C1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int="eastAsia" w:ascii="汉仪书宋二简" w:hAnsiTheme="majorHAnsi" w:cstheme="majorBidi"/>
          <w:bCs/>
          <w:sz w:val="24"/>
          <w:szCs w:val="28"/>
        </w:rPr>
      </w:pPr>
    </w:p>
    <w:p w14:paraId="5971C852">
      <w:pPr>
        <w:pStyle w:val="3"/>
        <w:ind w:firstLine="336" w:firstLineChars="120"/>
        <w:rPr>
          <w:rFonts w:hint="eastAsia"/>
        </w:rPr>
      </w:pPr>
      <w:r>
        <w:rPr>
          <w:rFonts w:hint="eastAsia"/>
        </w:rPr>
        <w:t>（三）法定除外责任</w:t>
      </w:r>
    </w:p>
    <w:p w14:paraId="7D1EE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int="eastAsia" w:ascii="汉仪书宋二简" w:hAnsiTheme="majorHAnsi" w:cstheme="majorBidi"/>
          <w:bCs/>
          <w:sz w:val="24"/>
          <w:szCs w:val="28"/>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550"/>
        <w:gridCol w:w="6955"/>
      </w:tblGrid>
      <w:tr w14:paraId="2F790CC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jc w:val="center"/>
        </w:trPr>
        <w:tc>
          <w:tcPr>
            <w:tcW w:w="911" w:type="pct"/>
            <w:shd w:val="clear" w:color="auto" w:fill="auto"/>
            <w:vAlign w:val="center"/>
          </w:tcPr>
          <w:p w14:paraId="25E61E14">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投保人故意</w:t>
            </w:r>
          </w:p>
        </w:tc>
        <w:tc>
          <w:tcPr>
            <w:tcW w:w="4089" w:type="pct"/>
            <w:shd w:val="clear" w:color="auto" w:fill="auto"/>
            <w:vAlign w:val="center"/>
          </w:tcPr>
          <w:p w14:paraId="081CAE2D">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①保险人不承担给付保险金的责任</w:t>
            </w:r>
          </w:p>
          <w:p w14:paraId="4F529DB5">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sz w:val="20"/>
                <w:szCs w:val="20"/>
              </w:rPr>
              <w:t>②投保人已交足2年以上保险费的，保险人应向其他权利人退还保险单的现金价值。</w:t>
            </w:r>
            <w:r>
              <w:rPr>
                <w:rFonts w:hint="eastAsia" w:ascii="汉仪书宋一简" w:eastAsia="汉仪书宋一简"/>
                <w:kern w:val="0"/>
                <w:sz w:val="20"/>
                <w:szCs w:val="20"/>
              </w:rPr>
              <w:t>其他权利人按照被保险人、被保险人继承人的顺序确定</w:t>
            </w:r>
          </w:p>
        </w:tc>
      </w:tr>
      <w:tr w14:paraId="769CFEF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911" w:type="pct"/>
            <w:shd w:val="clear" w:color="auto" w:fill="auto"/>
            <w:vAlign w:val="center"/>
          </w:tcPr>
          <w:p w14:paraId="51EC414D">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被保险人自杀</w:t>
            </w:r>
          </w:p>
        </w:tc>
        <w:tc>
          <w:tcPr>
            <w:tcW w:w="4089" w:type="pct"/>
            <w:shd w:val="clear" w:color="auto" w:fill="auto"/>
            <w:vAlign w:val="center"/>
          </w:tcPr>
          <w:p w14:paraId="6F920F58">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①</w:t>
            </w:r>
            <w:r>
              <w:rPr>
                <w:rFonts w:hint="eastAsia" w:ascii="汉仪书宋一简" w:hAnsi="楷体" w:eastAsia="汉仪书宋一简" w:cs="楷体"/>
                <w:sz w:val="20"/>
                <w:szCs w:val="20"/>
              </w:rPr>
              <w:t>自合同成立或复效之日起2年内</w:t>
            </w:r>
            <w:r>
              <w:rPr>
                <w:rFonts w:hint="eastAsia" w:ascii="汉仪书宋一简" w:eastAsia="汉仪书宋一简"/>
                <w:sz w:val="20"/>
                <w:szCs w:val="20"/>
              </w:rPr>
              <w:t>，被保险人自杀的，保险人免责，退还保单现金价值，但被保险人自杀时为无民事行为能力人的除外</w:t>
            </w:r>
          </w:p>
          <w:p w14:paraId="1E543445">
            <w:pPr>
              <w:spacing w:before="31" w:beforeLines="10" w:after="62" w:afterLines="20" w:line="280" w:lineRule="exact"/>
              <w:ind w:firstLine="0" w:firstLineChars="0"/>
              <w:rPr>
                <w:rFonts w:ascii="汉仪书宋一简" w:eastAsia="汉仪书宋一简"/>
                <w:sz w:val="20"/>
                <w:szCs w:val="20"/>
              </w:rPr>
            </w:pPr>
            <w:r>
              <w:rPr>
                <w:rFonts w:hint="eastAsia" w:ascii="汉仪书宋一简" w:eastAsia="汉仪书宋一简"/>
                <w:sz w:val="20"/>
                <w:szCs w:val="20"/>
              </w:rPr>
              <w:t>②保险人对自杀负举证责任，保险金请求权人对无行为能力负举证责任</w:t>
            </w:r>
          </w:p>
          <w:p w14:paraId="5163A425">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color w:val="FF0000"/>
                <w:sz w:val="20"/>
                <w:szCs w:val="20"/>
              </w:rPr>
              <w:t>2年后自杀要赔偿</w:t>
            </w:r>
          </w:p>
        </w:tc>
      </w:tr>
      <w:tr w14:paraId="00176E4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911" w:type="pct"/>
            <w:shd w:val="clear" w:color="auto" w:fill="auto"/>
            <w:vAlign w:val="center"/>
          </w:tcPr>
          <w:p w14:paraId="7FEE86FF">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被保险人犯罪</w:t>
            </w:r>
          </w:p>
        </w:tc>
        <w:tc>
          <w:tcPr>
            <w:tcW w:w="4089" w:type="pct"/>
            <w:shd w:val="clear" w:color="auto" w:fill="auto"/>
            <w:vAlign w:val="center"/>
          </w:tcPr>
          <w:p w14:paraId="7CBDDE3E">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①因被保险人故意犯罪或抗拒依法采取的刑事强制措施导致其伤残或者死亡的，保险人免责</w:t>
            </w:r>
          </w:p>
          <w:p w14:paraId="1B03E93C">
            <w:pPr>
              <w:spacing w:before="31" w:beforeLines="10" w:after="62" w:afterLines="20" w:line="280" w:lineRule="exact"/>
              <w:ind w:firstLine="0" w:firstLineChars="0"/>
              <w:rPr>
                <w:rFonts w:hint="eastAsia" w:ascii="汉仪书宋一简" w:hAnsi="楷体" w:eastAsia="汉仪书宋一简"/>
                <w:kern w:val="0"/>
                <w:sz w:val="20"/>
                <w:szCs w:val="20"/>
              </w:rPr>
            </w:pPr>
            <w:r>
              <w:rPr>
                <w:rFonts w:hint="eastAsia" w:ascii="汉仪书宋一简" w:eastAsia="汉仪书宋一简"/>
                <w:sz w:val="20"/>
                <w:szCs w:val="20"/>
              </w:rPr>
              <w:t>②投保人已交足2年以上保险费的，保险人应退还保险单的现金价值</w:t>
            </w:r>
          </w:p>
        </w:tc>
      </w:tr>
    </w:tbl>
    <w:p w14:paraId="1DED63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int="eastAsia" w:ascii="汉仪书宋二简" w:hAnsiTheme="majorHAnsi" w:cstheme="majorBidi"/>
          <w:bCs/>
          <w:sz w:val="24"/>
          <w:szCs w:val="28"/>
        </w:rPr>
      </w:pPr>
    </w:p>
    <w:p w14:paraId="371754D9">
      <w:pPr>
        <w:pStyle w:val="3"/>
        <w:ind w:firstLine="336" w:firstLineChars="120"/>
        <w:rPr>
          <w:rFonts w:hint="eastAsia"/>
        </w:rPr>
      </w:pPr>
      <w:r>
        <w:rPr>
          <w:rFonts w:hint="eastAsia"/>
        </w:rPr>
        <w:t>（四）保险金的给付</w:t>
      </w:r>
    </w:p>
    <w:p w14:paraId="151EE9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int="eastAsia" w:ascii="汉仪书宋二简" w:hAnsiTheme="majorHAnsi" w:cstheme="majorBidi"/>
          <w:bCs/>
          <w:sz w:val="24"/>
          <w:szCs w:val="28"/>
        </w:rPr>
      </w:pPr>
    </w:p>
    <w:tbl>
      <w:tblPr>
        <w:tblStyle w:val="5"/>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408"/>
        <w:gridCol w:w="7097"/>
      </w:tblGrid>
      <w:tr w14:paraId="70C28B6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17" w:hRule="atLeast"/>
          <w:jc w:val="center"/>
        </w:trPr>
        <w:tc>
          <w:tcPr>
            <w:tcW w:w="828" w:type="pct"/>
            <w:shd w:val="clear" w:color="auto" w:fill="auto"/>
            <w:vAlign w:val="center"/>
          </w:tcPr>
          <w:p w14:paraId="5DF04663">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给付顺序</w:t>
            </w:r>
          </w:p>
        </w:tc>
        <w:tc>
          <w:tcPr>
            <w:tcW w:w="4172" w:type="pct"/>
            <w:shd w:val="clear" w:color="auto" w:fill="auto"/>
            <w:vAlign w:val="center"/>
          </w:tcPr>
          <w:p w14:paraId="65C925F8">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受益人或其继承人—被保险人—被保险人的继承人</w:t>
            </w:r>
          </w:p>
        </w:tc>
      </w:tr>
      <w:tr w14:paraId="67C4F8E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095" w:hRule="atLeast"/>
          <w:jc w:val="center"/>
        </w:trPr>
        <w:tc>
          <w:tcPr>
            <w:tcW w:w="828" w:type="pct"/>
            <w:vMerge w:val="restart"/>
            <w:shd w:val="clear" w:color="auto" w:fill="auto"/>
            <w:vAlign w:val="center"/>
          </w:tcPr>
          <w:p w14:paraId="726B1FB2">
            <w:pPr>
              <w:spacing w:before="31" w:beforeLines="10" w:after="62" w:afterLines="20" w:line="280" w:lineRule="exact"/>
              <w:ind w:firstLine="0" w:firstLineChars="0"/>
              <w:jc w:val="center"/>
              <w:rPr>
                <w:rFonts w:hint="eastAsia" w:ascii="汉仪中黑简" w:eastAsia="汉仪中黑简"/>
                <w:bCs/>
                <w:kern w:val="0"/>
                <w:sz w:val="20"/>
                <w:szCs w:val="20"/>
              </w:rPr>
            </w:pPr>
            <w:r>
              <w:rPr>
                <w:rFonts w:hint="eastAsia" w:ascii="汉仪中黑简" w:eastAsia="汉仪中黑简"/>
                <w:bCs/>
                <w:kern w:val="0"/>
                <w:sz w:val="20"/>
                <w:szCs w:val="20"/>
              </w:rPr>
              <w:t>保险金继承</w:t>
            </w:r>
          </w:p>
        </w:tc>
        <w:tc>
          <w:tcPr>
            <w:tcW w:w="4172" w:type="pct"/>
            <w:shd w:val="clear" w:color="auto" w:fill="auto"/>
            <w:vAlign w:val="center"/>
          </w:tcPr>
          <w:p w14:paraId="12ABE6E1">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被保险人死亡后，有下列情形之一的，保险金作为被保险人的遗产，由保险人依照《继承法》的规定履行给付保险金的义务：①没有指定受益人，或受益人指定不明无法确定的；②受益人先于被保险人死亡，没有其他受益人的</w:t>
            </w:r>
            <w:r>
              <w:rPr>
                <w:rFonts w:hint="eastAsia" w:ascii="汉仪书宋一简" w:hAnsi="SimSong Regular" w:eastAsia="汉仪书宋一简" w:cs="SimSong Regular"/>
                <w:sz w:val="20"/>
                <w:szCs w:val="20"/>
              </w:rPr>
              <w:t>（受益人与被</w:t>
            </w:r>
            <w:r>
              <w:rPr>
                <w:rFonts w:hint="eastAsia" w:ascii="汉仪书宋一简" w:hAnsi="SimSong Regular" w:eastAsia="汉仪书宋一简" w:cs="SimSong Regular"/>
                <w:color w:val="FF0000"/>
                <w:sz w:val="20"/>
                <w:szCs w:val="20"/>
              </w:rPr>
              <w:t>保险人在同一事件中死亡，且不能确定死亡先后顺序的，</w:t>
            </w:r>
            <w:r>
              <w:rPr>
                <w:rFonts w:hint="eastAsia" w:ascii="汉仪书宋一简" w:hAnsi="楷体" w:eastAsia="汉仪书宋一简"/>
                <w:color w:val="FF0000"/>
                <w:sz w:val="20"/>
                <w:szCs w:val="20"/>
              </w:rPr>
              <w:t>推定受益人死亡在先）</w:t>
            </w:r>
            <w:r>
              <w:rPr>
                <w:rFonts w:hint="eastAsia" w:ascii="汉仪书宋一简" w:eastAsia="汉仪书宋一简"/>
                <w:sz w:val="20"/>
                <w:szCs w:val="20"/>
              </w:rPr>
              <w:t>；③受益人依法丧失受益权或者放弃受益权，没有其他受益人的</w:t>
            </w:r>
          </w:p>
        </w:tc>
      </w:tr>
      <w:tr w14:paraId="2EDCD0D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490" w:hRule="atLeast"/>
          <w:jc w:val="center"/>
        </w:trPr>
        <w:tc>
          <w:tcPr>
            <w:tcW w:w="828" w:type="pct"/>
            <w:vMerge w:val="continue"/>
            <w:shd w:val="clear" w:color="auto" w:fill="auto"/>
            <w:vAlign w:val="center"/>
          </w:tcPr>
          <w:p w14:paraId="0A8E052C">
            <w:pPr>
              <w:spacing w:before="31" w:beforeLines="10" w:after="62" w:afterLines="20" w:line="280" w:lineRule="exact"/>
              <w:ind w:firstLine="0" w:firstLineChars="0"/>
              <w:rPr>
                <w:rFonts w:hint="eastAsia" w:ascii="汉仪书宋一简" w:eastAsia="汉仪书宋一简"/>
                <w:b/>
                <w:sz w:val="20"/>
                <w:szCs w:val="20"/>
              </w:rPr>
            </w:pPr>
          </w:p>
        </w:tc>
        <w:tc>
          <w:tcPr>
            <w:tcW w:w="4172" w:type="pct"/>
            <w:shd w:val="clear" w:color="auto" w:fill="auto"/>
            <w:vAlign w:val="center"/>
          </w:tcPr>
          <w:p w14:paraId="05692C80">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t>被保险人存在多个继承人，保险人向持有保单的继承人给付保险金，视为履行给付保险金义务。继承人之间，依继承法分配</w:t>
            </w:r>
          </w:p>
        </w:tc>
      </w:tr>
    </w:tbl>
    <w:p w14:paraId="68458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int="eastAsia" w:ascii="汉仪书宋二简" w:hAnsiTheme="majorHAnsi" w:cstheme="majorBidi"/>
          <w:bCs/>
          <w:color w:val="FF0000"/>
          <w:sz w:val="24"/>
          <w:szCs w:val="28"/>
        </w:rPr>
      </w:pPr>
      <w:r>
        <w:rPr>
          <w:rFonts w:hint="eastAsia" w:ascii="汉仪书宋二简" w:hAnsiTheme="majorHAnsi" w:cstheme="majorBidi"/>
          <w:bCs/>
          <w:color w:val="FF0000"/>
          <w:sz w:val="24"/>
          <w:szCs w:val="28"/>
        </w:rPr>
        <w:t>受益权本身不能继承</w:t>
      </w:r>
    </w:p>
    <w:p w14:paraId="4E84054C">
      <w:pPr>
        <w:pStyle w:val="3"/>
        <w:ind w:firstLine="336" w:firstLineChars="120"/>
        <w:rPr>
          <w:rFonts w:hint="eastAsia"/>
        </w:rPr>
      </w:pPr>
      <w:r>
        <w:rPr>
          <w:rFonts w:hint="eastAsia"/>
        </w:rPr>
        <w:t>（五）宣告死亡</w:t>
      </w:r>
    </w:p>
    <w:p w14:paraId="39CC0E00">
      <w:pPr>
        <w:ind w:firstLine="420"/>
        <w:rPr>
          <w:rFonts w:hint="eastAsia" w:ascii="汉仪书宋二简"/>
          <w:b/>
          <w:kern w:val="0"/>
        </w:rPr>
      </w:pPr>
      <w:r>
        <w:rPr>
          <w:rFonts w:hint="eastAsia" w:ascii="汉仪书宋二简"/>
          <w:kern w:val="0"/>
        </w:rPr>
        <w:t>对死亡保险而言，被保险人被宣告死亡后，当事人有权要求保险人按照保险合同约定给付保险金。被保险人被宣告死亡之日在保险责任期间之外，但有证据证明下落不明之日在保险责任期间之内，当事人有权要求保险人按照保险合同约定给付保险金。</w:t>
      </w:r>
    </w:p>
    <w:p w14:paraId="6441E4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hint="eastAsia" w:ascii="汉仪书宋二简" w:hAnsiTheme="majorHAnsi" w:cstheme="majorBidi"/>
          <w:bCs/>
          <w:color w:val="FF0000"/>
          <w:sz w:val="24"/>
          <w:szCs w:val="28"/>
        </w:rPr>
      </w:pPr>
      <w:r>
        <w:rPr>
          <w:rFonts w:hint="eastAsia" w:ascii="汉仪书宋二简" w:hAnsiTheme="majorHAnsi" w:cstheme="majorBidi"/>
          <w:bCs/>
          <w:color w:val="FF0000"/>
          <w:sz w:val="24"/>
          <w:szCs w:val="28"/>
        </w:rPr>
        <w:t>下落不明在保险期限内即可</w:t>
      </w:r>
    </w:p>
    <w:p w14:paraId="7E4AB916"/>
    <w:p w14:paraId="2DD8BA34">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考点38  </w:t>
      </w:r>
      <w:r>
        <w:rPr>
          <w:rFonts w:hint="eastAsia" w:ascii="汉仪粗宋简" w:hAnsi="Times New Roman" w:eastAsia="汉仪大宋简" w:cs="汉仪粗宋简"/>
          <w:b/>
          <w:bCs/>
          <w:color w:val="000000"/>
          <w:kern w:val="0"/>
          <w:position w:val="4"/>
          <w:sz w:val="26"/>
          <w:szCs w:val="26"/>
          <w:lang w:val="zh-CN"/>
        </w:rPr>
        <w:t>财产保险合同</w:t>
      </w:r>
    </w:p>
    <w:p w14:paraId="6E6C3A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汉仪书宋二简"/>
          <w:b/>
          <w:szCs w:val="24"/>
        </w:rPr>
      </w:pPr>
    </w:p>
    <w:p w14:paraId="4917AE9F">
      <w:pPr>
        <w:pStyle w:val="3"/>
        <w:ind w:firstLine="336" w:firstLineChars="120"/>
        <w:rPr>
          <w:rFonts w:hint="eastAsia"/>
        </w:rPr>
      </w:pPr>
      <w:r>
        <w:rPr>
          <w:rFonts w:hint="eastAsia"/>
        </w:rPr>
        <w:t>（一）代位求偿权（财产保险才有，财产保险是损害补偿性）</w:t>
      </w:r>
    </w:p>
    <w:p w14:paraId="4FD8E4D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1．被保险人的选择权及其限制</w:t>
      </w:r>
    </w:p>
    <w:p w14:paraId="4ECEDE59">
      <w:pPr>
        <w:numPr>
          <w:ilvl w:val="0"/>
          <w:numId w:val="13"/>
        </w:numPr>
        <w:tabs>
          <w:tab w:val="clear" w:pos="420"/>
        </w:tabs>
        <w:ind w:firstLine="420"/>
        <w:rPr>
          <w:rFonts w:hint="eastAsia" w:ascii="汉仪书宋二简"/>
        </w:rPr>
      </w:pPr>
      <w:r>
        <w:rPr>
          <w:rFonts w:hint="eastAsia" w:ascii="汉仪书宋二简"/>
        </w:rPr>
        <w:t>保险事故是由第三人的行为所致，</w:t>
      </w:r>
      <w:r>
        <w:rPr>
          <w:rFonts w:hint="eastAsia" w:ascii="汉仪书宋二简"/>
          <w:color w:val="FF0000"/>
        </w:rPr>
        <w:t>被保险人既可以要求该第三人即责任人赔偿，也可以要求保险人赔偿</w:t>
      </w:r>
      <w:r>
        <w:rPr>
          <w:rFonts w:hint="eastAsia" w:ascii="汉仪书宋二简"/>
        </w:rPr>
        <w:t>，但是所得赔偿不能超过所受损失。</w:t>
      </w:r>
    </w:p>
    <w:p w14:paraId="7134CD8D">
      <w:pPr>
        <w:numPr>
          <w:ilvl w:val="0"/>
          <w:numId w:val="13"/>
        </w:numPr>
        <w:tabs>
          <w:tab w:val="clear" w:pos="420"/>
        </w:tabs>
        <w:ind w:firstLine="420"/>
        <w:rPr>
          <w:rFonts w:hint="eastAsia" w:ascii="汉仪书宋二简"/>
        </w:rPr>
      </w:pPr>
      <w:r>
        <w:rPr>
          <w:rFonts w:hint="eastAsia" w:ascii="汉仪书宋二简"/>
        </w:rPr>
        <w:t>被保险人已经从第三人取得损害赔偿的，保险人赔偿保险金时，可以相应扣减。</w:t>
      </w:r>
    </w:p>
    <w:p w14:paraId="11BE9688">
      <w:pPr>
        <w:numPr>
          <w:ilvl w:val="0"/>
          <w:numId w:val="13"/>
        </w:numPr>
        <w:tabs>
          <w:tab w:val="clear" w:pos="420"/>
        </w:tabs>
        <w:ind w:firstLine="420"/>
        <w:rPr>
          <w:rFonts w:hint="eastAsia" w:ascii="汉仪书宋二简"/>
        </w:rPr>
      </w:pPr>
      <w:r>
        <w:rPr>
          <w:rFonts w:hint="eastAsia" w:ascii="汉仪书宋二简"/>
        </w:rPr>
        <w:t>保险人行使代位请求赔偿的权利，不影响被保险人就未取得赔偿的部分向第三者请求赔偿的权利。</w:t>
      </w:r>
    </w:p>
    <w:p w14:paraId="57A1A011">
      <w:pPr>
        <w:ind w:firstLine="440"/>
        <w:rPr>
          <w:rFonts w:hint="eastAsia" w:ascii="汉仪中黑简" w:hAnsi="汉仪书宋二简" w:eastAsia="汉仪中黑简" w:cs="汉仪书宋二简"/>
          <w:bCs/>
          <w:color w:val="FF0000"/>
          <w:kern w:val="0"/>
          <w:sz w:val="22"/>
          <w:szCs w:val="22"/>
        </w:rPr>
      </w:pPr>
      <w:r>
        <w:rPr>
          <w:rFonts w:hint="eastAsia" w:ascii="汉仪中黑简" w:hAnsi="汉仪书宋二简" w:eastAsia="汉仪中黑简" w:cs="汉仪书宋二简"/>
          <w:bCs/>
          <w:kern w:val="0"/>
          <w:sz w:val="22"/>
          <w:szCs w:val="22"/>
        </w:rPr>
        <w:t xml:space="preserve">2．保险人代位求偿权及其限制  </w:t>
      </w:r>
      <w:r>
        <w:rPr>
          <w:rFonts w:hint="eastAsia" w:ascii="汉仪中黑简" w:hAnsi="汉仪书宋二简" w:eastAsia="汉仪中黑简" w:cs="汉仪书宋二简"/>
          <w:bCs/>
          <w:color w:val="FF0000"/>
          <w:kern w:val="0"/>
          <w:sz w:val="22"/>
          <w:szCs w:val="22"/>
        </w:rPr>
        <w:t>保险人自己名义行使</w:t>
      </w:r>
    </w:p>
    <w:p w14:paraId="6E86A302">
      <w:pPr>
        <w:ind w:firstLine="420"/>
        <w:rPr>
          <w:rFonts w:hint="eastAsia" w:ascii="汉仪书宋二简"/>
        </w:rPr>
      </w:pPr>
      <w:r>
        <w:rPr>
          <w:rFonts w:hint="eastAsia" w:ascii="汉仪书宋二简"/>
        </w:rPr>
        <w:t>（1）保险人只有在向被保险人支付了保险金后才能行使对第三人的代位求偿权。</w:t>
      </w:r>
    </w:p>
    <w:p w14:paraId="3E288714">
      <w:pPr>
        <w:ind w:firstLine="420"/>
        <w:rPr>
          <w:rFonts w:hint="eastAsia" w:ascii="汉仪书宋二简"/>
        </w:rPr>
      </w:pPr>
      <w:r>
        <w:rPr>
          <w:rFonts w:hint="eastAsia" w:ascii="汉仪书宋二简"/>
        </w:rPr>
        <w:t>（2）保险人行使代位求偿权向第三人追偿的金额不得超过其向被保险人支付的保险金。</w:t>
      </w:r>
    </w:p>
    <w:p w14:paraId="33D2CDC7">
      <w:pPr>
        <w:ind w:firstLine="420"/>
        <w:rPr>
          <w:rFonts w:hint="eastAsia" w:ascii="汉仪书宋二简"/>
          <w:color w:val="FF0000"/>
        </w:rPr>
      </w:pPr>
      <w:r>
        <w:rPr>
          <w:rFonts w:hint="eastAsia" w:ascii="汉仪书宋二简"/>
        </w:rPr>
        <w:t>（3）不得向被保险人的家庭成员或其组成人员的</w:t>
      </w:r>
      <w:r>
        <w:rPr>
          <w:rFonts w:hint="eastAsia" w:ascii="汉仪书宋二简" w:hAnsi="楷体" w:eastAsia="汉仪中黑简" w:cs="楷体"/>
          <w:color w:val="FF0000"/>
        </w:rPr>
        <w:t>非故意行为</w:t>
      </w:r>
      <w:r>
        <w:rPr>
          <w:rFonts w:hint="eastAsia" w:ascii="汉仪书宋二简"/>
        </w:rPr>
        <w:t>追偿。“被保险人的家庭成员”界定为与被保险人共同生活的近亲属以及其他与被保险人有抚养、赡养、扶养关系的人，具体包括：保险事故发生时，与被保险人共同生活的配偶、父母、子女、兄弟姐妹、祖父母、外祖父母、孙子女、外孙子女；以及与被保险人有抚养、赡养、扶养关系的人。“被保险人的组成人员”，则包括被保险人的工作人员、接受或者派遣的劳务派遣人员。</w:t>
      </w:r>
      <w:r>
        <w:rPr>
          <w:rFonts w:hint="eastAsia" w:ascii="汉仪书宋二简"/>
          <w:color w:val="FF0000"/>
        </w:rPr>
        <w:t>（经济上具有一体性）</w:t>
      </w:r>
    </w:p>
    <w:p w14:paraId="3B3F3DCF">
      <w:pPr>
        <w:ind w:firstLine="420"/>
        <w:rPr>
          <w:rFonts w:hint="default" w:ascii="汉仪书宋二简" w:eastAsia="汉仪书宋二简"/>
          <w:color w:val="FF0000"/>
          <w:lang w:val="en-US" w:eastAsia="zh-CN"/>
        </w:rPr>
      </w:pPr>
      <w:r>
        <w:rPr>
          <w:rFonts w:hint="eastAsia" w:ascii="汉仪书宋二简"/>
          <w:color w:val="FF0000"/>
          <w:lang w:val="en-US" w:eastAsia="zh-CN"/>
        </w:rPr>
        <w:t>家庭保姆不属于近亲属</w:t>
      </w:r>
    </w:p>
    <w:p w14:paraId="392D1805">
      <w:pPr>
        <w:ind w:firstLine="420"/>
        <w:rPr>
          <w:rFonts w:hint="eastAsia" w:ascii="汉仪书宋二简"/>
          <w:color w:val="FF0000"/>
        </w:rPr>
      </w:pPr>
      <w:r>
        <w:rPr>
          <w:rFonts w:hint="eastAsia" w:ascii="汉仪书宋二简"/>
        </w:rPr>
        <w:t>（4）若投保人造成事故，保险人可向投保人追偿。</w:t>
      </w:r>
      <w:r>
        <w:rPr>
          <w:rFonts w:hint="eastAsia" w:ascii="汉仪书宋二简"/>
          <w:color w:val="FF0000"/>
        </w:rPr>
        <w:t>（投保人被保险人不同）</w:t>
      </w:r>
    </w:p>
    <w:p w14:paraId="11FF51A9">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3．被保险人处分权的限制</w:t>
      </w:r>
    </w:p>
    <w:p w14:paraId="0AEC6BB5">
      <w:pPr>
        <w:ind w:firstLine="420"/>
        <w:rPr>
          <w:rFonts w:hint="eastAsia" w:ascii="汉仪书宋二简"/>
        </w:rPr>
      </w:pPr>
      <w:r>
        <w:rPr>
          <w:rFonts w:hint="eastAsia" w:ascii="汉仪书宋二简"/>
        </w:rPr>
        <w:t>（1）保险事故发生后，在保险人未赔偿保险金之前，被保险人放弃对第三人赔偿请求权的，保险人不承担赔偿保险金的责任；</w:t>
      </w:r>
    </w:p>
    <w:p w14:paraId="2AECB1C8">
      <w:pPr>
        <w:ind w:firstLine="420"/>
        <w:rPr>
          <w:rFonts w:hint="eastAsia" w:ascii="汉仪书宋二简"/>
        </w:rPr>
      </w:pPr>
      <w:r>
        <w:rPr>
          <w:rFonts w:hint="eastAsia" w:ascii="汉仪书宋二简"/>
        </w:rPr>
        <w:t>（2）保险人</w:t>
      </w:r>
      <w:r>
        <w:rPr>
          <w:rFonts w:hint="eastAsia" w:ascii="汉仪书宋二简"/>
          <w:color w:val="FF0000"/>
        </w:rPr>
        <w:t>向被保险人赔偿保险金后，若被保险人未经保险人同意放弃对第三人的赔偿请求权的，该放弃行为无效</w:t>
      </w:r>
      <w:r>
        <w:rPr>
          <w:rFonts w:hint="eastAsia" w:ascii="汉仪书宋二简"/>
        </w:rPr>
        <w:t>。</w:t>
      </w:r>
    </w:p>
    <w:p w14:paraId="556D13E1">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4．适用范围</w:t>
      </w:r>
    </w:p>
    <w:p w14:paraId="54A090DA">
      <w:pPr>
        <w:ind w:firstLine="420"/>
        <w:rPr>
          <w:rFonts w:hint="eastAsia" w:ascii="汉仪书宋二简"/>
          <w:color w:val="FF0000"/>
        </w:rPr>
      </w:pPr>
      <w:r>
        <w:rPr>
          <w:rFonts w:hint="eastAsia" w:ascii="汉仪书宋二简"/>
        </w:rPr>
        <w:t xml:space="preserve">代位求偿权仅适用于财产保险，不适用于人身保险。 </w:t>
      </w:r>
      <w:r>
        <w:rPr>
          <w:rFonts w:hint="eastAsia" w:ascii="汉仪书宋二简"/>
          <w:color w:val="FF0000"/>
        </w:rPr>
        <w:t>财产保险才是损失补偿性的，人身保险受害人可以拿多份</w:t>
      </w:r>
    </w:p>
    <w:p w14:paraId="2EE1ED8A">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5．程序性规则</w:t>
      </w:r>
    </w:p>
    <w:p w14:paraId="2C6281A7">
      <w:pPr>
        <w:ind w:firstLine="420"/>
        <w:rPr>
          <w:rFonts w:hint="eastAsia" w:ascii="汉仪书宋二简"/>
        </w:rPr>
      </w:pPr>
      <w:r>
        <w:rPr>
          <w:rFonts w:hint="eastAsia" w:ascii="汉仪书宋二简"/>
        </w:rPr>
        <w:t>（1）保险人应以自己的名义行使保险代位求偿权。</w:t>
      </w:r>
    </w:p>
    <w:p w14:paraId="5A14B830">
      <w:pPr>
        <w:ind w:firstLine="420"/>
        <w:rPr>
          <w:rFonts w:hint="eastAsia" w:ascii="汉仪书宋二简"/>
        </w:rPr>
      </w:pPr>
      <w:r>
        <w:rPr>
          <w:rFonts w:hint="eastAsia" w:ascii="汉仪书宋二简"/>
        </w:rPr>
        <w:t>（2）以</w:t>
      </w:r>
      <w:r>
        <w:rPr>
          <w:rFonts w:hint="eastAsia" w:ascii="汉仪书宋二简" w:hAnsi="楷体" w:eastAsia="汉仪中黑简" w:cs="楷体"/>
          <w:color w:val="FF0000"/>
        </w:rPr>
        <w:t>被保险人与第三者之间的法律关系</w:t>
      </w:r>
      <w:r>
        <w:rPr>
          <w:rFonts w:hint="eastAsia" w:ascii="汉仪书宋二简"/>
        </w:rPr>
        <w:t>确定管辖法院。</w:t>
      </w:r>
    </w:p>
    <w:p w14:paraId="387CF3B5">
      <w:pPr>
        <w:ind w:firstLine="420"/>
        <w:rPr>
          <w:rFonts w:hint="eastAsia" w:ascii="汉仪书宋二简"/>
        </w:rPr>
      </w:pPr>
      <w:r>
        <w:rPr>
          <w:rFonts w:hint="eastAsia" w:ascii="汉仪书宋二简"/>
        </w:rPr>
        <w:t>（3）保险人代位求偿权的诉讼时效期间应自其取得代位求偿权之日起算。</w:t>
      </w:r>
    </w:p>
    <w:p w14:paraId="2C9E40BF">
      <w:pPr>
        <w:pStyle w:val="3"/>
        <w:ind w:firstLine="336" w:firstLineChars="120"/>
        <w:rPr>
          <w:rFonts w:hint="eastAsia"/>
        </w:rPr>
      </w:pPr>
      <w:r>
        <w:rPr>
          <w:rFonts w:hint="eastAsia"/>
        </w:rPr>
        <w:t>（二）责任保险</w:t>
      </w:r>
    </w:p>
    <w:p w14:paraId="34CF1365">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1．概念</w:t>
      </w:r>
    </w:p>
    <w:p w14:paraId="0727EB54">
      <w:pPr>
        <w:ind w:firstLine="420"/>
        <w:rPr>
          <w:rFonts w:hint="eastAsia" w:ascii="汉仪书宋二简"/>
        </w:rPr>
      </w:pPr>
      <w:r>
        <w:rPr>
          <w:rFonts w:hint="eastAsia" w:ascii="汉仪书宋二简"/>
        </w:rPr>
        <w:t>责任保险是指以被保险人对第三者依法应负的赔偿责任为保险标的的保险。它是财产保险的一种。</w:t>
      </w:r>
    </w:p>
    <w:p w14:paraId="217B9CA1">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2．赔偿范围</w:t>
      </w:r>
    </w:p>
    <w:p w14:paraId="63CF8258">
      <w:pPr>
        <w:ind w:firstLine="420"/>
        <w:rPr>
          <w:rFonts w:hint="eastAsia" w:ascii="汉仪书宋二简"/>
        </w:rPr>
      </w:pPr>
      <w:r>
        <w:rPr>
          <w:rFonts w:hint="eastAsia" w:ascii="汉仪书宋二简"/>
        </w:rPr>
        <w:t>一是被保险人对第三者依法应负的赔偿责任，二是被保险人支付的仲裁或者诉讼费用以及其他必要的、合理的费用（合同另有约定的除外）。</w:t>
      </w:r>
    </w:p>
    <w:p w14:paraId="2AC8471B">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3．赔偿方式</w:t>
      </w:r>
    </w:p>
    <w:p w14:paraId="605CA82E">
      <w:pPr>
        <w:ind w:firstLine="420"/>
        <w:rPr>
          <w:rFonts w:hint="eastAsia" w:ascii="汉仪书宋二简"/>
        </w:rPr>
      </w:pPr>
      <w:r>
        <w:rPr>
          <w:rFonts w:hint="eastAsia" w:ascii="汉仪书宋二简"/>
        </w:rPr>
        <w:t>一是</w:t>
      </w:r>
      <w:r>
        <w:rPr>
          <w:rFonts w:hint="eastAsia" w:ascii="汉仪书宋二简"/>
          <w:kern w:val="0"/>
        </w:rPr>
        <w:t>被保险</w:t>
      </w:r>
      <w:r>
        <w:rPr>
          <w:rFonts w:hint="eastAsia" w:ascii="汉仪书宋二简"/>
        </w:rPr>
        <w:t>人可以请求保险人直接向第三者赔偿保险金，二是被保险人向第三者赔偿之后由保险人向被保险人赔偿。</w:t>
      </w:r>
    </w:p>
    <w:p w14:paraId="5DACD097">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4．第三者的请求权</w:t>
      </w:r>
    </w:p>
    <w:p w14:paraId="49CB0F91">
      <w:pPr>
        <w:ind w:firstLine="420"/>
        <w:rPr>
          <w:rFonts w:hint="eastAsia" w:ascii="汉仪书宋二简"/>
        </w:rPr>
      </w:pPr>
      <w:r>
        <w:rPr>
          <w:rFonts w:hint="eastAsia" w:ascii="汉仪书宋二简"/>
        </w:rPr>
        <w:t>责任保险的被保险人给第三者造成损害，被保险人对第三者应负的赔偿责任确定的，根据被保险人的请求，保险人应当直接向该第三者赔偿保险金。被保险人怠于请求的，第三者有权就其应获赔偿部分直接向保险人请求赔偿保险金。（第三人例外时取得直接请求权）</w:t>
      </w:r>
    </w:p>
    <w:p w14:paraId="5776BCD6"/>
    <w:p w14:paraId="118F5B9F">
      <w:pPr>
        <w:tabs>
          <w:tab w:val="clear" w:pos="420"/>
        </w:tabs>
        <w:autoSpaceDE w:val="0"/>
        <w:autoSpaceDN w:val="0"/>
        <w:adjustRightInd w:val="0"/>
        <w:ind w:firstLine="0" w:firstLineChars="0"/>
        <w:jc w:val="center"/>
        <w:textAlignment w:val="center"/>
        <w:rPr>
          <w:rFonts w:hint="eastAsia"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考点39  </w:t>
      </w:r>
      <w:r>
        <w:rPr>
          <w:rFonts w:hint="eastAsia" w:ascii="汉仪粗宋简" w:hAnsi="Times New Roman" w:eastAsia="汉仪大宋简" w:cs="汉仪粗宋简"/>
          <w:b/>
          <w:bCs/>
          <w:color w:val="000000"/>
          <w:kern w:val="0"/>
          <w:position w:val="4"/>
          <w:sz w:val="26"/>
          <w:szCs w:val="26"/>
          <w:lang w:val="zh-CN"/>
        </w:rPr>
        <w:t>信托财产</w:t>
      </w:r>
    </w:p>
    <w:p w14:paraId="43BA8FCB">
      <w:pPr>
        <w:pStyle w:val="3"/>
        <w:ind w:firstLine="336" w:firstLineChars="120"/>
        <w:rPr>
          <w:rFonts w:hint="eastAsia"/>
        </w:rPr>
      </w:pPr>
      <w:r>
        <w:rPr>
          <w:rFonts w:hint="eastAsia"/>
        </w:rPr>
        <w:t>（一）信托财产的范围</w:t>
      </w:r>
    </w:p>
    <w:p w14:paraId="672B3EF4">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1．原始信托财产</w:t>
      </w:r>
    </w:p>
    <w:p w14:paraId="011AF92D">
      <w:pPr>
        <w:widowControl/>
        <w:shd w:val="clear" w:color="auto" w:fill="FFFFFF"/>
        <w:ind w:firstLine="420"/>
        <w:rPr>
          <w:rFonts w:hint="eastAsia" w:ascii="汉仪书宋二简" w:cs="Helvetica"/>
          <w:kern w:val="0"/>
        </w:rPr>
      </w:pPr>
      <w:r>
        <w:rPr>
          <w:rFonts w:hint="eastAsia" w:ascii="汉仪书宋二简" w:cs="Helvetica"/>
          <w:kern w:val="0"/>
        </w:rPr>
        <w:t>受托人因承诺信托而取得的财产是信托财产。</w:t>
      </w:r>
    </w:p>
    <w:p w14:paraId="02D5E15C">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2．积累信托财产</w:t>
      </w:r>
    </w:p>
    <w:p w14:paraId="623327C4">
      <w:pPr>
        <w:widowControl/>
        <w:shd w:val="clear" w:color="auto" w:fill="FFFFFF"/>
        <w:ind w:firstLine="420"/>
        <w:rPr>
          <w:rFonts w:hint="eastAsia" w:ascii="汉仪书宋二简" w:cs="Helvetica"/>
          <w:kern w:val="0"/>
        </w:rPr>
      </w:pPr>
      <w:r>
        <w:rPr>
          <w:rFonts w:hint="eastAsia" w:ascii="汉仪书宋二简" w:cs="Helvetica"/>
          <w:kern w:val="0"/>
        </w:rPr>
        <w:t>受托人因信托财产的管理运用、处分或者其他情形而取得的财产，也归入信托财产。</w:t>
      </w:r>
    </w:p>
    <w:p w14:paraId="5F896905">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3．信托财产的合法性和流通性</w:t>
      </w:r>
    </w:p>
    <w:p w14:paraId="358EDC1A">
      <w:pPr>
        <w:widowControl/>
        <w:shd w:val="clear" w:color="auto" w:fill="FFFFFF"/>
        <w:ind w:firstLine="420"/>
        <w:rPr>
          <w:rFonts w:hint="eastAsia" w:ascii="汉仪书宋二简" w:cs="Helvetica"/>
          <w:kern w:val="0"/>
        </w:rPr>
      </w:pPr>
      <w:r>
        <w:rPr>
          <w:rFonts w:hint="eastAsia" w:ascii="汉仪书宋二简" w:cs="Helvetica"/>
          <w:kern w:val="0"/>
        </w:rPr>
        <w:t>法律、行政法规禁止流通的财产，不得作为信托财产。法律、行政法规限制流通的财产，依法经有关主管部门批准后，可以作为信托财产。</w:t>
      </w:r>
    </w:p>
    <w:p w14:paraId="449EB1E1">
      <w:pPr>
        <w:ind w:firstLine="480"/>
        <w:rPr>
          <w:rFonts w:hint="eastAsia" w:ascii="汉仪书宋二简" w:hAnsiTheme="majorHAnsi" w:cstheme="majorBidi"/>
          <w:bCs/>
          <w:sz w:val="24"/>
          <w:szCs w:val="28"/>
        </w:rPr>
      </w:pPr>
    </w:p>
    <w:p w14:paraId="171AD5D0">
      <w:pPr>
        <w:pStyle w:val="3"/>
        <w:ind w:firstLine="336" w:firstLineChars="120"/>
        <w:rPr>
          <w:rFonts w:hint="eastAsia"/>
        </w:rPr>
      </w:pPr>
      <w:r>
        <w:rPr>
          <w:rFonts w:hint="eastAsia"/>
        </w:rPr>
        <w:t>（二）信托财产的独立性</w:t>
      </w:r>
    </w:p>
    <w:p w14:paraId="7B895491">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1．与委托人财产独立</w:t>
      </w:r>
    </w:p>
    <w:p w14:paraId="5E7E2DDE">
      <w:pPr>
        <w:widowControl/>
        <w:shd w:val="clear" w:color="auto" w:fill="FFFFFF"/>
        <w:ind w:firstLine="420"/>
        <w:rPr>
          <w:rFonts w:hint="eastAsia" w:ascii="汉仪书宋二简" w:cs="Helvetica"/>
          <w:kern w:val="0"/>
        </w:rPr>
      </w:pPr>
      <w:r>
        <w:rPr>
          <w:rFonts w:hint="eastAsia" w:ascii="汉仪书宋二简" w:cs="Helvetica"/>
          <w:kern w:val="0"/>
        </w:rPr>
        <w:t>信托财产与委托人未设立信托的其他财产相区别。设立信托后，委托人死亡或者依法解散、被依法撤销、被宣告破产时，委托人是唯一受益人的，信托终止，信托财产作为其遗产或者清算财产（</w:t>
      </w:r>
      <w:r>
        <w:rPr>
          <w:rFonts w:hint="eastAsia" w:ascii="汉仪书宋二简" w:cs="Helvetica"/>
          <w:color w:val="FF0000"/>
          <w:kern w:val="0"/>
        </w:rPr>
        <w:t>委托人可以和受益人相同，也可以不同</w:t>
      </w:r>
      <w:r>
        <w:rPr>
          <w:rFonts w:hint="eastAsia" w:ascii="汉仪书宋二简" w:cs="Helvetica"/>
          <w:kern w:val="0"/>
        </w:rPr>
        <w:t>）；委托人不是唯一受益人的，信托存续，信托财产不作为其遗产或者清算财产；但作为共同受益人的委托人死亡或者依法解散、被依法撤销、被宣告破产时，其信托受益权作为其遗产或者清算财产。</w:t>
      </w:r>
    </w:p>
    <w:p w14:paraId="29B28CC5">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2．与受托人财产独立</w:t>
      </w:r>
    </w:p>
    <w:p w14:paraId="41CF235B">
      <w:pPr>
        <w:widowControl/>
        <w:shd w:val="clear" w:color="auto" w:fill="FFFFFF"/>
        <w:ind w:firstLine="420"/>
        <w:rPr>
          <w:rFonts w:hint="eastAsia" w:ascii="汉仪书宋二简" w:cs="Helvetica"/>
          <w:kern w:val="0"/>
        </w:rPr>
      </w:pPr>
      <w:r>
        <w:rPr>
          <w:rFonts w:hint="eastAsia" w:ascii="汉仪书宋二简" w:cs="Helvetica"/>
          <w:kern w:val="0"/>
        </w:rPr>
        <w:t>信托财产与属于受托人所有的财产相区别，不得归入受托人的固有财产或者成为固有财产的一部分。</w:t>
      </w:r>
      <w:r>
        <w:rPr>
          <w:rFonts w:hint="eastAsia" w:ascii="汉仪书宋二简" w:cs="Helvetica"/>
          <w:color w:val="FF0000"/>
          <w:kern w:val="0"/>
        </w:rPr>
        <w:t>受托人死亡或者依法解散、被依法撤销、被宣告破产而终止，信托财产不属于其遗产或者清算财产</w:t>
      </w:r>
      <w:r>
        <w:rPr>
          <w:rFonts w:hint="eastAsia" w:ascii="汉仪书宋二简" w:cs="Helvetica"/>
          <w:kern w:val="0"/>
        </w:rPr>
        <w:t>。</w:t>
      </w:r>
    </w:p>
    <w:p w14:paraId="428C1FF8">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3．与受益人财产独立</w:t>
      </w:r>
    </w:p>
    <w:p w14:paraId="14B332A1">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4．信托财产的强制执行</w:t>
      </w:r>
    </w:p>
    <w:p w14:paraId="39AA138B">
      <w:pPr>
        <w:widowControl/>
        <w:shd w:val="clear" w:color="auto" w:fill="FFFFFF"/>
        <w:ind w:firstLine="420"/>
        <w:rPr>
          <w:rFonts w:hint="eastAsia" w:ascii="汉仪书宋二简" w:cs="Helvetica"/>
          <w:kern w:val="0"/>
        </w:rPr>
      </w:pPr>
      <w:r>
        <w:rPr>
          <w:rFonts w:hint="eastAsia" w:ascii="汉仪书宋二简" w:cs="Helvetica"/>
          <w:kern w:val="0"/>
        </w:rPr>
        <w:t>除因下列情形之一外，对信托财产不得强制执行：（</w:t>
      </w:r>
      <w:r>
        <w:rPr>
          <w:rFonts w:hint="eastAsia" w:ascii="汉仪书宋二简"/>
          <w:kern w:val="0"/>
        </w:rPr>
        <w:t>1</w:t>
      </w:r>
      <w:r>
        <w:rPr>
          <w:rFonts w:hint="eastAsia" w:ascii="汉仪书宋二简" w:cs="Helvetica"/>
          <w:kern w:val="0"/>
        </w:rPr>
        <w:t>）设立信托前债权人已对该信托财产享有优先受偿的权利，并依法行使该权利的；（</w:t>
      </w:r>
      <w:r>
        <w:rPr>
          <w:rFonts w:hint="eastAsia" w:ascii="汉仪书宋二简"/>
          <w:kern w:val="0"/>
        </w:rPr>
        <w:t>2</w:t>
      </w:r>
      <w:r>
        <w:rPr>
          <w:rFonts w:hint="eastAsia" w:ascii="汉仪书宋二简" w:cs="Helvetica"/>
          <w:kern w:val="0"/>
        </w:rPr>
        <w:t>）受托人处理信托事务所产生债务，债权人要求清偿该债务的；（</w:t>
      </w:r>
      <w:r>
        <w:rPr>
          <w:rFonts w:hint="eastAsia" w:ascii="汉仪书宋二简"/>
          <w:kern w:val="0"/>
        </w:rPr>
        <w:t>3</w:t>
      </w:r>
      <w:r>
        <w:rPr>
          <w:rFonts w:hint="eastAsia" w:ascii="汉仪书宋二简" w:cs="Helvetica"/>
          <w:kern w:val="0"/>
        </w:rPr>
        <w:t>）信托财产本身应担负的税款；（</w:t>
      </w:r>
      <w:r>
        <w:rPr>
          <w:rFonts w:hint="eastAsia" w:ascii="汉仪书宋二简"/>
          <w:kern w:val="0"/>
        </w:rPr>
        <w:t>4</w:t>
      </w:r>
      <w:r>
        <w:rPr>
          <w:rFonts w:hint="eastAsia" w:ascii="汉仪书宋二简" w:cs="Helvetica"/>
          <w:kern w:val="0"/>
        </w:rPr>
        <w:t>）法律规定的其他情形（如受益人主张受益权）。对于违反上述规定而强制执行信托财产，委托人、受托人或者受益人有权向法院提出异议。</w:t>
      </w:r>
    </w:p>
    <w:p w14:paraId="4CBC9928">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5．抵销的禁止（</w:t>
      </w:r>
      <w:r>
        <w:rPr>
          <w:rFonts w:hint="eastAsia" w:ascii="汉仪中黑简" w:hAnsi="汉仪书宋二简" w:eastAsia="汉仪中黑简" w:cs="汉仪书宋二简"/>
          <w:bCs/>
          <w:color w:val="FF0000"/>
          <w:kern w:val="0"/>
          <w:sz w:val="22"/>
          <w:szCs w:val="22"/>
        </w:rPr>
        <w:t>原因在于信托财产的独立性</w:t>
      </w:r>
      <w:r>
        <w:rPr>
          <w:rFonts w:hint="eastAsia" w:ascii="汉仪中黑简" w:hAnsi="汉仪书宋二简" w:eastAsia="汉仪中黑简" w:cs="汉仪书宋二简"/>
          <w:bCs/>
          <w:kern w:val="0"/>
          <w:sz w:val="22"/>
          <w:szCs w:val="22"/>
        </w:rPr>
        <w:t>）</w:t>
      </w:r>
    </w:p>
    <w:p w14:paraId="7A4C6F51">
      <w:pPr>
        <w:widowControl/>
        <w:shd w:val="clear" w:color="auto" w:fill="FFFFFF"/>
        <w:ind w:firstLine="420"/>
        <w:rPr>
          <w:rFonts w:hint="eastAsia" w:ascii="汉仪书宋二简" w:cs="Helvetica"/>
          <w:kern w:val="0"/>
        </w:rPr>
      </w:pPr>
      <w:r>
        <w:rPr>
          <w:rFonts w:hint="eastAsia" w:ascii="汉仪书宋二简" w:cs="Helvetica"/>
          <w:kern w:val="0"/>
        </w:rPr>
        <w:t>（</w:t>
      </w:r>
      <w:r>
        <w:rPr>
          <w:rFonts w:hint="eastAsia" w:ascii="汉仪书宋二简"/>
          <w:kern w:val="0"/>
        </w:rPr>
        <w:t>1</w:t>
      </w:r>
      <w:r>
        <w:rPr>
          <w:rFonts w:hint="eastAsia" w:ascii="汉仪书宋二简" w:cs="Helvetica"/>
          <w:kern w:val="0"/>
        </w:rPr>
        <w:t>）受托人管理运用、处分信托财产所产生的债权，不得与其固有财产产生的债务相抵销。</w:t>
      </w:r>
    </w:p>
    <w:p w14:paraId="615763D2">
      <w:pPr>
        <w:widowControl/>
        <w:shd w:val="clear" w:color="auto" w:fill="FFFFFF"/>
        <w:ind w:firstLine="420"/>
        <w:rPr>
          <w:rFonts w:hint="eastAsia" w:ascii="汉仪书宋二简" w:cs="Helvetica"/>
          <w:kern w:val="0"/>
        </w:rPr>
      </w:pPr>
      <w:r>
        <w:rPr>
          <w:rFonts w:hint="eastAsia" w:ascii="汉仪书宋二简" w:cs="Helvetica"/>
          <w:kern w:val="0"/>
        </w:rPr>
        <w:t>（</w:t>
      </w:r>
      <w:r>
        <w:rPr>
          <w:rFonts w:hint="eastAsia" w:ascii="汉仪书宋二简"/>
          <w:kern w:val="0"/>
        </w:rPr>
        <w:t>2</w:t>
      </w:r>
      <w:r>
        <w:rPr>
          <w:rFonts w:hint="eastAsia" w:ascii="汉仪书宋二简" w:cs="Helvetica"/>
          <w:kern w:val="0"/>
        </w:rPr>
        <w:t>）受托人管理运用、处分不同委托人的信托财产所产生的债权债务，不得相互抵销。</w:t>
      </w:r>
    </w:p>
    <w:p w14:paraId="709D509E">
      <w:pPr>
        <w:ind w:firstLine="480"/>
        <w:rPr>
          <w:rFonts w:hint="eastAsia" w:ascii="汉仪书宋二简" w:hAnsiTheme="majorHAnsi" w:cstheme="majorBidi"/>
          <w:bCs/>
          <w:sz w:val="24"/>
          <w:szCs w:val="28"/>
        </w:rPr>
      </w:pPr>
    </w:p>
    <w:p w14:paraId="5E2ABBBA">
      <w:pPr>
        <w:pStyle w:val="3"/>
        <w:ind w:firstLine="336" w:firstLineChars="120"/>
        <w:rPr>
          <w:rFonts w:hint="eastAsia"/>
        </w:rPr>
      </w:pPr>
      <w:r>
        <w:rPr>
          <w:rFonts w:hint="eastAsia"/>
        </w:rPr>
        <w:t>（三）信托财产登记与信托登记</w:t>
      </w:r>
    </w:p>
    <w:p w14:paraId="2870B20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1．信托财产登记</w:t>
      </w:r>
    </w:p>
    <w:p w14:paraId="06698544">
      <w:pPr>
        <w:ind w:firstLine="420"/>
        <w:rPr>
          <w:rFonts w:hint="eastAsia" w:ascii="汉仪书宋二简" w:cs="Helvetica"/>
          <w:kern w:val="0"/>
        </w:rPr>
      </w:pPr>
      <w:r>
        <w:rPr>
          <w:rFonts w:hint="eastAsia" w:ascii="汉仪书宋二简" w:cs="Helvetica"/>
          <w:kern w:val="0"/>
        </w:rPr>
        <w:t>对于信托财产，有关法律、行政法规规定应当办理登记手续的，应当依法办理信托登记。</w:t>
      </w:r>
    </w:p>
    <w:p w14:paraId="192A3E53">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2．信托登记</w:t>
      </w:r>
    </w:p>
    <w:p w14:paraId="04A5A79C">
      <w:pPr>
        <w:ind w:firstLine="420"/>
        <w:rPr>
          <w:rFonts w:hint="eastAsia" w:ascii="汉仪书宋二简" w:cs="Helvetica"/>
          <w:shd w:val="clear" w:color="auto" w:fill="FFFFFF"/>
        </w:rPr>
      </w:pPr>
      <w:r>
        <w:rPr>
          <w:rFonts w:hint="eastAsia" w:ascii="汉仪书宋二简" w:cs="Helvetica"/>
          <w:shd w:val="clear" w:color="auto" w:fill="FFFFFF"/>
        </w:rPr>
        <w:t>信托登记是对信托的设立及成立进行登记，从而确认信托的存在。</w:t>
      </w:r>
    </w:p>
    <w:p w14:paraId="6020626B">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lang w:val="zh-CN"/>
        </w:rPr>
      </w:pPr>
      <w:r>
        <w:rPr>
          <w:rFonts w:hint="eastAsia" w:ascii="汉仪粗宋简" w:hAnsi="Times New Roman" w:eastAsia="汉仪大宋简" w:cs="汉仪粗宋简"/>
          <w:b/>
          <w:bCs/>
          <w:color w:val="000000"/>
          <w:kern w:val="0"/>
          <w:position w:val="4"/>
          <w:sz w:val="26"/>
          <w:szCs w:val="26"/>
          <w:lang w:val="en-US" w:eastAsia="zh-CN"/>
        </w:rPr>
        <w:t xml:space="preserve">考点40  </w:t>
      </w:r>
      <w:r>
        <w:rPr>
          <w:rFonts w:hint="eastAsia" w:ascii="汉仪粗宋简" w:hAnsi="Times New Roman" w:eastAsia="汉仪大宋简" w:cs="汉仪粗宋简"/>
          <w:b/>
          <w:bCs/>
          <w:color w:val="000000"/>
          <w:kern w:val="0"/>
          <w:position w:val="4"/>
          <w:sz w:val="26"/>
          <w:szCs w:val="26"/>
          <w:lang w:val="zh-CN"/>
        </w:rPr>
        <w:t>信托的变更和终止</w:t>
      </w:r>
    </w:p>
    <w:p w14:paraId="556C9164">
      <w:pPr>
        <w:ind w:firstLine="480"/>
        <w:rPr>
          <w:rFonts w:hint="eastAsia" w:ascii="汉仪书宋二简" w:hAnsiTheme="majorHAnsi" w:cstheme="majorBidi"/>
          <w:bCs/>
          <w:sz w:val="24"/>
          <w:szCs w:val="28"/>
        </w:rPr>
      </w:pPr>
    </w:p>
    <w:p w14:paraId="41128018">
      <w:pPr>
        <w:pStyle w:val="3"/>
        <w:ind w:firstLine="336" w:firstLineChars="120"/>
        <w:rPr>
          <w:rFonts w:hint="eastAsia"/>
        </w:rPr>
      </w:pPr>
      <w:r>
        <w:rPr>
          <w:rFonts w:hint="eastAsia"/>
        </w:rPr>
        <w:t>（一）信托的变更</w:t>
      </w:r>
    </w:p>
    <w:p w14:paraId="7DC8FF98">
      <w:pPr>
        <w:widowControl/>
        <w:shd w:val="clear" w:color="auto" w:fill="FFFFFF"/>
        <w:ind w:firstLine="420"/>
        <w:rPr>
          <w:rFonts w:hint="eastAsia" w:ascii="汉仪书宋二简" w:cs="Helvetica"/>
          <w:kern w:val="0"/>
        </w:rPr>
      </w:pPr>
      <w:r>
        <w:rPr>
          <w:rFonts w:hint="eastAsia" w:ascii="汉仪书宋二简" w:cs="Helvetica"/>
          <w:kern w:val="0"/>
        </w:rPr>
        <w:t>有下列情形之一的，委托人可以变更受益人或者处分受益人的信托受益权：（</w:t>
      </w:r>
      <w:r>
        <w:rPr>
          <w:rFonts w:hint="eastAsia" w:ascii="汉仪书宋二简"/>
          <w:kern w:val="0"/>
        </w:rPr>
        <w:t>1</w:t>
      </w:r>
      <w:r>
        <w:rPr>
          <w:rFonts w:hint="eastAsia" w:ascii="汉仪书宋二简" w:cs="Helvetica"/>
          <w:kern w:val="0"/>
        </w:rPr>
        <w:t>）受益人对委托人有重大侵权行为；（</w:t>
      </w:r>
      <w:r>
        <w:rPr>
          <w:rFonts w:hint="eastAsia" w:ascii="汉仪书宋二简"/>
          <w:kern w:val="0"/>
        </w:rPr>
        <w:t>2</w:t>
      </w:r>
      <w:r>
        <w:rPr>
          <w:rFonts w:hint="eastAsia" w:ascii="汉仪书宋二简" w:cs="Helvetica"/>
          <w:kern w:val="0"/>
        </w:rPr>
        <w:t>）受益人对其他共同受益人有重大侵权行为；（</w:t>
      </w:r>
      <w:r>
        <w:rPr>
          <w:rFonts w:hint="eastAsia" w:ascii="汉仪书宋二简"/>
          <w:kern w:val="0"/>
        </w:rPr>
        <w:t>3</w:t>
      </w:r>
      <w:r>
        <w:rPr>
          <w:rFonts w:hint="eastAsia" w:ascii="汉仪书宋二简" w:cs="Helvetica"/>
          <w:kern w:val="0"/>
        </w:rPr>
        <w:t>）经受益人同意；（</w:t>
      </w:r>
      <w:r>
        <w:rPr>
          <w:rFonts w:hint="eastAsia" w:ascii="汉仪书宋二简"/>
          <w:kern w:val="0"/>
        </w:rPr>
        <w:t>4</w:t>
      </w:r>
      <w:r>
        <w:rPr>
          <w:rFonts w:hint="eastAsia" w:ascii="汉仪书宋二简" w:cs="Helvetica"/>
          <w:kern w:val="0"/>
        </w:rPr>
        <w:t>）信托文件规定的其他情形。</w:t>
      </w:r>
    </w:p>
    <w:p w14:paraId="2302531F">
      <w:pPr>
        <w:widowControl/>
        <w:shd w:val="clear" w:color="auto" w:fill="FFFFFF"/>
        <w:ind w:firstLine="420"/>
        <w:rPr>
          <w:rFonts w:hint="default" w:ascii="汉仪书宋二简" w:eastAsia="汉仪书宋二简" w:cs="Helvetica"/>
          <w:color w:val="0000FF"/>
          <w:kern w:val="0"/>
          <w:lang w:val="en-US" w:eastAsia="zh-CN"/>
        </w:rPr>
      </w:pPr>
      <w:r>
        <w:rPr>
          <w:rFonts w:hint="eastAsia" w:ascii="汉仪书宋二简" w:cs="Helvetica"/>
          <w:kern w:val="0"/>
        </w:rPr>
        <w:t>有上述第（</w:t>
      </w:r>
      <w:r>
        <w:rPr>
          <w:rFonts w:hint="eastAsia" w:ascii="汉仪书宋二简"/>
          <w:kern w:val="0"/>
        </w:rPr>
        <w:t>1</w:t>
      </w:r>
      <w:r>
        <w:rPr>
          <w:rFonts w:hint="eastAsia" w:ascii="汉仪书宋二简" w:cs="Helvetica"/>
          <w:kern w:val="0"/>
        </w:rPr>
        <w:t>）项、（</w:t>
      </w:r>
      <w:r>
        <w:rPr>
          <w:rFonts w:hint="eastAsia" w:ascii="汉仪书宋二简"/>
          <w:kern w:val="0"/>
        </w:rPr>
        <w:t>3</w:t>
      </w:r>
      <w:r>
        <w:rPr>
          <w:rFonts w:hint="eastAsia" w:ascii="汉仪书宋二简" w:cs="Helvetica"/>
          <w:kern w:val="0"/>
        </w:rPr>
        <w:t>）、（</w:t>
      </w:r>
      <w:r>
        <w:rPr>
          <w:rFonts w:hint="eastAsia" w:ascii="汉仪书宋二简"/>
          <w:kern w:val="0"/>
        </w:rPr>
        <w:t>4</w:t>
      </w:r>
      <w:r>
        <w:rPr>
          <w:rFonts w:hint="eastAsia" w:ascii="汉仪书宋二简" w:cs="Helvetica"/>
          <w:kern w:val="0"/>
        </w:rPr>
        <w:t>）项所列情形之一的，委托人可以解除信托。</w:t>
      </w:r>
      <w:bookmarkStart w:id="4" w:name="_GoBack"/>
      <w:r>
        <w:rPr>
          <w:rFonts w:hint="eastAsia" w:ascii="汉仪书宋二简" w:cs="Helvetica"/>
          <w:color w:val="0000FF"/>
          <w:kern w:val="0"/>
          <w:lang w:val="en-US" w:eastAsia="zh-CN"/>
        </w:rPr>
        <w:t>2 只能变更，不能解除</w:t>
      </w:r>
    </w:p>
    <w:bookmarkEnd w:id="4"/>
    <w:p w14:paraId="2B3B8B21">
      <w:pPr>
        <w:widowControl/>
        <w:shd w:val="clear" w:color="auto" w:fill="FFFFFF"/>
        <w:ind w:firstLine="420"/>
        <w:rPr>
          <w:rFonts w:hint="eastAsia" w:ascii="汉仪书宋二简" w:cs="Helvetica"/>
          <w:kern w:val="0"/>
        </w:rPr>
      </w:pPr>
      <w:r>
        <w:rPr>
          <w:rFonts w:hint="eastAsia" w:ascii="汉仪书宋二简" w:cs="Helvetica"/>
          <w:kern w:val="0"/>
        </w:rPr>
        <w:t>委托人是唯一受益人的，委托人或者其继承人可以解除信托。信托文件另有规定的，从其规定。</w:t>
      </w:r>
    </w:p>
    <w:p w14:paraId="265533AD">
      <w:pPr>
        <w:ind w:firstLine="480"/>
        <w:rPr>
          <w:rFonts w:hint="eastAsia" w:ascii="汉仪书宋二简" w:hAnsiTheme="majorHAnsi" w:cstheme="majorBidi"/>
          <w:bCs/>
          <w:sz w:val="24"/>
          <w:szCs w:val="28"/>
        </w:rPr>
      </w:pPr>
    </w:p>
    <w:p w14:paraId="2DAC40A7">
      <w:pPr>
        <w:pStyle w:val="3"/>
        <w:ind w:firstLine="336" w:firstLineChars="120"/>
        <w:rPr>
          <w:rFonts w:hint="eastAsia"/>
        </w:rPr>
      </w:pPr>
      <w:r>
        <w:rPr>
          <w:rFonts w:hint="eastAsia"/>
        </w:rPr>
        <w:t>（二）信托的终止</w:t>
      </w:r>
    </w:p>
    <w:p w14:paraId="4439011D">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1．终止事由</w:t>
      </w:r>
    </w:p>
    <w:p w14:paraId="59EC8316">
      <w:pPr>
        <w:widowControl/>
        <w:shd w:val="clear" w:color="auto" w:fill="FFFFFF"/>
        <w:ind w:firstLine="420"/>
        <w:rPr>
          <w:rFonts w:hint="eastAsia" w:ascii="汉仪书宋二简" w:cs="Helvetica"/>
          <w:kern w:val="0"/>
        </w:rPr>
      </w:pPr>
      <w:r>
        <w:rPr>
          <w:rFonts w:hint="eastAsia" w:ascii="汉仪书宋二简" w:cs="Helvetica"/>
          <w:kern w:val="0"/>
        </w:rPr>
        <w:t>有下列情形之一的，信托终止：（</w:t>
      </w:r>
      <w:r>
        <w:rPr>
          <w:rFonts w:hint="eastAsia" w:ascii="汉仪书宋二简"/>
          <w:kern w:val="0"/>
        </w:rPr>
        <w:t>1</w:t>
      </w:r>
      <w:r>
        <w:rPr>
          <w:rFonts w:hint="eastAsia" w:ascii="汉仪书宋二简" w:cs="Helvetica"/>
          <w:kern w:val="0"/>
        </w:rPr>
        <w:t>）信托文件规定的终止事由发生；（</w:t>
      </w:r>
      <w:r>
        <w:rPr>
          <w:rFonts w:hint="eastAsia" w:ascii="汉仪书宋二简"/>
          <w:kern w:val="0"/>
        </w:rPr>
        <w:t>2</w:t>
      </w:r>
      <w:r>
        <w:rPr>
          <w:rFonts w:hint="eastAsia" w:ascii="汉仪书宋二简" w:cs="Helvetica"/>
          <w:kern w:val="0"/>
        </w:rPr>
        <w:t>）信托的存续违反信托目的；（</w:t>
      </w:r>
      <w:r>
        <w:rPr>
          <w:rFonts w:hint="eastAsia" w:ascii="汉仪书宋二简"/>
          <w:kern w:val="0"/>
        </w:rPr>
        <w:t>3</w:t>
      </w:r>
      <w:r>
        <w:rPr>
          <w:rFonts w:hint="eastAsia" w:ascii="汉仪书宋二简" w:cs="Helvetica"/>
          <w:kern w:val="0"/>
        </w:rPr>
        <w:t>）信托目的已经实现或者不能实现；（</w:t>
      </w:r>
      <w:r>
        <w:rPr>
          <w:rFonts w:hint="eastAsia" w:ascii="汉仪书宋二简"/>
          <w:kern w:val="0"/>
        </w:rPr>
        <w:t>4</w:t>
      </w:r>
      <w:r>
        <w:rPr>
          <w:rFonts w:hint="eastAsia" w:ascii="汉仪书宋二简" w:cs="Helvetica"/>
          <w:kern w:val="0"/>
        </w:rPr>
        <w:t>）信托当事人协商同意；（</w:t>
      </w:r>
      <w:r>
        <w:rPr>
          <w:rFonts w:hint="eastAsia" w:ascii="汉仪书宋二简"/>
          <w:kern w:val="0"/>
        </w:rPr>
        <w:t>5</w:t>
      </w:r>
      <w:r>
        <w:rPr>
          <w:rFonts w:hint="eastAsia" w:ascii="汉仪书宋二简" w:cs="Helvetica"/>
          <w:kern w:val="0"/>
        </w:rPr>
        <w:t>）信托被撤销；（</w:t>
      </w:r>
      <w:r>
        <w:rPr>
          <w:rFonts w:hint="eastAsia" w:ascii="汉仪书宋二简"/>
          <w:kern w:val="0"/>
        </w:rPr>
        <w:t>6</w:t>
      </w:r>
      <w:r>
        <w:rPr>
          <w:rFonts w:hint="eastAsia" w:ascii="汉仪书宋二简" w:cs="Helvetica"/>
          <w:kern w:val="0"/>
        </w:rPr>
        <w:t>）信托被解除。</w:t>
      </w:r>
    </w:p>
    <w:p w14:paraId="616DBCC1">
      <w:pPr>
        <w:widowControl/>
        <w:shd w:val="clear" w:color="auto" w:fill="FFFFFF"/>
        <w:ind w:firstLine="420"/>
        <w:rPr>
          <w:rFonts w:hint="eastAsia" w:ascii="汉仪书宋二简" w:cs="Helvetica"/>
          <w:kern w:val="0"/>
        </w:rPr>
      </w:pPr>
      <w:r>
        <w:rPr>
          <w:rFonts w:hint="eastAsia" w:ascii="汉仪书宋二简" w:cs="Helvetica"/>
          <w:kern w:val="0"/>
        </w:rPr>
        <w:t>信托不因委托人或者受托人的死亡、丧失民事行为能力、依法解散、被依法撤销或者被宣告破产而终止，也不因受托人的辞任而终止。但本法或者信托文件另有规定的除外。</w:t>
      </w:r>
    </w:p>
    <w:p w14:paraId="49EF292E">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2．终止后果</w:t>
      </w:r>
    </w:p>
    <w:p w14:paraId="770BA738">
      <w:pPr>
        <w:widowControl/>
        <w:shd w:val="clear" w:color="auto" w:fill="FFFFFF"/>
        <w:ind w:firstLine="420"/>
        <w:rPr>
          <w:rFonts w:hint="eastAsia" w:ascii="汉仪书宋二简" w:cs="Helvetica"/>
          <w:kern w:val="0"/>
        </w:rPr>
      </w:pPr>
      <w:r>
        <w:rPr>
          <w:rFonts w:hint="eastAsia" w:ascii="汉仪书宋二简" w:cs="Helvetica"/>
          <w:kern w:val="0"/>
        </w:rPr>
        <w:t>信托终止的，信托财产归属于信托文件规定的人；信托文件未规定的，按下列顺序确定归属：</w:t>
      </w:r>
      <w:r>
        <w:rPr>
          <w:rFonts w:hint="eastAsia" w:ascii="汉仪书宋二简" w:hAnsi="楷体" w:eastAsia="汉仪中黑简" w:cs="楷体"/>
          <w:color w:val="FF0000"/>
          <w:kern w:val="0"/>
        </w:rPr>
        <w:t>受益人或者其继承人——委托人或者其继承人</w:t>
      </w:r>
      <w:r>
        <w:rPr>
          <w:rFonts w:hint="eastAsia" w:ascii="汉仪书宋二简" w:cs="Helvetica"/>
          <w:kern w:val="0"/>
        </w:rPr>
        <w:t>。</w:t>
      </w:r>
    </w:p>
    <w:p w14:paraId="151B038F">
      <w:pPr>
        <w:widowControl/>
        <w:shd w:val="clear" w:color="auto" w:fill="FFFFFF"/>
        <w:ind w:firstLine="420"/>
        <w:rPr>
          <w:rFonts w:hint="eastAsia" w:ascii="汉仪书宋二简" w:cs="Helvetica"/>
          <w:kern w:val="0"/>
        </w:rPr>
      </w:pPr>
      <w:r>
        <w:rPr>
          <w:rFonts w:hint="eastAsia" w:ascii="汉仪书宋二简" w:cs="Helvetica"/>
          <w:kern w:val="0"/>
        </w:rPr>
        <w:t>信托财产的归属确定后，在该信托财产转移给权利归属人的过程中，</w:t>
      </w:r>
      <w:r>
        <w:rPr>
          <w:rFonts w:hint="eastAsia" w:ascii="汉仪书宋二简" w:cs="Helvetica"/>
          <w:color w:val="FF0000"/>
          <w:kern w:val="0"/>
        </w:rPr>
        <w:t>信托视为存续，权利归属人视为受益人</w:t>
      </w:r>
      <w:r>
        <w:rPr>
          <w:rFonts w:hint="eastAsia" w:ascii="汉仪书宋二简" w:cs="Helvetica"/>
          <w:kern w:val="0"/>
        </w:rPr>
        <w:t>。法院对原信托财产进行强制执行的，以权利归属人为被执行人。受托人行使请求给付报酬、从信托财产中获得补偿的权利时，可以留置信托财产或者对信托财产的权利归属人提出请求。</w:t>
      </w:r>
    </w:p>
    <w:p w14:paraId="18E204B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书宋二简">
    <w:altName w:val="微软雅黑"/>
    <w:panose1 w:val="00000000000000000000"/>
    <w:charset w:val="86"/>
    <w:family w:val="modern"/>
    <w:pitch w:val="default"/>
    <w:sig w:usb0="00000000" w:usb1="00000000" w:usb2="00000012" w:usb3="00000000" w:csb0="00040000" w:csb1="00000000"/>
  </w:font>
  <w:font w:name="汉仪粗宋简">
    <w:altName w:val="微软雅黑"/>
    <w:panose1 w:val="00000000000000000000"/>
    <w:charset w:val="86"/>
    <w:family w:val="modern"/>
    <w:pitch w:val="default"/>
    <w:sig w:usb0="00000000" w:usb1="00000000" w:usb2="00000012" w:usb3="00000000" w:csb0="00040000" w:csb1="00000000"/>
  </w:font>
  <w:font w:name="汉仪大宋简">
    <w:altName w:val="微软雅黑"/>
    <w:panose1 w:val="00000000000000000000"/>
    <w:charset w:val="86"/>
    <w:family w:val="modern"/>
    <w:pitch w:val="default"/>
    <w:sig w:usb0="00000000" w:usb1="00000000" w:usb2="00000012" w:usb3="00000000" w:csb0="00040000" w:csb1="00000000"/>
  </w:font>
  <w:font w:name="汉仪中黑简">
    <w:altName w:val="微软雅黑"/>
    <w:panose1 w:val="00000000000000000000"/>
    <w:charset w:val="86"/>
    <w:family w:val="modern"/>
    <w:pitch w:val="default"/>
    <w:sig w:usb0="00000000" w:usb1="00000000" w:usb2="00000012" w:usb3="00000000" w:csb0="00040000" w:csb1="00000000"/>
  </w:font>
  <w:font w:name="汉仪书宋一简">
    <w:altName w:val="微软雅黑"/>
    <w:panose1 w:val="00000000000000000000"/>
    <w:charset w:val="86"/>
    <w:family w:val="modern"/>
    <w:pitch w:val="default"/>
    <w:sig w:usb0="00000000" w:usb1="00000000" w:usb2="00000012" w:usb3="00000000" w:csb0="00040000" w:csb1="00000000"/>
  </w:font>
  <w:font w:name="汉仪粗黑简">
    <w:altName w:val="微软雅黑"/>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imSong Regular">
    <w:altName w:val="微软雅黑"/>
    <w:panose1 w:val="00000000000000000000"/>
    <w:charset w:val="86"/>
    <w:family w:val="auto"/>
    <w:pitch w:val="default"/>
    <w:sig w:usb0="00000000" w:usb1="00000000" w:usb2="00000016" w:usb3="00000000" w:csb0="0004000D" w:csb1="00000000"/>
  </w:font>
  <w:font w:name="Helvetica">
    <w:altName w:val="Arial"/>
    <w:panose1 w:val="020B0604020202020204"/>
    <w:charset w:val="00"/>
    <w:family w:val="auto"/>
    <w:pitch w:val="default"/>
    <w:sig w:usb0="00000000" w:usb1="00000000" w:usb2="00000000" w:usb3="00000000" w:csb0="0000019F" w:csb1="00000000"/>
  </w:font>
  <w:font w:name="汉仪书宋二简">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944AC"/>
    <w:multiLevelType w:val="multilevel"/>
    <w:tmpl w:val="1F1944A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8B267B1"/>
    <w:multiLevelType w:val="multilevel"/>
    <w:tmpl w:val="28B267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A262A5D"/>
    <w:multiLevelType w:val="multilevel"/>
    <w:tmpl w:val="2A262A5D"/>
    <w:lvl w:ilvl="0" w:tentative="0">
      <w:start w:val="1"/>
      <w:numFmt w:val="decimalEnclosedCircle"/>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A2852AC"/>
    <w:multiLevelType w:val="multilevel"/>
    <w:tmpl w:val="3A2852A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2AF68F5"/>
    <w:multiLevelType w:val="multilevel"/>
    <w:tmpl w:val="42AF68F5"/>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8163CC2"/>
    <w:multiLevelType w:val="multilevel"/>
    <w:tmpl w:val="48163CC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AD93752"/>
    <w:multiLevelType w:val="multilevel"/>
    <w:tmpl w:val="4AD9375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22114FF"/>
    <w:multiLevelType w:val="multilevel"/>
    <w:tmpl w:val="522114FF"/>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54C1303F"/>
    <w:multiLevelType w:val="multilevel"/>
    <w:tmpl w:val="54C1303F"/>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62505F2"/>
    <w:multiLevelType w:val="multilevel"/>
    <w:tmpl w:val="562505F2"/>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F5D3461"/>
    <w:multiLevelType w:val="multilevel"/>
    <w:tmpl w:val="5F5D3461"/>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6F1857C3"/>
    <w:multiLevelType w:val="singleLevel"/>
    <w:tmpl w:val="6F1857C3"/>
    <w:lvl w:ilvl="0" w:tentative="0">
      <w:start w:val="1"/>
      <w:numFmt w:val="decimal"/>
      <w:suff w:val="nothing"/>
      <w:lvlText w:val="（%1）"/>
      <w:lvlJc w:val="left"/>
    </w:lvl>
  </w:abstractNum>
  <w:abstractNum w:abstractNumId="12">
    <w:nsid w:val="6F770264"/>
    <w:multiLevelType w:val="multilevel"/>
    <w:tmpl w:val="6F770264"/>
    <w:lvl w:ilvl="0" w:tentative="0">
      <w:start w:val="1"/>
      <w:numFmt w:val="decimalEnclosedCircle"/>
      <w:lvlText w:val="%1"/>
      <w:lvlJc w:val="left"/>
      <w:pPr>
        <w:ind w:left="360" w:hanging="360"/>
      </w:pPr>
      <w:rPr>
        <w:rFonts w:hint="default" w:ascii="汉仪中黑简" w:eastAsia="汉仪中黑简"/>
        <w:color w:val="000000" w:themeColor="text1"/>
        <w14:textFill>
          <w14:solidFill>
            <w14:schemeClr w14:val="tx1"/>
          </w14:solidFill>
        </w14:textFil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3"/>
  </w:num>
  <w:num w:numId="3">
    <w:abstractNumId w:val="4"/>
  </w:num>
  <w:num w:numId="4">
    <w:abstractNumId w:val="8"/>
  </w:num>
  <w:num w:numId="5">
    <w:abstractNumId w:val="2"/>
  </w:num>
  <w:num w:numId="6">
    <w:abstractNumId w:val="0"/>
  </w:num>
  <w:num w:numId="7">
    <w:abstractNumId w:val="7"/>
  </w:num>
  <w:num w:numId="8">
    <w:abstractNumId w:val="12"/>
  </w:num>
  <w:num w:numId="9">
    <w:abstractNumId w:val="6"/>
  </w:num>
  <w:num w:numId="10">
    <w:abstractNumId w:val="10"/>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D1A68"/>
    <w:rsid w:val="1B397566"/>
    <w:rsid w:val="1C3751B3"/>
    <w:rsid w:val="1F7F59A9"/>
    <w:rsid w:val="24E04223"/>
    <w:rsid w:val="3AD6773B"/>
    <w:rsid w:val="7846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themeColor="text1"/>
      <w:kern w:val="2"/>
      <w:sz w:val="21"/>
      <w:szCs w:val="21"/>
      <w:lang w:val="en-US" w:eastAsia="zh-CN" w:bidi="ar-SA"/>
      <w14:textFill>
        <w14:solidFill>
          <w14:schemeClr w14:val="tx1"/>
        </w14:solidFill>
      </w14:textFill>
      <w14:ligatures w14:val="none"/>
    </w:rPr>
  </w:style>
  <w:style w:type="paragraph" w:styleId="2">
    <w:name w:val="heading 3"/>
    <w:basedOn w:val="1"/>
    <w:next w:val="1"/>
    <w:unhideWhenUsed/>
    <w:qFormat/>
    <w:uiPriority w:val="9"/>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paragraph" w:styleId="3">
    <w:name w:val="heading 4"/>
    <w:basedOn w:val="1"/>
    <w:next w:val="1"/>
    <w:unhideWhenUsed/>
    <w:qFormat/>
    <w:uiPriority w:val="9"/>
    <w:pPr>
      <w:keepNext/>
      <w:keepLines/>
      <w:spacing w:before="80" w:after="40"/>
      <w:outlineLvl w:val="3"/>
    </w:pPr>
    <w:rPr>
      <w:rFonts w:cstheme="majorBidi"/>
      <w:color w:val="2E54A1" w:themeColor="accent1" w:themeShade="BF"/>
      <w:sz w:val="28"/>
      <w:szCs w:val="2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color w:val="auto"/>
      <w:kern w:val="0"/>
      <w:sz w:val="24"/>
      <w:szCs w:val="24"/>
    </w:rPr>
  </w:style>
  <w:style w:type="table" w:styleId="6">
    <w:name w:val="Table Grid"/>
    <w:basedOn w:val="5"/>
    <w:qFormat/>
    <w:uiPriority w:val="0"/>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2025-06-26T00:51:55Z</dcterms:created>
  <dc:creator>cuplh</dc:creator>
  <cp:lastModifiedBy>韩富鹏</cp:lastModifiedBy>
  <dcterms:modified xsi:type="dcterms:W3CDTF">2025-06-26T01:08:00Z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F2627934BBD548909AEC0854968BF8C1_12</vt:lpwstr>
  </property>
</Properties>
</file>