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592E8">
      <w:pPr>
        <w:pStyle w:val="2"/>
        <w:spacing w:line="276" w:lineRule="auto"/>
        <w:jc w:val="center"/>
        <w:rPr>
          <w:rFonts w:ascii="Times New Roman" w:hAnsi="Times New Roman" w:cs="Times New Roman"/>
          <w:b/>
          <w:color w:val="000000"/>
          <w:kern w:val="0"/>
          <w:sz w:val="21"/>
          <w:szCs w:val="21"/>
        </w:rPr>
      </w:pPr>
      <w:bookmarkStart w:id="0" w:name="_Toc11771"/>
      <w:r>
        <w:rPr>
          <w:rFonts w:ascii="Times New Roman" w:hAnsi="Times New Roman" w:cs="Times New Roman"/>
          <w:bCs w:val="0"/>
          <w:color w:val="000000"/>
          <w:sz w:val="24"/>
          <w:szCs w:val="24"/>
        </w:rPr>
        <w:t>考点10  善意取得、拾得遗失物</w:t>
      </w:r>
      <w:bookmarkEnd w:id="0"/>
    </w:p>
    <w:p w14:paraId="73B68837">
      <w:pPr>
        <w:widowControl/>
        <w:spacing w:line="276" w:lineRule="auto"/>
        <w:ind w:firstLine="422" w:firstLineChars="200"/>
        <w:rPr>
          <w:rFonts w:ascii="Times New Roman" w:hAnsi="Times New Roman" w:cs="Times New Roman"/>
          <w:b/>
          <w:color w:val="000000"/>
          <w:kern w:val="0"/>
          <w:sz w:val="21"/>
          <w:szCs w:val="21"/>
        </w:rPr>
      </w:pPr>
      <w:r>
        <w:rPr>
          <w:rFonts w:ascii="Times New Roman" w:hAnsi="Times New Roman" w:cs="Times New Roman"/>
          <w:b/>
          <w:color w:val="000000"/>
          <w:kern w:val="0"/>
          <w:sz w:val="21"/>
          <w:szCs w:val="21"/>
        </w:rPr>
        <w:t>一、善意取得</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996"/>
      </w:tblGrid>
      <w:tr w14:paraId="6E2FF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noWrap w:val="0"/>
            <w:vAlign w:val="center"/>
          </w:tcPr>
          <w:p w14:paraId="58725886">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所有权善意取得的构成要件</w:t>
            </w:r>
          </w:p>
        </w:tc>
        <w:tc>
          <w:tcPr>
            <w:tcW w:w="6996" w:type="dxa"/>
            <w:noWrap w:val="0"/>
            <w:vAlign w:val="top"/>
          </w:tcPr>
          <w:p w14:paraId="64108EEF">
            <w:pPr>
              <w:rPr>
                <w:rFonts w:ascii="Times New Roman" w:hAnsi="Times New Roman" w:cs="Times New Roman"/>
                <w:bCs/>
                <w:color w:val="000000"/>
                <w:sz w:val="21"/>
                <w:szCs w:val="21"/>
              </w:rPr>
            </w:pPr>
            <w:r>
              <w:rPr>
                <w:rFonts w:ascii="Times New Roman" w:hAnsi="Times New Roman" w:cs="Times New Roman"/>
                <w:bCs/>
                <w:color w:val="000000"/>
                <w:sz w:val="21"/>
                <w:szCs w:val="21"/>
              </w:rPr>
              <w:t>（1）出让人无权处分</w:t>
            </w:r>
          </w:p>
        </w:tc>
      </w:tr>
      <w:tr w14:paraId="71AF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top"/>
          </w:tcPr>
          <w:p w14:paraId="4B9E8AA6">
            <w:pPr>
              <w:rPr>
                <w:rFonts w:ascii="Times New Roman" w:hAnsi="Times New Roman" w:cs="Times New Roman"/>
                <w:b/>
                <w:color w:val="000000"/>
                <w:sz w:val="21"/>
                <w:szCs w:val="21"/>
              </w:rPr>
            </w:pPr>
          </w:p>
        </w:tc>
        <w:tc>
          <w:tcPr>
            <w:tcW w:w="6996" w:type="dxa"/>
            <w:noWrap w:val="0"/>
            <w:vAlign w:val="top"/>
          </w:tcPr>
          <w:p w14:paraId="6372582A">
            <w:pPr>
              <w:rPr>
                <w:rFonts w:ascii="Times New Roman" w:hAnsi="Times New Roman" w:cs="Times New Roman"/>
                <w:bCs/>
                <w:color w:val="000000"/>
                <w:sz w:val="21"/>
                <w:szCs w:val="21"/>
              </w:rPr>
            </w:pPr>
            <w:r>
              <w:rPr>
                <w:rFonts w:ascii="Times New Roman" w:hAnsi="Times New Roman" w:cs="Times New Roman"/>
                <w:bCs/>
                <w:color w:val="000000"/>
                <w:sz w:val="21"/>
                <w:szCs w:val="21"/>
              </w:rPr>
              <w:t>（2）出让人与受让人存在有效的转让合同（买卖合同），即</w:t>
            </w:r>
            <w:r>
              <w:rPr>
                <w:rFonts w:ascii="Times New Roman" w:hAnsi="Times New Roman" w:cs="Times New Roman"/>
                <w:b/>
                <w:color w:val="FF0000"/>
                <w:sz w:val="21"/>
                <w:szCs w:val="21"/>
                <w:u w:val="single"/>
              </w:rPr>
              <w:t>买卖合同本身不能因为其他效力瑕疵而无效或者被撤销</w:t>
            </w:r>
          </w:p>
        </w:tc>
      </w:tr>
      <w:tr w14:paraId="72AF1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top"/>
          </w:tcPr>
          <w:p w14:paraId="52FE019D">
            <w:pPr>
              <w:rPr>
                <w:rFonts w:ascii="Times New Roman" w:hAnsi="Times New Roman" w:cs="Times New Roman"/>
                <w:b/>
                <w:color w:val="000000"/>
                <w:sz w:val="21"/>
                <w:szCs w:val="21"/>
              </w:rPr>
            </w:pPr>
          </w:p>
        </w:tc>
        <w:tc>
          <w:tcPr>
            <w:tcW w:w="6996" w:type="dxa"/>
            <w:noWrap w:val="0"/>
            <w:vAlign w:val="top"/>
          </w:tcPr>
          <w:p w14:paraId="6F2BC537">
            <w:pPr>
              <w:rPr>
                <w:rFonts w:ascii="Times New Roman" w:hAnsi="Times New Roman" w:cs="Times New Roman"/>
                <w:bCs/>
                <w:color w:val="000000"/>
                <w:sz w:val="21"/>
                <w:szCs w:val="21"/>
              </w:rPr>
            </w:pPr>
            <w:r>
              <w:rPr>
                <w:rFonts w:ascii="Times New Roman" w:hAnsi="Times New Roman" w:cs="Times New Roman"/>
                <w:bCs/>
                <w:color w:val="000000"/>
                <w:sz w:val="21"/>
                <w:szCs w:val="21"/>
              </w:rPr>
              <w:t>（3）受让人善意。善意指不知且无重大过失；善意是推定的，由真</w:t>
            </w:r>
            <w:r>
              <w:rPr>
                <w:rFonts w:ascii="Times New Roman" w:hAnsi="Times New Roman" w:cs="Times New Roman"/>
                <w:bCs/>
                <w:color w:val="FF0000"/>
                <w:sz w:val="21"/>
                <w:szCs w:val="21"/>
              </w:rPr>
              <w:t>实权利人举证推翻</w:t>
            </w:r>
          </w:p>
        </w:tc>
      </w:tr>
      <w:tr w14:paraId="66F35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top"/>
          </w:tcPr>
          <w:p w14:paraId="340F4369">
            <w:pPr>
              <w:rPr>
                <w:rFonts w:ascii="Times New Roman" w:hAnsi="Times New Roman" w:cs="Times New Roman"/>
                <w:b/>
                <w:color w:val="000000"/>
                <w:sz w:val="21"/>
                <w:szCs w:val="21"/>
              </w:rPr>
            </w:pPr>
          </w:p>
        </w:tc>
        <w:tc>
          <w:tcPr>
            <w:tcW w:w="6996" w:type="dxa"/>
            <w:noWrap w:val="0"/>
            <w:vAlign w:val="top"/>
          </w:tcPr>
          <w:p w14:paraId="15D3E791">
            <w:pPr>
              <w:rPr>
                <w:rFonts w:ascii="Times New Roman" w:hAnsi="Times New Roman" w:cs="Times New Roman"/>
                <w:b/>
                <w:color w:val="000000"/>
                <w:sz w:val="21"/>
                <w:szCs w:val="21"/>
              </w:rPr>
            </w:pPr>
            <w:r>
              <w:rPr>
                <w:rFonts w:ascii="Times New Roman" w:hAnsi="Times New Roman" w:cs="Times New Roman"/>
                <w:color w:val="000000"/>
                <w:sz w:val="21"/>
                <w:szCs w:val="21"/>
              </w:rPr>
              <w:t>（4）不动产已完成登记；动产（包括特殊动产）已完成交付。未完成登记或交付的，不发生善意取得。交付包括现实交付、简易交付与指示交付，</w:t>
            </w:r>
            <w:r>
              <w:rPr>
                <w:rFonts w:ascii="Times New Roman" w:hAnsi="Times New Roman" w:cs="Times New Roman"/>
                <w:b/>
                <w:bCs/>
                <w:color w:val="000000"/>
                <w:sz w:val="21"/>
                <w:szCs w:val="21"/>
                <w:u w:val="single"/>
              </w:rPr>
              <w:t>不包括占有改定</w:t>
            </w:r>
          </w:p>
        </w:tc>
      </w:tr>
      <w:tr w14:paraId="541B3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top"/>
          </w:tcPr>
          <w:p w14:paraId="09448A2E">
            <w:pPr>
              <w:rPr>
                <w:rFonts w:ascii="Times New Roman" w:hAnsi="Times New Roman" w:cs="Times New Roman"/>
                <w:b/>
                <w:color w:val="000000"/>
                <w:sz w:val="21"/>
                <w:szCs w:val="21"/>
              </w:rPr>
            </w:pPr>
          </w:p>
        </w:tc>
        <w:tc>
          <w:tcPr>
            <w:tcW w:w="6996" w:type="dxa"/>
            <w:noWrap w:val="0"/>
            <w:vAlign w:val="top"/>
          </w:tcPr>
          <w:p w14:paraId="0E131712">
            <w:pPr>
              <w:rPr>
                <w:rFonts w:ascii="Times New Roman" w:hAnsi="Times New Roman" w:cs="Times New Roman"/>
                <w:b/>
                <w:color w:val="000000"/>
                <w:sz w:val="21"/>
                <w:szCs w:val="21"/>
              </w:rPr>
            </w:pPr>
            <w:r>
              <w:rPr>
                <w:rFonts w:ascii="Times New Roman" w:hAnsi="Times New Roman" w:cs="Times New Roman"/>
                <w:color w:val="000000"/>
                <w:sz w:val="21"/>
                <w:szCs w:val="21"/>
              </w:rPr>
              <w:t>（5）受让人须以合理的价格有偿受让，</w:t>
            </w:r>
            <w:r>
              <w:rPr>
                <w:rFonts w:ascii="Times New Roman" w:hAnsi="Times New Roman" w:cs="Times New Roman"/>
                <w:b/>
                <w:bCs/>
                <w:color w:val="FF0000"/>
                <w:sz w:val="21"/>
                <w:szCs w:val="21"/>
                <w:u w:val="single"/>
              </w:rPr>
              <w:t>无需已经支付</w:t>
            </w:r>
            <w:r>
              <w:rPr>
                <w:rFonts w:ascii="Times New Roman" w:hAnsi="Times New Roman" w:cs="Times New Roman"/>
                <w:color w:val="000000"/>
                <w:sz w:val="21"/>
                <w:szCs w:val="21"/>
              </w:rPr>
              <w:t>。不合理的低价转让、无偿转让均不发生善意取得</w:t>
            </w:r>
          </w:p>
        </w:tc>
      </w:tr>
      <w:tr w14:paraId="70F6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14:paraId="7E8EFD2B">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他物权的善意取得</w:t>
            </w:r>
          </w:p>
        </w:tc>
        <w:tc>
          <w:tcPr>
            <w:tcW w:w="6996" w:type="dxa"/>
            <w:noWrap w:val="0"/>
            <w:vAlign w:val="top"/>
          </w:tcPr>
          <w:p w14:paraId="6C2556AB">
            <w:pPr>
              <w:rPr>
                <w:rFonts w:ascii="Times New Roman" w:hAnsi="Times New Roman" w:cs="Times New Roman"/>
                <w:bCs/>
                <w:color w:val="000000"/>
                <w:sz w:val="21"/>
                <w:szCs w:val="21"/>
              </w:rPr>
            </w:pPr>
            <w:r>
              <w:rPr>
                <w:rFonts w:ascii="Times New Roman" w:hAnsi="Times New Roman" w:cs="Times New Roman"/>
                <w:b/>
                <w:color w:val="000000"/>
                <w:sz w:val="21"/>
                <w:szCs w:val="21"/>
                <w:u w:val="single"/>
              </w:rPr>
              <w:t>参照</w:t>
            </w:r>
            <w:r>
              <w:rPr>
                <w:rFonts w:ascii="Times New Roman" w:hAnsi="Times New Roman" w:cs="Times New Roman"/>
                <w:bCs/>
                <w:color w:val="000000"/>
                <w:sz w:val="21"/>
                <w:szCs w:val="21"/>
              </w:rPr>
              <w:t>所有权善意取得的构成要件，典型情形是质权与抵押权的善意取得，此时无需“受让人须以合理的价格有偿受让”要件</w:t>
            </w:r>
          </w:p>
        </w:tc>
      </w:tr>
      <w:tr w14:paraId="4F22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noWrap w:val="0"/>
            <w:vAlign w:val="center"/>
          </w:tcPr>
          <w:p w14:paraId="21C911EE">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遗失物的善意取得</w:t>
            </w:r>
          </w:p>
        </w:tc>
        <w:tc>
          <w:tcPr>
            <w:tcW w:w="6996" w:type="dxa"/>
            <w:noWrap w:val="0"/>
            <w:vAlign w:val="top"/>
          </w:tcPr>
          <w:p w14:paraId="2A97A82B">
            <w:pPr>
              <w:rPr>
                <w:rFonts w:ascii="Times New Roman" w:hAnsi="Times New Roman" w:cs="Times New Roman"/>
                <w:color w:val="000000"/>
                <w:sz w:val="21"/>
                <w:szCs w:val="21"/>
              </w:rPr>
            </w:pPr>
            <w:r>
              <w:rPr>
                <w:rFonts w:ascii="Times New Roman" w:hAnsi="Times New Roman" w:cs="Times New Roman"/>
                <w:color w:val="000000"/>
                <w:sz w:val="21"/>
                <w:szCs w:val="21"/>
              </w:rPr>
              <w:t>（1）</w:t>
            </w:r>
            <w:r>
              <w:rPr>
                <w:rFonts w:ascii="Times New Roman" w:hAnsi="Times New Roman" w:cs="Times New Roman"/>
                <w:b/>
                <w:bCs/>
                <w:color w:val="000000"/>
                <w:sz w:val="21"/>
                <w:szCs w:val="21"/>
                <w:u w:val="single"/>
              </w:rPr>
              <w:t>遗失物、盗赃物等占有脱离物适用善意取得制度时需要受到限制</w:t>
            </w:r>
          </w:p>
        </w:tc>
      </w:tr>
      <w:tr w14:paraId="122DD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14:paraId="2D381394">
            <w:pPr>
              <w:jc w:val="center"/>
              <w:rPr>
                <w:rFonts w:ascii="Times New Roman" w:hAnsi="Times New Roman" w:cs="Times New Roman"/>
                <w:b/>
                <w:color w:val="000000"/>
                <w:sz w:val="21"/>
                <w:szCs w:val="21"/>
              </w:rPr>
            </w:pPr>
          </w:p>
        </w:tc>
        <w:tc>
          <w:tcPr>
            <w:tcW w:w="6996" w:type="dxa"/>
            <w:noWrap w:val="0"/>
            <w:vAlign w:val="top"/>
          </w:tcPr>
          <w:p w14:paraId="403AFE3E">
            <w:pPr>
              <w:rPr>
                <w:rFonts w:ascii="Times New Roman" w:hAnsi="Times New Roman" w:cs="Times New Roman"/>
                <w:color w:val="000000"/>
                <w:sz w:val="21"/>
                <w:szCs w:val="21"/>
              </w:rPr>
            </w:pPr>
            <w:r>
              <w:rPr>
                <w:rFonts w:ascii="Times New Roman" w:hAnsi="Times New Roman" w:cs="Times New Roman"/>
                <w:color w:val="000000"/>
                <w:sz w:val="21"/>
                <w:szCs w:val="21"/>
              </w:rPr>
              <w:t>（2）遗失人可以自知道或者应当知道受让人之日起</w:t>
            </w:r>
            <w:r>
              <w:rPr>
                <w:rFonts w:ascii="Times New Roman" w:hAnsi="Times New Roman" w:cs="Times New Roman"/>
                <w:color w:val="FF0000"/>
                <w:sz w:val="21"/>
                <w:szCs w:val="21"/>
              </w:rPr>
              <w:t>2年内向受让人请求返还原物，对于遗失人的此项返还请求权</w:t>
            </w:r>
            <w:r>
              <w:rPr>
                <w:rFonts w:ascii="Times New Roman" w:hAnsi="Times New Roman" w:cs="Times New Roman"/>
                <w:color w:val="000000"/>
                <w:sz w:val="21"/>
                <w:szCs w:val="21"/>
              </w:rPr>
              <w:t>，受让人不得以善意对抗之。此两年期间届满而遗失人未提出原物返还的，善意受让人可确定地取得遗失物的所有权</w:t>
            </w:r>
          </w:p>
        </w:tc>
      </w:tr>
      <w:tr w14:paraId="72AF9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14:paraId="1989DB12">
            <w:pPr>
              <w:jc w:val="center"/>
              <w:rPr>
                <w:rFonts w:ascii="Times New Roman" w:hAnsi="Times New Roman" w:cs="Times New Roman"/>
                <w:b/>
                <w:color w:val="000000"/>
                <w:sz w:val="21"/>
                <w:szCs w:val="21"/>
              </w:rPr>
            </w:pPr>
          </w:p>
        </w:tc>
        <w:tc>
          <w:tcPr>
            <w:tcW w:w="6996" w:type="dxa"/>
            <w:noWrap w:val="0"/>
            <w:vAlign w:val="top"/>
          </w:tcPr>
          <w:p w14:paraId="67461DA6">
            <w:pPr>
              <w:rPr>
                <w:rFonts w:ascii="Times New Roman" w:hAnsi="Times New Roman" w:cs="Times New Roman"/>
                <w:color w:val="000000"/>
                <w:sz w:val="21"/>
                <w:szCs w:val="21"/>
              </w:rPr>
            </w:pPr>
            <w:r>
              <w:rPr>
                <w:rFonts w:ascii="Times New Roman" w:hAnsi="Times New Roman" w:cs="Times New Roman"/>
                <w:color w:val="000000"/>
                <w:sz w:val="21"/>
                <w:szCs w:val="21"/>
              </w:rPr>
              <w:t>（3）如果受让人系通过拍卖或者向具有经营资格的经营者购得该遗失物，所有权人等权利人在向其请求返还原物时应当支付其在受让标的物时所付的费用</w:t>
            </w:r>
          </w:p>
        </w:tc>
      </w:tr>
      <w:tr w14:paraId="6297A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noWrap w:val="0"/>
            <w:vAlign w:val="center"/>
          </w:tcPr>
          <w:p w14:paraId="3F4AD06B">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善意取得的法律效果</w:t>
            </w:r>
          </w:p>
        </w:tc>
        <w:tc>
          <w:tcPr>
            <w:tcW w:w="6996" w:type="dxa"/>
            <w:noWrap w:val="0"/>
            <w:vAlign w:val="top"/>
          </w:tcPr>
          <w:p w14:paraId="2560AFF8">
            <w:pPr>
              <w:rPr>
                <w:rFonts w:hint="eastAsia" w:ascii="Times New Roman" w:hAnsi="Times New Roman" w:eastAsia="宋体" w:cs="Times New Roman"/>
                <w:bCs/>
                <w:color w:val="000000"/>
                <w:sz w:val="21"/>
                <w:szCs w:val="21"/>
                <w:lang w:eastAsia="zh-CN"/>
              </w:rPr>
            </w:pPr>
            <w:r>
              <w:rPr>
                <w:rFonts w:ascii="Times New Roman" w:hAnsi="Times New Roman" w:cs="Times New Roman"/>
                <w:bCs/>
                <w:color w:val="000000"/>
                <w:sz w:val="21"/>
                <w:szCs w:val="21"/>
              </w:rPr>
              <w:t>（1）受让人取得所有权，原权利人的所有权消灭</w:t>
            </w:r>
            <w:r>
              <w:rPr>
                <w:rFonts w:hint="eastAsia" w:ascii="Times New Roman" w:hAnsi="Times New Roman" w:cs="Times New Roman"/>
                <w:bCs/>
                <w:color w:val="000000"/>
                <w:sz w:val="21"/>
                <w:szCs w:val="21"/>
                <w:lang w:eastAsia="zh-CN"/>
              </w:rPr>
              <w:t>（</w:t>
            </w:r>
            <w:r>
              <w:rPr>
                <w:rFonts w:hint="eastAsia" w:ascii="Times New Roman" w:hAnsi="Times New Roman" w:cs="Times New Roman"/>
                <w:bCs/>
                <w:color w:val="FF0000"/>
                <w:sz w:val="21"/>
                <w:szCs w:val="21"/>
                <w:lang w:val="en-US" w:eastAsia="zh-CN"/>
              </w:rPr>
              <w:t>原始取得</w:t>
            </w:r>
            <w:r>
              <w:rPr>
                <w:rFonts w:hint="eastAsia" w:ascii="Times New Roman" w:hAnsi="Times New Roman" w:cs="Times New Roman"/>
                <w:bCs/>
                <w:color w:val="000000"/>
                <w:sz w:val="21"/>
                <w:szCs w:val="21"/>
                <w:lang w:eastAsia="zh-CN"/>
              </w:rPr>
              <w:t>）</w:t>
            </w:r>
          </w:p>
        </w:tc>
      </w:tr>
      <w:tr w14:paraId="5C7B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14:paraId="035C09F5">
            <w:pPr>
              <w:jc w:val="center"/>
              <w:rPr>
                <w:rFonts w:ascii="Times New Roman" w:hAnsi="Times New Roman" w:cs="Times New Roman"/>
                <w:b/>
                <w:color w:val="000000"/>
                <w:sz w:val="21"/>
                <w:szCs w:val="21"/>
              </w:rPr>
            </w:pPr>
          </w:p>
        </w:tc>
        <w:tc>
          <w:tcPr>
            <w:tcW w:w="6996" w:type="dxa"/>
            <w:noWrap w:val="0"/>
            <w:vAlign w:val="top"/>
          </w:tcPr>
          <w:p w14:paraId="01436B27">
            <w:pPr>
              <w:rPr>
                <w:rFonts w:ascii="Times New Roman" w:hAnsi="Times New Roman" w:cs="Times New Roman"/>
                <w:bCs/>
                <w:color w:val="000000"/>
                <w:sz w:val="21"/>
                <w:szCs w:val="21"/>
              </w:rPr>
            </w:pPr>
            <w:r>
              <w:rPr>
                <w:rFonts w:ascii="Times New Roman" w:hAnsi="Times New Roman" w:cs="Times New Roman"/>
                <w:bCs/>
                <w:color w:val="000000"/>
                <w:sz w:val="21"/>
                <w:szCs w:val="21"/>
              </w:rPr>
              <w:t>（2）物上原有权利负担原则上消灭，但善意受让人在受让时知道或者应当知道的除外</w:t>
            </w:r>
          </w:p>
        </w:tc>
      </w:tr>
      <w:tr w14:paraId="744F1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14:paraId="0BAC08C3">
            <w:pPr>
              <w:jc w:val="center"/>
              <w:rPr>
                <w:rFonts w:ascii="Times New Roman" w:hAnsi="Times New Roman" w:cs="Times New Roman"/>
                <w:b/>
                <w:color w:val="000000"/>
                <w:sz w:val="21"/>
                <w:szCs w:val="21"/>
              </w:rPr>
            </w:pPr>
          </w:p>
        </w:tc>
        <w:tc>
          <w:tcPr>
            <w:tcW w:w="6996" w:type="dxa"/>
            <w:noWrap w:val="0"/>
            <w:vAlign w:val="top"/>
          </w:tcPr>
          <w:p w14:paraId="036C0257">
            <w:pPr>
              <w:rPr>
                <w:rFonts w:ascii="Times New Roman" w:hAnsi="Times New Roman" w:cs="Times New Roman"/>
                <w:bCs/>
                <w:color w:val="000000"/>
                <w:sz w:val="21"/>
                <w:szCs w:val="21"/>
              </w:rPr>
            </w:pPr>
            <w:r>
              <w:rPr>
                <w:rFonts w:ascii="Times New Roman" w:hAnsi="Times New Roman" w:cs="Times New Roman"/>
                <w:bCs/>
                <w:color w:val="000000"/>
                <w:sz w:val="21"/>
                <w:szCs w:val="21"/>
              </w:rPr>
              <w:t>（3）原权利人可向无权处分者主张侵权责任、违约责任或不当得利返还</w:t>
            </w:r>
          </w:p>
        </w:tc>
      </w:tr>
    </w:tbl>
    <w:p w14:paraId="37F658D7">
      <w:pPr>
        <w:ind w:firstLine="420"/>
        <w:rPr>
          <w:rFonts w:ascii="Times New Roman" w:hAnsi="Times New Roman" w:cs="Times New Roman"/>
          <w:b/>
          <w:color w:val="000000"/>
          <w:sz w:val="21"/>
          <w:szCs w:val="21"/>
        </w:rPr>
      </w:pPr>
    </w:p>
    <w:p w14:paraId="60A21729">
      <w:pPr>
        <w:ind w:firstLine="420"/>
        <w:rPr>
          <w:rFonts w:ascii="Times New Roman" w:hAnsi="Times New Roman" w:cs="Times New Roman"/>
          <w:b/>
          <w:color w:val="000000"/>
          <w:sz w:val="21"/>
          <w:szCs w:val="21"/>
        </w:rPr>
      </w:pPr>
      <w:r>
        <w:rPr>
          <w:rFonts w:ascii="Times New Roman" w:hAnsi="Times New Roman" w:cs="Times New Roman"/>
          <w:b/>
          <w:color w:val="000000"/>
          <w:sz w:val="21"/>
          <w:szCs w:val="21"/>
        </w:rPr>
        <w:t>特别提醒：</w:t>
      </w:r>
    </w:p>
    <w:p w14:paraId="5E7C498D">
      <w:pPr>
        <w:ind w:firstLine="420"/>
        <w:rPr>
          <w:rFonts w:ascii="Times New Roman" w:hAnsi="Times New Roman" w:eastAsia="楷体" w:cs="Times New Roman"/>
          <w:bCs/>
          <w:color w:val="000000"/>
          <w:sz w:val="21"/>
          <w:szCs w:val="21"/>
        </w:rPr>
      </w:pPr>
      <w:r>
        <w:rPr>
          <w:rFonts w:ascii="Times New Roman" w:hAnsi="Times New Roman" w:eastAsia="楷体" w:cs="Times New Roman"/>
          <w:bCs/>
          <w:color w:val="000000"/>
          <w:sz w:val="21"/>
          <w:szCs w:val="21"/>
        </w:rPr>
        <w:t>善意取得以无权处分为前提，有权处分、无权代理等情形均没有善意取得的适用余地。</w:t>
      </w:r>
    </w:p>
    <w:p w14:paraId="05D6528C">
      <w:pPr>
        <w:ind w:firstLine="480"/>
        <w:rPr>
          <w:rFonts w:ascii="Times New Roman" w:hAnsi="Times New Roman" w:cs="Times New Roman"/>
          <w:b/>
          <w:bCs/>
          <w:color w:val="000000"/>
          <w:sz w:val="21"/>
          <w:szCs w:val="21"/>
        </w:rPr>
      </w:pPr>
    </w:p>
    <w:p w14:paraId="0504B368">
      <w:pPr>
        <w:ind w:firstLine="480"/>
        <w:rPr>
          <w:rFonts w:ascii="Times New Roman" w:hAnsi="Times New Roman" w:cs="Times New Roman"/>
          <w:b/>
          <w:bCs/>
          <w:color w:val="000000"/>
          <w:sz w:val="21"/>
          <w:szCs w:val="21"/>
        </w:rPr>
      </w:pPr>
      <w:r>
        <w:rPr>
          <w:rFonts w:ascii="Times New Roman" w:hAnsi="Times New Roman" w:cs="Times New Roman"/>
          <w:b/>
          <w:bCs/>
          <w:color w:val="000000"/>
          <w:sz w:val="21"/>
          <w:szCs w:val="21"/>
        </w:rPr>
        <w:t>二、拾得遗失物</w:t>
      </w:r>
    </w:p>
    <w:p w14:paraId="6F33D428">
      <w:pPr>
        <w:ind w:firstLine="480"/>
        <w:rPr>
          <w:rFonts w:ascii="Times New Roman" w:hAnsi="Times New Roman" w:cs="Times New Roman"/>
          <w:b/>
          <w:bCs/>
          <w:color w:val="000000"/>
          <w:sz w:val="21"/>
          <w:szCs w:val="21"/>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421"/>
      </w:tblGrid>
      <w:tr w14:paraId="2CEC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noWrap w:val="0"/>
            <w:vAlign w:val="center"/>
          </w:tcPr>
          <w:p w14:paraId="027F5788">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拾得人的义务</w:t>
            </w:r>
          </w:p>
        </w:tc>
        <w:tc>
          <w:tcPr>
            <w:tcW w:w="7421" w:type="dxa"/>
            <w:noWrap w:val="0"/>
            <w:vAlign w:val="top"/>
          </w:tcPr>
          <w:p w14:paraId="785B64EC">
            <w:pPr>
              <w:rPr>
                <w:rFonts w:ascii="Times New Roman" w:hAnsi="Times New Roman" w:cs="Times New Roman"/>
                <w:color w:val="000000"/>
                <w:sz w:val="21"/>
                <w:szCs w:val="21"/>
              </w:rPr>
            </w:pPr>
            <w:r>
              <w:rPr>
                <w:rFonts w:ascii="Times New Roman" w:hAnsi="Times New Roman" w:cs="Times New Roman"/>
                <w:color w:val="000000"/>
                <w:sz w:val="21"/>
                <w:szCs w:val="21"/>
              </w:rPr>
              <w:t>（1）通知义务，即及时通知权利人领取</w:t>
            </w:r>
          </w:p>
        </w:tc>
      </w:tr>
      <w:tr w14:paraId="35BB3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top"/>
          </w:tcPr>
          <w:p w14:paraId="4797A04B">
            <w:pPr>
              <w:rPr>
                <w:rFonts w:ascii="Times New Roman" w:hAnsi="Times New Roman" w:cs="Times New Roman"/>
                <w:color w:val="000000"/>
                <w:sz w:val="21"/>
                <w:szCs w:val="21"/>
              </w:rPr>
            </w:pPr>
          </w:p>
        </w:tc>
        <w:tc>
          <w:tcPr>
            <w:tcW w:w="7421" w:type="dxa"/>
            <w:noWrap w:val="0"/>
            <w:vAlign w:val="top"/>
          </w:tcPr>
          <w:p w14:paraId="0090EDBA">
            <w:pPr>
              <w:rPr>
                <w:rFonts w:ascii="Times New Roman" w:hAnsi="Times New Roman" w:cs="Times New Roman"/>
                <w:color w:val="000000"/>
                <w:sz w:val="21"/>
                <w:szCs w:val="21"/>
              </w:rPr>
            </w:pPr>
            <w:r>
              <w:rPr>
                <w:rFonts w:ascii="Times New Roman" w:hAnsi="Times New Roman" w:cs="Times New Roman"/>
                <w:color w:val="000000"/>
                <w:sz w:val="21"/>
                <w:szCs w:val="21"/>
              </w:rPr>
              <w:t>（2）返还义务，即将遗失物返还给权利人</w:t>
            </w:r>
          </w:p>
        </w:tc>
      </w:tr>
      <w:tr w14:paraId="6A752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top"/>
          </w:tcPr>
          <w:p w14:paraId="7D1A6CCE">
            <w:pPr>
              <w:rPr>
                <w:rFonts w:ascii="Times New Roman" w:hAnsi="Times New Roman" w:cs="Times New Roman"/>
                <w:color w:val="000000"/>
                <w:sz w:val="21"/>
                <w:szCs w:val="21"/>
              </w:rPr>
            </w:pPr>
          </w:p>
        </w:tc>
        <w:tc>
          <w:tcPr>
            <w:tcW w:w="7421" w:type="dxa"/>
            <w:noWrap w:val="0"/>
            <w:vAlign w:val="top"/>
          </w:tcPr>
          <w:p w14:paraId="7E8F4500">
            <w:pPr>
              <w:rPr>
                <w:rFonts w:ascii="Times New Roman" w:hAnsi="Times New Roman" w:cs="Times New Roman"/>
                <w:color w:val="000000"/>
                <w:sz w:val="21"/>
                <w:szCs w:val="21"/>
              </w:rPr>
            </w:pPr>
            <w:r>
              <w:rPr>
                <w:rFonts w:ascii="Times New Roman" w:hAnsi="Times New Roman" w:cs="Times New Roman"/>
                <w:color w:val="000000"/>
                <w:sz w:val="21"/>
                <w:szCs w:val="21"/>
              </w:rPr>
              <w:t>（3）送交有关部门的义务</w:t>
            </w:r>
          </w:p>
        </w:tc>
      </w:tr>
      <w:tr w14:paraId="5351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top"/>
          </w:tcPr>
          <w:p w14:paraId="77EE69D0">
            <w:pPr>
              <w:rPr>
                <w:rFonts w:ascii="Times New Roman" w:hAnsi="Times New Roman" w:cs="Times New Roman"/>
                <w:color w:val="000000"/>
                <w:sz w:val="21"/>
                <w:szCs w:val="21"/>
              </w:rPr>
            </w:pPr>
          </w:p>
        </w:tc>
        <w:tc>
          <w:tcPr>
            <w:tcW w:w="7421" w:type="dxa"/>
            <w:noWrap w:val="0"/>
            <w:vAlign w:val="top"/>
          </w:tcPr>
          <w:p w14:paraId="164E3606">
            <w:pPr>
              <w:rPr>
                <w:rFonts w:ascii="Times New Roman" w:hAnsi="Times New Roman" w:cs="Times New Roman"/>
                <w:color w:val="000000"/>
                <w:sz w:val="21"/>
                <w:szCs w:val="21"/>
              </w:rPr>
            </w:pPr>
            <w:r>
              <w:rPr>
                <w:rFonts w:ascii="Times New Roman" w:hAnsi="Times New Roman" w:cs="Times New Roman"/>
                <w:color w:val="000000"/>
                <w:sz w:val="21"/>
                <w:szCs w:val="21"/>
              </w:rPr>
              <w:t>（4）保管义务，即在遗失物送交有关部门前，有关部门在遗失物被领取前，妥善保管遗失物的义务</w:t>
            </w:r>
          </w:p>
        </w:tc>
      </w:tr>
      <w:tr w14:paraId="6C87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noWrap w:val="0"/>
            <w:vAlign w:val="center"/>
          </w:tcPr>
          <w:p w14:paraId="0AFC8075">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拾得人的权利</w:t>
            </w:r>
          </w:p>
        </w:tc>
        <w:tc>
          <w:tcPr>
            <w:tcW w:w="7421" w:type="dxa"/>
            <w:noWrap w:val="0"/>
            <w:vAlign w:val="top"/>
          </w:tcPr>
          <w:p w14:paraId="16814DAE">
            <w:pPr>
              <w:rPr>
                <w:rFonts w:ascii="Times New Roman" w:hAnsi="Times New Roman" w:cs="Times New Roman"/>
                <w:color w:val="000000"/>
                <w:sz w:val="21"/>
                <w:szCs w:val="21"/>
              </w:rPr>
            </w:pPr>
            <w:r>
              <w:rPr>
                <w:rFonts w:ascii="Times New Roman" w:hAnsi="Times New Roman" w:cs="Times New Roman"/>
                <w:color w:val="000000"/>
                <w:sz w:val="21"/>
                <w:szCs w:val="21"/>
              </w:rPr>
              <w:t>（1）必要费用偿还请求权</w:t>
            </w:r>
          </w:p>
        </w:tc>
      </w:tr>
      <w:tr w14:paraId="1EA6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top"/>
          </w:tcPr>
          <w:p w14:paraId="5E8D1C02">
            <w:pPr>
              <w:rPr>
                <w:rFonts w:ascii="Times New Roman" w:hAnsi="Times New Roman" w:cs="Times New Roman"/>
                <w:color w:val="000000"/>
                <w:sz w:val="21"/>
                <w:szCs w:val="21"/>
              </w:rPr>
            </w:pPr>
          </w:p>
        </w:tc>
        <w:tc>
          <w:tcPr>
            <w:tcW w:w="7421" w:type="dxa"/>
            <w:noWrap w:val="0"/>
            <w:vAlign w:val="top"/>
          </w:tcPr>
          <w:p w14:paraId="5755CAAB">
            <w:pPr>
              <w:rPr>
                <w:rFonts w:hint="eastAsia" w:ascii="Times New Roman" w:hAnsi="Times New Roman" w:eastAsia="宋体" w:cs="Times New Roman"/>
                <w:color w:val="000000"/>
                <w:sz w:val="21"/>
                <w:szCs w:val="21"/>
                <w:lang w:eastAsia="zh-CN"/>
              </w:rPr>
            </w:pPr>
            <w:r>
              <w:rPr>
                <w:rFonts w:ascii="Times New Roman" w:hAnsi="Times New Roman" w:cs="Times New Roman"/>
                <w:color w:val="000000"/>
                <w:sz w:val="21"/>
                <w:szCs w:val="21"/>
              </w:rPr>
              <w:t>（2）基于悬赏广告的报酬请求权</w:t>
            </w:r>
            <w:r>
              <w:rPr>
                <w:rFonts w:hint="eastAsia" w:ascii="Times New Roman" w:hAnsi="Times New Roman" w:cs="Times New Roman"/>
                <w:color w:val="000000"/>
                <w:sz w:val="21"/>
                <w:szCs w:val="21"/>
                <w:lang w:eastAsia="zh-CN"/>
              </w:rPr>
              <w:t>（</w:t>
            </w:r>
            <w:r>
              <w:rPr>
                <w:rFonts w:hint="eastAsia" w:ascii="Times New Roman" w:hAnsi="Times New Roman" w:cs="Times New Roman"/>
                <w:color w:val="FF0000"/>
                <w:sz w:val="21"/>
                <w:szCs w:val="21"/>
                <w:lang w:val="en-US" w:eastAsia="zh-CN"/>
              </w:rPr>
              <w:t>存在悬赏广告为前提</w:t>
            </w:r>
            <w:r>
              <w:rPr>
                <w:rFonts w:hint="eastAsia" w:ascii="Times New Roman" w:hAnsi="Times New Roman" w:cs="Times New Roman"/>
                <w:color w:val="FF0000"/>
                <w:sz w:val="21"/>
                <w:szCs w:val="21"/>
                <w:lang w:eastAsia="zh-CN"/>
              </w:rPr>
              <w:t>）</w:t>
            </w:r>
          </w:p>
        </w:tc>
      </w:tr>
      <w:tr w14:paraId="7A7DD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top"/>
          </w:tcPr>
          <w:p w14:paraId="7CE4D03C">
            <w:pPr>
              <w:rPr>
                <w:rFonts w:ascii="Times New Roman" w:hAnsi="Times New Roman" w:cs="Times New Roman"/>
                <w:color w:val="000000"/>
                <w:sz w:val="21"/>
                <w:szCs w:val="21"/>
              </w:rPr>
            </w:pPr>
          </w:p>
        </w:tc>
        <w:tc>
          <w:tcPr>
            <w:tcW w:w="7421" w:type="dxa"/>
            <w:noWrap w:val="0"/>
            <w:vAlign w:val="top"/>
          </w:tcPr>
          <w:p w14:paraId="2547813D">
            <w:pPr>
              <w:rPr>
                <w:rFonts w:ascii="Times New Roman" w:hAnsi="Times New Roman" w:cs="Times New Roman"/>
                <w:color w:val="000000"/>
                <w:sz w:val="21"/>
                <w:szCs w:val="21"/>
              </w:rPr>
            </w:pPr>
            <w:r>
              <w:rPr>
                <w:rFonts w:ascii="Times New Roman" w:hAnsi="Times New Roman" w:cs="Times New Roman"/>
                <w:color w:val="000000"/>
                <w:sz w:val="21"/>
                <w:szCs w:val="21"/>
              </w:rPr>
              <w:t>例外：如果拾得人侵占遗失物，不享有上述两项权利</w:t>
            </w:r>
          </w:p>
        </w:tc>
      </w:tr>
      <w:tr w14:paraId="67A6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noWrap w:val="0"/>
            <w:vAlign w:val="center"/>
          </w:tcPr>
          <w:p w14:paraId="1F3D9DD4">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遗失物的归属</w:t>
            </w:r>
          </w:p>
        </w:tc>
        <w:tc>
          <w:tcPr>
            <w:tcW w:w="7421" w:type="dxa"/>
            <w:noWrap w:val="0"/>
            <w:vAlign w:val="top"/>
          </w:tcPr>
          <w:p w14:paraId="2965BD07">
            <w:pPr>
              <w:rPr>
                <w:rFonts w:ascii="Times New Roman" w:hAnsi="Times New Roman" w:cs="Times New Roman"/>
                <w:color w:val="000000"/>
                <w:sz w:val="21"/>
                <w:szCs w:val="21"/>
              </w:rPr>
            </w:pPr>
            <w:r>
              <w:rPr>
                <w:rFonts w:ascii="Times New Roman" w:hAnsi="Times New Roman" w:cs="Times New Roman"/>
                <w:color w:val="000000"/>
                <w:sz w:val="21"/>
                <w:szCs w:val="21"/>
              </w:rPr>
              <w:t>（1）</w:t>
            </w:r>
            <w:r>
              <w:rPr>
                <w:rFonts w:ascii="Times New Roman" w:hAnsi="Times New Roman" w:cs="Times New Roman"/>
                <w:b/>
                <w:bCs/>
                <w:color w:val="000000"/>
                <w:sz w:val="21"/>
                <w:szCs w:val="21"/>
                <w:u w:val="single"/>
              </w:rPr>
              <w:t>原则上物归原主</w:t>
            </w:r>
            <w:r>
              <w:rPr>
                <w:rFonts w:ascii="Times New Roman" w:hAnsi="Times New Roman" w:cs="Times New Roman"/>
                <w:color w:val="000000"/>
                <w:sz w:val="21"/>
                <w:szCs w:val="21"/>
              </w:rPr>
              <w:t>，原权利人有权请求返还</w:t>
            </w:r>
          </w:p>
        </w:tc>
      </w:tr>
      <w:tr w14:paraId="2E01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top"/>
          </w:tcPr>
          <w:p w14:paraId="78999576">
            <w:pPr>
              <w:rPr>
                <w:rFonts w:ascii="Times New Roman" w:hAnsi="Times New Roman" w:cs="Times New Roman"/>
                <w:color w:val="000000"/>
                <w:sz w:val="21"/>
                <w:szCs w:val="21"/>
              </w:rPr>
            </w:pPr>
          </w:p>
        </w:tc>
        <w:tc>
          <w:tcPr>
            <w:tcW w:w="7421" w:type="dxa"/>
            <w:noWrap w:val="0"/>
            <w:vAlign w:val="top"/>
          </w:tcPr>
          <w:p w14:paraId="172CB5D7">
            <w:pPr>
              <w:rPr>
                <w:rFonts w:ascii="Times New Roman" w:hAnsi="Times New Roman" w:cs="Times New Roman"/>
                <w:color w:val="000000"/>
                <w:sz w:val="21"/>
                <w:szCs w:val="21"/>
              </w:rPr>
            </w:pPr>
            <w:r>
              <w:rPr>
                <w:rFonts w:ascii="Times New Roman" w:hAnsi="Times New Roman" w:cs="Times New Roman"/>
                <w:color w:val="000000"/>
                <w:sz w:val="21"/>
                <w:szCs w:val="21"/>
              </w:rPr>
              <w:t>（2）遗失物自发布招领公告之日起</w:t>
            </w:r>
            <w:r>
              <w:rPr>
                <w:rFonts w:ascii="Times New Roman" w:hAnsi="Times New Roman" w:cs="Times New Roman"/>
                <w:b/>
                <w:bCs/>
                <w:color w:val="000000"/>
                <w:sz w:val="21"/>
                <w:szCs w:val="21"/>
                <w:u w:val="single"/>
              </w:rPr>
              <w:t>1年</w:t>
            </w:r>
            <w:r>
              <w:rPr>
                <w:rFonts w:ascii="Times New Roman" w:hAnsi="Times New Roman" w:cs="Times New Roman"/>
                <w:color w:val="000000"/>
                <w:sz w:val="21"/>
                <w:szCs w:val="21"/>
              </w:rPr>
              <w:t>内无人认领的，归</w:t>
            </w:r>
            <w:r>
              <w:rPr>
                <w:rFonts w:ascii="Times New Roman" w:hAnsi="Times New Roman" w:cs="Times New Roman"/>
                <w:b/>
                <w:bCs/>
                <w:color w:val="000000"/>
                <w:sz w:val="21"/>
                <w:szCs w:val="21"/>
                <w:u w:val="single"/>
              </w:rPr>
              <w:t>国家</w:t>
            </w:r>
            <w:r>
              <w:rPr>
                <w:rFonts w:ascii="Times New Roman" w:hAnsi="Times New Roman" w:cs="Times New Roman"/>
                <w:color w:val="000000"/>
                <w:sz w:val="21"/>
                <w:szCs w:val="21"/>
              </w:rPr>
              <w:t>所有</w:t>
            </w:r>
          </w:p>
        </w:tc>
      </w:tr>
    </w:tbl>
    <w:p w14:paraId="582466CA">
      <w:pPr>
        <w:spacing w:line="276" w:lineRule="auto"/>
        <w:ind w:firstLine="420"/>
        <w:rPr>
          <w:rFonts w:ascii="Times New Roman" w:hAnsi="Times New Roman" w:eastAsia="楷体" w:cs="Times New Roman"/>
          <w:color w:val="000000"/>
          <w:sz w:val="21"/>
          <w:szCs w:val="21"/>
        </w:rPr>
      </w:pPr>
    </w:p>
    <w:p w14:paraId="5A02D613">
      <w:pPr>
        <w:spacing w:line="276" w:lineRule="auto"/>
        <w:ind w:firstLine="420"/>
        <w:rPr>
          <w:rFonts w:ascii="Times New Roman" w:hAnsi="Times New Roman" w:eastAsia="楷体" w:cs="Times New Roman"/>
          <w:color w:val="000000"/>
          <w:sz w:val="21"/>
          <w:szCs w:val="21"/>
        </w:rPr>
      </w:pPr>
      <w:r>
        <w:rPr>
          <w:rFonts w:ascii="Times New Roman" w:hAnsi="Times New Roman" w:eastAsia="楷体" w:cs="Times New Roman"/>
          <w:color w:val="000000"/>
          <w:sz w:val="21"/>
          <w:szCs w:val="21"/>
        </w:rPr>
        <w:t>特别提醒：</w:t>
      </w:r>
    </w:p>
    <w:p w14:paraId="5647F373">
      <w:pPr>
        <w:spacing w:line="276" w:lineRule="auto"/>
        <w:ind w:firstLine="420"/>
        <w:rPr>
          <w:rFonts w:ascii="Times New Roman" w:hAnsi="Times New Roman" w:eastAsia="楷体" w:cs="Times New Roman"/>
          <w:color w:val="000000"/>
          <w:sz w:val="21"/>
          <w:szCs w:val="21"/>
        </w:rPr>
      </w:pPr>
      <w:r>
        <w:rPr>
          <w:rFonts w:ascii="Times New Roman" w:hAnsi="Times New Roman" w:eastAsia="楷体" w:cs="Times New Roman"/>
          <w:color w:val="000000"/>
          <w:sz w:val="21"/>
          <w:szCs w:val="21"/>
        </w:rPr>
        <w:t>1</w:t>
      </w:r>
      <w:r>
        <w:rPr>
          <w:rFonts w:hint="eastAsia" w:ascii="Times New Roman" w:hAnsi="Times New Roman" w:eastAsia="楷体" w:cs="Times New Roman"/>
          <w:color w:val="000000"/>
          <w:sz w:val="21"/>
          <w:szCs w:val="21"/>
        </w:rPr>
        <w:t>．</w:t>
      </w:r>
      <w:r>
        <w:rPr>
          <w:rFonts w:ascii="Times New Roman" w:hAnsi="Times New Roman" w:eastAsia="楷体" w:cs="Times New Roman"/>
          <w:color w:val="000000"/>
          <w:sz w:val="21"/>
          <w:szCs w:val="21"/>
        </w:rPr>
        <w:t>必要费用偿还请求权中的必要费用必须是拾得人实际所支出的费用，不能理解为类似有偿保管的保管费。</w:t>
      </w:r>
    </w:p>
    <w:p w14:paraId="09805FA8">
      <w:pPr>
        <w:spacing w:line="276" w:lineRule="auto"/>
        <w:ind w:firstLine="420"/>
        <w:rPr>
          <w:rFonts w:ascii="Times New Roman" w:hAnsi="Times New Roman" w:eastAsia="楷体" w:cs="Times New Roman"/>
          <w:color w:val="000000"/>
          <w:sz w:val="21"/>
          <w:szCs w:val="21"/>
        </w:rPr>
      </w:pPr>
      <w:r>
        <w:rPr>
          <w:rFonts w:ascii="Times New Roman" w:hAnsi="Times New Roman" w:eastAsia="楷体" w:cs="Times New Roman"/>
          <w:color w:val="000000"/>
          <w:sz w:val="21"/>
          <w:szCs w:val="21"/>
        </w:rPr>
        <w:t>2</w:t>
      </w:r>
      <w:r>
        <w:rPr>
          <w:rFonts w:hint="eastAsia" w:ascii="Times New Roman" w:hAnsi="Times New Roman" w:eastAsia="楷体" w:cs="Times New Roman"/>
          <w:color w:val="000000"/>
          <w:sz w:val="21"/>
          <w:szCs w:val="21"/>
        </w:rPr>
        <w:t>．</w:t>
      </w:r>
      <w:r>
        <w:rPr>
          <w:rFonts w:ascii="Times New Roman" w:hAnsi="Times New Roman" w:eastAsia="楷体" w:cs="Times New Roman"/>
          <w:color w:val="000000"/>
          <w:sz w:val="21"/>
          <w:szCs w:val="21"/>
        </w:rPr>
        <w:t>拾得人没有一般性的报酬请求权，只有在悬赏广告等情形下才有报酬请求权</w:t>
      </w:r>
      <w:r>
        <w:rPr>
          <w:rFonts w:ascii="Times New Roman" w:hAnsi="Times New Roman" w:cs="Times New Roman"/>
          <w:color w:val="000000"/>
          <w:sz w:val="21"/>
          <w:szCs w:val="21"/>
        </w:rPr>
        <w:t>。</w:t>
      </w:r>
    </w:p>
    <w:p w14:paraId="21A836EE">
      <w:pPr>
        <w:pStyle w:val="2"/>
        <w:spacing w:line="276" w:lineRule="auto"/>
        <w:jc w:val="center"/>
        <w:rPr>
          <w:rFonts w:ascii="Times New Roman" w:hAnsi="Times New Roman" w:cs="Times New Roman"/>
          <w:bCs w:val="0"/>
          <w:color w:val="000000"/>
          <w:sz w:val="24"/>
          <w:szCs w:val="24"/>
        </w:rPr>
      </w:pPr>
      <w:bookmarkStart w:id="1" w:name="_Toc8794"/>
      <w:r>
        <w:rPr>
          <w:rFonts w:ascii="Times New Roman" w:hAnsi="Times New Roman" w:cs="Times New Roman"/>
          <w:bCs w:val="0"/>
          <w:color w:val="000000"/>
          <w:sz w:val="24"/>
          <w:szCs w:val="24"/>
        </w:rPr>
        <w:t>考点11  用益物权</w:t>
      </w:r>
      <w:bookmarkEnd w:id="1"/>
    </w:p>
    <w:p w14:paraId="75C65B7A">
      <w:pPr>
        <w:spacing w:line="276" w:lineRule="auto"/>
        <w:ind w:firstLine="422" w:firstLineChars="200"/>
        <w:outlineLvl w:val="1"/>
        <w:rPr>
          <w:rFonts w:ascii="Times New Roman" w:hAnsi="Times New Roman" w:cs="Times New Roman"/>
          <w:b/>
          <w:color w:val="000000"/>
          <w:sz w:val="21"/>
          <w:szCs w:val="21"/>
        </w:rPr>
      </w:pPr>
      <w:r>
        <w:rPr>
          <w:rFonts w:ascii="Times New Roman" w:hAnsi="Times New Roman" w:cs="Times New Roman"/>
          <w:b/>
          <w:color w:val="000000"/>
          <w:sz w:val="21"/>
          <w:szCs w:val="21"/>
        </w:rPr>
        <w:t>一、土地承包经营权</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34"/>
        <w:gridCol w:w="6429"/>
      </w:tblGrid>
      <w:tr w14:paraId="5423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Merge w:val="restart"/>
            <w:noWrap w:val="0"/>
            <w:vAlign w:val="center"/>
          </w:tcPr>
          <w:p w14:paraId="2EF94D98">
            <w:pPr>
              <w:spacing w:line="276" w:lineRule="auto"/>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土地承包经营权</w:t>
            </w:r>
          </w:p>
        </w:tc>
        <w:tc>
          <w:tcPr>
            <w:tcW w:w="1134" w:type="dxa"/>
            <w:noWrap w:val="0"/>
            <w:vAlign w:val="center"/>
          </w:tcPr>
          <w:p w14:paraId="497A78C2">
            <w:pPr>
              <w:spacing w:line="276" w:lineRule="auto"/>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设立时点</w:t>
            </w:r>
          </w:p>
        </w:tc>
        <w:tc>
          <w:tcPr>
            <w:tcW w:w="6429" w:type="dxa"/>
            <w:noWrap w:val="0"/>
            <w:vAlign w:val="top"/>
          </w:tcPr>
          <w:p w14:paraId="33319D01">
            <w:pPr>
              <w:spacing w:line="276" w:lineRule="auto"/>
              <w:rPr>
                <w:rFonts w:ascii="Times New Roman" w:hAnsi="Times New Roman" w:cs="Times New Roman"/>
                <w:b/>
                <w:bCs/>
                <w:color w:val="000000"/>
                <w:sz w:val="21"/>
                <w:szCs w:val="21"/>
                <w:u w:val="single"/>
              </w:rPr>
            </w:pPr>
            <w:r>
              <w:rPr>
                <w:rFonts w:ascii="Times New Roman" w:hAnsi="Times New Roman" w:cs="Times New Roman"/>
                <w:b/>
                <w:bCs/>
                <w:color w:val="000000"/>
                <w:sz w:val="21"/>
                <w:szCs w:val="21"/>
                <w:u w:val="single"/>
              </w:rPr>
              <w:t>自土地承包经营权合同生效时设立</w:t>
            </w:r>
          </w:p>
        </w:tc>
      </w:tr>
      <w:tr w14:paraId="36392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14:paraId="54FAF861">
            <w:pPr>
              <w:spacing w:line="276" w:lineRule="auto"/>
              <w:jc w:val="center"/>
              <w:rPr>
                <w:rFonts w:ascii="Times New Roman" w:hAnsi="Times New Roman" w:cs="Times New Roman"/>
                <w:b/>
                <w:bCs/>
                <w:color w:val="000000"/>
                <w:sz w:val="21"/>
                <w:szCs w:val="21"/>
              </w:rPr>
            </w:pPr>
          </w:p>
        </w:tc>
        <w:tc>
          <w:tcPr>
            <w:tcW w:w="1134" w:type="dxa"/>
            <w:vMerge w:val="restart"/>
            <w:noWrap w:val="0"/>
            <w:vAlign w:val="center"/>
          </w:tcPr>
          <w:p w14:paraId="5272E7B4">
            <w:pPr>
              <w:spacing w:line="276" w:lineRule="auto"/>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转让与</w:t>
            </w:r>
          </w:p>
          <w:p w14:paraId="049C179E">
            <w:pPr>
              <w:spacing w:line="276" w:lineRule="auto"/>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互换</w:t>
            </w:r>
          </w:p>
        </w:tc>
        <w:tc>
          <w:tcPr>
            <w:tcW w:w="6429" w:type="dxa"/>
            <w:noWrap w:val="0"/>
            <w:vAlign w:val="top"/>
          </w:tcPr>
          <w:p w14:paraId="60B999B7">
            <w:pPr>
              <w:spacing w:line="276" w:lineRule="auto"/>
              <w:rPr>
                <w:rFonts w:ascii="Times New Roman" w:hAnsi="Times New Roman" w:cs="Times New Roman"/>
                <w:color w:val="000000"/>
                <w:sz w:val="21"/>
                <w:szCs w:val="21"/>
              </w:rPr>
            </w:pPr>
            <w:r>
              <w:rPr>
                <w:rFonts w:ascii="Times New Roman" w:hAnsi="Times New Roman" w:cs="Times New Roman"/>
                <w:color w:val="000000"/>
                <w:sz w:val="21"/>
                <w:szCs w:val="21"/>
              </w:rPr>
              <w:t>（1）</w:t>
            </w:r>
            <w:r>
              <w:rPr>
                <w:rFonts w:ascii="Times New Roman" w:hAnsi="Times New Roman" w:cs="Times New Roman"/>
                <w:b/>
                <w:bCs/>
                <w:color w:val="000000"/>
                <w:sz w:val="21"/>
                <w:szCs w:val="21"/>
                <w:u w:val="single"/>
              </w:rPr>
              <w:t>只可以在本集体经济组织内部转让与互换</w:t>
            </w:r>
          </w:p>
        </w:tc>
      </w:tr>
      <w:tr w14:paraId="4E076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14:paraId="2C144CE3">
            <w:pPr>
              <w:spacing w:line="276" w:lineRule="auto"/>
              <w:jc w:val="center"/>
              <w:rPr>
                <w:rFonts w:ascii="Times New Roman" w:hAnsi="Times New Roman" w:cs="Times New Roman"/>
                <w:b/>
                <w:bCs/>
                <w:color w:val="000000"/>
                <w:sz w:val="21"/>
                <w:szCs w:val="21"/>
              </w:rPr>
            </w:pPr>
          </w:p>
        </w:tc>
        <w:tc>
          <w:tcPr>
            <w:tcW w:w="1134" w:type="dxa"/>
            <w:vMerge w:val="continue"/>
            <w:noWrap w:val="0"/>
            <w:vAlign w:val="center"/>
          </w:tcPr>
          <w:p w14:paraId="337A6624">
            <w:pPr>
              <w:spacing w:line="276" w:lineRule="auto"/>
              <w:jc w:val="center"/>
              <w:rPr>
                <w:rFonts w:ascii="Times New Roman" w:hAnsi="Times New Roman" w:cs="Times New Roman"/>
                <w:b/>
                <w:bCs/>
                <w:color w:val="000000"/>
                <w:sz w:val="21"/>
                <w:szCs w:val="21"/>
              </w:rPr>
            </w:pPr>
          </w:p>
        </w:tc>
        <w:tc>
          <w:tcPr>
            <w:tcW w:w="6429" w:type="dxa"/>
            <w:noWrap w:val="0"/>
            <w:vAlign w:val="top"/>
          </w:tcPr>
          <w:p w14:paraId="4E7CE9A5">
            <w:pPr>
              <w:spacing w:line="276" w:lineRule="auto"/>
              <w:rPr>
                <w:rFonts w:ascii="Times New Roman" w:hAnsi="Times New Roman" w:cs="Times New Roman"/>
                <w:color w:val="000000"/>
                <w:sz w:val="21"/>
                <w:szCs w:val="21"/>
              </w:rPr>
            </w:pPr>
            <w:r>
              <w:rPr>
                <w:rFonts w:ascii="Times New Roman" w:hAnsi="Times New Roman" w:cs="Times New Roman"/>
                <w:color w:val="000000"/>
                <w:sz w:val="21"/>
                <w:szCs w:val="21"/>
              </w:rPr>
              <w:t>（2）转让须经发包方同意，互换不需要</w:t>
            </w:r>
          </w:p>
        </w:tc>
      </w:tr>
      <w:tr w14:paraId="14DDB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14:paraId="12FF8B5A">
            <w:pPr>
              <w:spacing w:line="276" w:lineRule="auto"/>
              <w:jc w:val="center"/>
              <w:rPr>
                <w:rFonts w:ascii="Times New Roman" w:hAnsi="Times New Roman" w:cs="Times New Roman"/>
                <w:b/>
                <w:bCs/>
                <w:color w:val="000000"/>
                <w:sz w:val="21"/>
                <w:szCs w:val="21"/>
              </w:rPr>
            </w:pPr>
          </w:p>
        </w:tc>
        <w:tc>
          <w:tcPr>
            <w:tcW w:w="1134" w:type="dxa"/>
            <w:vMerge w:val="continue"/>
            <w:noWrap w:val="0"/>
            <w:vAlign w:val="center"/>
          </w:tcPr>
          <w:p w14:paraId="58B780BB">
            <w:pPr>
              <w:spacing w:line="276" w:lineRule="auto"/>
              <w:jc w:val="center"/>
              <w:rPr>
                <w:rFonts w:ascii="Times New Roman" w:hAnsi="Times New Roman" w:cs="Times New Roman"/>
                <w:b/>
                <w:bCs/>
                <w:color w:val="000000"/>
                <w:sz w:val="21"/>
                <w:szCs w:val="21"/>
              </w:rPr>
            </w:pPr>
          </w:p>
        </w:tc>
        <w:tc>
          <w:tcPr>
            <w:tcW w:w="6429" w:type="dxa"/>
            <w:noWrap w:val="0"/>
            <w:vAlign w:val="top"/>
          </w:tcPr>
          <w:p w14:paraId="65C31D2C">
            <w:pPr>
              <w:spacing w:line="276" w:lineRule="auto"/>
              <w:rPr>
                <w:rFonts w:ascii="Times New Roman" w:hAnsi="Times New Roman" w:cs="Times New Roman"/>
                <w:color w:val="000000"/>
                <w:sz w:val="21"/>
                <w:szCs w:val="21"/>
              </w:rPr>
            </w:pPr>
            <w:r>
              <w:rPr>
                <w:rFonts w:ascii="Times New Roman" w:hAnsi="Times New Roman" w:cs="Times New Roman"/>
                <w:color w:val="000000"/>
                <w:sz w:val="21"/>
                <w:szCs w:val="21"/>
              </w:rPr>
              <w:t>（3）</w:t>
            </w:r>
            <w:r>
              <w:rPr>
                <w:rFonts w:ascii="Times New Roman" w:hAnsi="Times New Roman" w:cs="Times New Roman"/>
                <w:b/>
                <w:bCs/>
                <w:color w:val="000000"/>
                <w:sz w:val="21"/>
                <w:szCs w:val="21"/>
                <w:u w:val="single"/>
              </w:rPr>
              <w:t>转让、互换合同生效时土地承包经营权移转</w:t>
            </w:r>
            <w:r>
              <w:rPr>
                <w:rFonts w:ascii="Times New Roman" w:hAnsi="Times New Roman" w:cs="Times New Roman"/>
                <w:color w:val="000000"/>
                <w:sz w:val="21"/>
                <w:szCs w:val="21"/>
              </w:rPr>
              <w:t>，未登记不得对抗善意第三人</w:t>
            </w:r>
          </w:p>
        </w:tc>
      </w:tr>
      <w:tr w14:paraId="7F0C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noWrap w:val="0"/>
            <w:vAlign w:val="center"/>
          </w:tcPr>
          <w:p w14:paraId="061E665E">
            <w:pPr>
              <w:spacing w:line="276" w:lineRule="auto"/>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土地经营权</w:t>
            </w:r>
          </w:p>
        </w:tc>
        <w:tc>
          <w:tcPr>
            <w:tcW w:w="1134" w:type="dxa"/>
            <w:vMerge w:val="restart"/>
            <w:noWrap w:val="0"/>
            <w:vAlign w:val="center"/>
          </w:tcPr>
          <w:p w14:paraId="34D2895C">
            <w:pPr>
              <w:spacing w:line="276" w:lineRule="auto"/>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设立</w:t>
            </w:r>
          </w:p>
        </w:tc>
        <w:tc>
          <w:tcPr>
            <w:tcW w:w="6429" w:type="dxa"/>
            <w:noWrap w:val="0"/>
            <w:vAlign w:val="top"/>
          </w:tcPr>
          <w:p w14:paraId="34E039D1">
            <w:pPr>
              <w:spacing w:line="276" w:lineRule="auto"/>
              <w:rPr>
                <w:rFonts w:ascii="Times New Roman" w:hAnsi="Times New Roman" w:cs="Times New Roman"/>
                <w:color w:val="000000"/>
                <w:sz w:val="21"/>
                <w:szCs w:val="21"/>
              </w:rPr>
            </w:pPr>
            <w:r>
              <w:rPr>
                <w:rFonts w:ascii="Times New Roman" w:hAnsi="Times New Roman" w:cs="Times New Roman"/>
                <w:color w:val="000000"/>
                <w:sz w:val="21"/>
                <w:szCs w:val="21"/>
              </w:rPr>
              <w:t>（1）土地承包经营权人可以自主决定依法采取出租、入股或者其他方式向他人流转土地经营权</w:t>
            </w:r>
          </w:p>
        </w:tc>
      </w:tr>
      <w:tr w14:paraId="63E6B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14:paraId="2770E18F">
            <w:pPr>
              <w:spacing w:line="276" w:lineRule="auto"/>
              <w:jc w:val="center"/>
              <w:rPr>
                <w:rFonts w:ascii="Times New Roman" w:hAnsi="Times New Roman" w:cs="Times New Roman"/>
                <w:b/>
                <w:bCs/>
                <w:color w:val="000000"/>
                <w:sz w:val="21"/>
                <w:szCs w:val="21"/>
              </w:rPr>
            </w:pPr>
          </w:p>
        </w:tc>
        <w:tc>
          <w:tcPr>
            <w:tcW w:w="1134" w:type="dxa"/>
            <w:vMerge w:val="continue"/>
            <w:noWrap w:val="0"/>
            <w:vAlign w:val="center"/>
          </w:tcPr>
          <w:p w14:paraId="33304C14">
            <w:pPr>
              <w:spacing w:line="276" w:lineRule="auto"/>
              <w:jc w:val="center"/>
              <w:rPr>
                <w:rFonts w:ascii="Times New Roman" w:hAnsi="Times New Roman" w:cs="Times New Roman"/>
                <w:b/>
                <w:bCs/>
                <w:color w:val="000000"/>
                <w:sz w:val="21"/>
                <w:szCs w:val="21"/>
              </w:rPr>
            </w:pPr>
          </w:p>
        </w:tc>
        <w:tc>
          <w:tcPr>
            <w:tcW w:w="6429" w:type="dxa"/>
            <w:noWrap w:val="0"/>
            <w:vAlign w:val="top"/>
          </w:tcPr>
          <w:p w14:paraId="6E50D1BA">
            <w:pPr>
              <w:spacing w:line="276" w:lineRule="auto"/>
              <w:rPr>
                <w:rFonts w:ascii="Times New Roman" w:hAnsi="Times New Roman" w:cs="Times New Roman"/>
                <w:color w:val="000000"/>
                <w:sz w:val="21"/>
                <w:szCs w:val="21"/>
              </w:rPr>
            </w:pPr>
            <w:r>
              <w:rPr>
                <w:rFonts w:ascii="Times New Roman" w:hAnsi="Times New Roman" w:cs="Times New Roman"/>
                <w:color w:val="000000"/>
                <w:sz w:val="21"/>
                <w:szCs w:val="21"/>
              </w:rPr>
              <w:t>（2）</w:t>
            </w:r>
            <w:r>
              <w:rPr>
                <w:rFonts w:ascii="Times New Roman" w:hAnsi="Times New Roman" w:cs="Times New Roman"/>
                <w:b/>
                <w:bCs/>
                <w:color w:val="000000"/>
                <w:sz w:val="21"/>
                <w:szCs w:val="21"/>
                <w:u w:val="single"/>
              </w:rPr>
              <w:t>土地经营权人没有身份限制</w:t>
            </w:r>
            <w:r>
              <w:rPr>
                <w:rFonts w:ascii="Times New Roman" w:hAnsi="Times New Roman" w:cs="Times New Roman"/>
                <w:color w:val="000000"/>
                <w:sz w:val="21"/>
                <w:szCs w:val="21"/>
              </w:rPr>
              <w:t>，不要求是本集体经济组织成员</w:t>
            </w:r>
          </w:p>
        </w:tc>
      </w:tr>
      <w:tr w14:paraId="7E74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14:paraId="4D8C29AE">
            <w:pPr>
              <w:spacing w:line="276" w:lineRule="auto"/>
              <w:jc w:val="center"/>
              <w:rPr>
                <w:rFonts w:ascii="Times New Roman" w:hAnsi="Times New Roman" w:cs="Times New Roman"/>
                <w:b/>
                <w:bCs/>
                <w:color w:val="000000"/>
                <w:sz w:val="21"/>
                <w:szCs w:val="21"/>
              </w:rPr>
            </w:pPr>
          </w:p>
        </w:tc>
        <w:tc>
          <w:tcPr>
            <w:tcW w:w="1134" w:type="dxa"/>
            <w:vMerge w:val="continue"/>
            <w:noWrap w:val="0"/>
            <w:vAlign w:val="center"/>
          </w:tcPr>
          <w:p w14:paraId="280E08C4">
            <w:pPr>
              <w:spacing w:line="276" w:lineRule="auto"/>
              <w:jc w:val="center"/>
              <w:rPr>
                <w:rFonts w:ascii="Times New Roman" w:hAnsi="Times New Roman" w:cs="Times New Roman"/>
                <w:b/>
                <w:bCs/>
                <w:color w:val="000000"/>
                <w:sz w:val="21"/>
                <w:szCs w:val="21"/>
              </w:rPr>
            </w:pPr>
          </w:p>
        </w:tc>
        <w:tc>
          <w:tcPr>
            <w:tcW w:w="6429" w:type="dxa"/>
            <w:noWrap w:val="0"/>
            <w:vAlign w:val="top"/>
          </w:tcPr>
          <w:p w14:paraId="169B3DD6">
            <w:pPr>
              <w:spacing w:line="276" w:lineRule="auto"/>
              <w:rPr>
                <w:rFonts w:ascii="Times New Roman" w:hAnsi="Times New Roman" w:cs="Times New Roman"/>
                <w:color w:val="000000"/>
                <w:sz w:val="21"/>
                <w:szCs w:val="21"/>
              </w:rPr>
            </w:pPr>
            <w:r>
              <w:rPr>
                <w:rFonts w:ascii="Times New Roman" w:hAnsi="Times New Roman" w:cs="Times New Roman"/>
                <w:color w:val="000000"/>
                <w:sz w:val="21"/>
                <w:szCs w:val="21"/>
              </w:rPr>
              <w:t>（3）</w:t>
            </w:r>
            <w:r>
              <w:rPr>
                <w:rFonts w:ascii="Times New Roman" w:hAnsi="Times New Roman" w:cs="Times New Roman"/>
                <w:b/>
                <w:bCs/>
                <w:color w:val="000000"/>
                <w:sz w:val="21"/>
                <w:szCs w:val="21"/>
                <w:u w:val="single"/>
              </w:rPr>
              <w:t>流转期限5年以下的，类似于租赁权</w:t>
            </w:r>
            <w:r>
              <w:rPr>
                <w:rFonts w:ascii="Times New Roman" w:hAnsi="Times New Roman" w:cs="Times New Roman"/>
                <w:color w:val="000000"/>
                <w:sz w:val="21"/>
                <w:szCs w:val="21"/>
              </w:rPr>
              <w:t>，合同生效时土地经营权设立；</w:t>
            </w:r>
            <w:r>
              <w:rPr>
                <w:rFonts w:ascii="Times New Roman" w:hAnsi="Times New Roman" w:cs="Times New Roman"/>
                <w:b/>
                <w:bCs/>
                <w:color w:val="FF0000"/>
                <w:sz w:val="21"/>
                <w:szCs w:val="21"/>
                <w:u w:val="single"/>
              </w:rPr>
              <w:t>流转期限5年以上的，类似于用益物权</w:t>
            </w:r>
            <w:r>
              <w:rPr>
                <w:rFonts w:ascii="Times New Roman" w:hAnsi="Times New Roman" w:cs="Times New Roman"/>
                <w:color w:val="FF0000"/>
                <w:sz w:val="21"/>
                <w:szCs w:val="21"/>
              </w:rPr>
              <w:t>，合同生效时土地经营权设立，未经登记不得对抗善意第三人</w:t>
            </w:r>
          </w:p>
        </w:tc>
      </w:tr>
      <w:tr w14:paraId="6A41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14:paraId="7382E506">
            <w:pPr>
              <w:spacing w:line="276" w:lineRule="auto"/>
              <w:jc w:val="center"/>
              <w:rPr>
                <w:rFonts w:ascii="Times New Roman" w:hAnsi="Times New Roman" w:cs="Times New Roman"/>
                <w:b/>
                <w:bCs/>
                <w:color w:val="000000"/>
                <w:sz w:val="21"/>
                <w:szCs w:val="21"/>
              </w:rPr>
            </w:pPr>
          </w:p>
        </w:tc>
        <w:tc>
          <w:tcPr>
            <w:tcW w:w="1134" w:type="dxa"/>
            <w:noWrap w:val="0"/>
            <w:vAlign w:val="center"/>
          </w:tcPr>
          <w:p w14:paraId="71B0CE0A">
            <w:pPr>
              <w:spacing w:line="276" w:lineRule="auto"/>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流转</w:t>
            </w:r>
          </w:p>
        </w:tc>
        <w:tc>
          <w:tcPr>
            <w:tcW w:w="6429" w:type="dxa"/>
            <w:noWrap w:val="0"/>
            <w:vAlign w:val="top"/>
          </w:tcPr>
          <w:p w14:paraId="675F5D59">
            <w:pPr>
              <w:spacing w:line="276" w:lineRule="auto"/>
              <w:rPr>
                <w:rFonts w:ascii="Times New Roman" w:hAnsi="Times New Roman" w:cs="Times New Roman"/>
                <w:color w:val="000000"/>
                <w:sz w:val="21"/>
                <w:szCs w:val="21"/>
              </w:rPr>
            </w:pPr>
            <w:r>
              <w:rPr>
                <w:rFonts w:ascii="Times New Roman" w:hAnsi="Times New Roman" w:cs="Times New Roman"/>
                <w:color w:val="000000"/>
                <w:sz w:val="21"/>
                <w:szCs w:val="21"/>
              </w:rPr>
              <w:t>原则上可以自由地转让、抵押等，</w:t>
            </w:r>
            <w:r>
              <w:rPr>
                <w:rFonts w:ascii="Times New Roman" w:hAnsi="Times New Roman" w:cs="Times New Roman"/>
                <w:b/>
                <w:bCs/>
                <w:color w:val="000000"/>
                <w:sz w:val="21"/>
                <w:szCs w:val="21"/>
                <w:u w:val="single"/>
              </w:rPr>
              <w:t>但须经承包方书面同意，并向本集体经济组织备案</w:t>
            </w:r>
          </w:p>
        </w:tc>
      </w:tr>
    </w:tbl>
    <w:p w14:paraId="319AECA4">
      <w:pPr>
        <w:spacing w:line="276" w:lineRule="auto"/>
        <w:outlineLvl w:val="2"/>
        <w:rPr>
          <w:rFonts w:ascii="Times New Roman" w:hAnsi="Times New Roman" w:cs="Times New Roman"/>
          <w:b/>
          <w:color w:val="000000"/>
          <w:sz w:val="21"/>
          <w:szCs w:val="21"/>
        </w:rPr>
      </w:pPr>
    </w:p>
    <w:p w14:paraId="0564D77A">
      <w:pPr>
        <w:spacing w:line="276" w:lineRule="auto"/>
        <w:ind w:firstLine="480"/>
        <w:rPr>
          <w:rFonts w:ascii="Times New Roman" w:hAnsi="Times New Roman" w:cs="Times New Roman"/>
          <w:b/>
          <w:bCs/>
          <w:color w:val="000000"/>
          <w:sz w:val="21"/>
          <w:szCs w:val="21"/>
        </w:rPr>
      </w:pPr>
      <w:r>
        <w:rPr>
          <w:rFonts w:ascii="Times New Roman" w:hAnsi="Times New Roman" w:cs="Times New Roman"/>
          <w:b/>
          <w:bCs/>
          <w:color w:val="000000"/>
          <w:sz w:val="21"/>
          <w:szCs w:val="21"/>
        </w:rPr>
        <w:t>二、居住权</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421"/>
      </w:tblGrid>
      <w:tr w14:paraId="38FF7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69D730E8">
            <w:pPr>
              <w:spacing w:line="276" w:lineRule="auto"/>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概念</w:t>
            </w:r>
          </w:p>
        </w:tc>
        <w:tc>
          <w:tcPr>
            <w:tcW w:w="7421" w:type="dxa"/>
            <w:noWrap w:val="0"/>
            <w:vAlign w:val="top"/>
          </w:tcPr>
          <w:p w14:paraId="74B8A57E">
            <w:pPr>
              <w:spacing w:line="276" w:lineRule="auto"/>
              <w:rPr>
                <w:rFonts w:ascii="Times New Roman" w:hAnsi="Times New Roman" w:cs="Times New Roman"/>
                <w:b/>
                <w:bCs/>
                <w:color w:val="000000"/>
                <w:sz w:val="21"/>
                <w:szCs w:val="21"/>
              </w:rPr>
            </w:pPr>
            <w:r>
              <w:rPr>
                <w:rFonts w:ascii="Times New Roman" w:hAnsi="Times New Roman" w:cs="Times New Roman"/>
                <w:color w:val="000000"/>
                <w:sz w:val="21"/>
                <w:szCs w:val="21"/>
              </w:rPr>
              <w:t>居住权人对他人的住宅享有占有、使用的用益物权，以满足生活居住需要的用益物权</w:t>
            </w:r>
          </w:p>
        </w:tc>
      </w:tr>
      <w:tr w14:paraId="59535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noWrap w:val="0"/>
            <w:vAlign w:val="center"/>
          </w:tcPr>
          <w:p w14:paraId="00805CD9">
            <w:pPr>
              <w:spacing w:line="276" w:lineRule="auto"/>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法律特征</w:t>
            </w:r>
          </w:p>
        </w:tc>
        <w:tc>
          <w:tcPr>
            <w:tcW w:w="7421" w:type="dxa"/>
            <w:noWrap w:val="0"/>
            <w:vAlign w:val="top"/>
          </w:tcPr>
          <w:p w14:paraId="2462E022">
            <w:pPr>
              <w:spacing w:line="276" w:lineRule="auto"/>
              <w:rPr>
                <w:rFonts w:ascii="Times New Roman" w:hAnsi="Times New Roman" w:cs="Times New Roman"/>
                <w:color w:val="000000"/>
                <w:sz w:val="21"/>
                <w:szCs w:val="21"/>
              </w:rPr>
            </w:pPr>
            <w:r>
              <w:rPr>
                <w:rFonts w:ascii="Times New Roman" w:hAnsi="Times New Roman" w:cs="Times New Roman"/>
                <w:color w:val="000000"/>
                <w:sz w:val="21"/>
                <w:szCs w:val="21"/>
              </w:rPr>
              <w:t>（1）独立的用益物权</w:t>
            </w:r>
          </w:p>
        </w:tc>
      </w:tr>
      <w:tr w14:paraId="5C2D4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center"/>
          </w:tcPr>
          <w:p w14:paraId="0194C800">
            <w:pPr>
              <w:spacing w:line="276" w:lineRule="auto"/>
              <w:jc w:val="center"/>
              <w:rPr>
                <w:rFonts w:ascii="Times New Roman" w:hAnsi="Times New Roman" w:cs="Times New Roman"/>
                <w:b/>
                <w:bCs/>
                <w:color w:val="000000"/>
                <w:sz w:val="21"/>
                <w:szCs w:val="21"/>
              </w:rPr>
            </w:pPr>
          </w:p>
        </w:tc>
        <w:tc>
          <w:tcPr>
            <w:tcW w:w="7421" w:type="dxa"/>
            <w:noWrap w:val="0"/>
            <w:vAlign w:val="top"/>
          </w:tcPr>
          <w:p w14:paraId="2849018A">
            <w:pPr>
              <w:spacing w:line="276" w:lineRule="auto"/>
              <w:rPr>
                <w:rFonts w:ascii="Times New Roman" w:hAnsi="Times New Roman" w:cs="Times New Roman"/>
                <w:color w:val="000000"/>
                <w:sz w:val="21"/>
                <w:szCs w:val="21"/>
              </w:rPr>
            </w:pPr>
            <w:r>
              <w:rPr>
                <w:rFonts w:ascii="Times New Roman" w:hAnsi="Times New Roman" w:cs="Times New Roman"/>
                <w:color w:val="000000"/>
                <w:sz w:val="21"/>
                <w:szCs w:val="21"/>
              </w:rPr>
              <w:t>（2）意定用益物权，一般通过合同或遗嘱设立</w:t>
            </w:r>
          </w:p>
        </w:tc>
      </w:tr>
      <w:tr w14:paraId="49702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center"/>
          </w:tcPr>
          <w:p w14:paraId="5332EC72">
            <w:pPr>
              <w:spacing w:line="276" w:lineRule="auto"/>
              <w:jc w:val="center"/>
              <w:rPr>
                <w:rFonts w:ascii="Times New Roman" w:hAnsi="Times New Roman" w:cs="Times New Roman"/>
                <w:b/>
                <w:bCs/>
                <w:color w:val="000000"/>
                <w:sz w:val="21"/>
                <w:szCs w:val="21"/>
              </w:rPr>
            </w:pPr>
          </w:p>
        </w:tc>
        <w:tc>
          <w:tcPr>
            <w:tcW w:w="7421" w:type="dxa"/>
            <w:noWrap w:val="0"/>
            <w:vAlign w:val="top"/>
          </w:tcPr>
          <w:p w14:paraId="2D62ABFD">
            <w:pPr>
              <w:spacing w:line="276" w:lineRule="auto"/>
              <w:rPr>
                <w:rFonts w:ascii="Times New Roman" w:hAnsi="Times New Roman" w:cs="Times New Roman"/>
                <w:color w:val="000000"/>
                <w:sz w:val="21"/>
                <w:szCs w:val="21"/>
              </w:rPr>
            </w:pPr>
            <w:r>
              <w:rPr>
                <w:rFonts w:ascii="Times New Roman" w:hAnsi="Times New Roman" w:cs="Times New Roman"/>
                <w:color w:val="000000"/>
                <w:sz w:val="21"/>
                <w:szCs w:val="21"/>
              </w:rPr>
              <w:t>（3）人役权属性。</w:t>
            </w:r>
            <w:r>
              <w:rPr>
                <w:rFonts w:ascii="Times New Roman" w:hAnsi="Times New Roman" w:cs="Times New Roman"/>
                <w:b/>
                <w:bCs/>
                <w:color w:val="000000"/>
                <w:sz w:val="21"/>
                <w:szCs w:val="21"/>
                <w:u w:val="single"/>
              </w:rPr>
              <w:t>原则上无偿设立</w:t>
            </w:r>
            <w:r>
              <w:rPr>
                <w:rFonts w:ascii="Times New Roman" w:hAnsi="Times New Roman" w:cs="Times New Roman"/>
                <w:color w:val="000000"/>
                <w:sz w:val="21"/>
                <w:szCs w:val="21"/>
              </w:rPr>
              <w:t>，当事人另有约定除外；</w:t>
            </w:r>
            <w:r>
              <w:rPr>
                <w:rFonts w:ascii="Times New Roman" w:hAnsi="Times New Roman" w:cs="Times New Roman"/>
                <w:b/>
                <w:bCs/>
                <w:color w:val="FF0000"/>
                <w:sz w:val="21"/>
                <w:szCs w:val="21"/>
                <w:u w:val="single"/>
              </w:rPr>
              <w:t>不得转让、继承</w:t>
            </w:r>
            <w:r>
              <w:rPr>
                <w:rFonts w:ascii="Times New Roman" w:hAnsi="Times New Roman" w:cs="Times New Roman"/>
                <w:color w:val="FF0000"/>
                <w:sz w:val="21"/>
                <w:szCs w:val="21"/>
              </w:rPr>
              <w:t>；</w:t>
            </w:r>
            <w:r>
              <w:rPr>
                <w:rFonts w:ascii="Times New Roman" w:hAnsi="Times New Roman" w:cs="Times New Roman"/>
                <w:b/>
                <w:bCs/>
                <w:color w:val="FF0000"/>
                <w:sz w:val="21"/>
                <w:szCs w:val="21"/>
                <w:u w:val="single"/>
              </w:rPr>
              <w:t>不得出租，但当事人另有约定除外</w:t>
            </w:r>
          </w:p>
        </w:tc>
      </w:tr>
      <w:tr w14:paraId="3EFE3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center"/>
          </w:tcPr>
          <w:p w14:paraId="2FEDAB6A">
            <w:pPr>
              <w:spacing w:line="276" w:lineRule="auto"/>
              <w:jc w:val="center"/>
              <w:rPr>
                <w:rFonts w:ascii="Times New Roman" w:hAnsi="Times New Roman" w:cs="Times New Roman"/>
                <w:b/>
                <w:bCs/>
                <w:color w:val="000000"/>
                <w:sz w:val="21"/>
                <w:szCs w:val="21"/>
              </w:rPr>
            </w:pPr>
          </w:p>
        </w:tc>
        <w:tc>
          <w:tcPr>
            <w:tcW w:w="7421" w:type="dxa"/>
            <w:noWrap w:val="0"/>
            <w:vAlign w:val="top"/>
          </w:tcPr>
          <w:p w14:paraId="55272A07">
            <w:pPr>
              <w:spacing w:line="276" w:lineRule="auto"/>
              <w:rPr>
                <w:rFonts w:ascii="Times New Roman" w:hAnsi="Times New Roman" w:cs="Times New Roman"/>
                <w:color w:val="000000"/>
                <w:sz w:val="21"/>
                <w:szCs w:val="21"/>
              </w:rPr>
            </w:pPr>
            <w:r>
              <w:rPr>
                <w:rFonts w:ascii="Times New Roman" w:hAnsi="Times New Roman" w:cs="Times New Roman"/>
                <w:color w:val="000000"/>
                <w:sz w:val="21"/>
                <w:szCs w:val="21"/>
              </w:rPr>
              <w:t>（4）以他人的住宅为客体</w:t>
            </w:r>
          </w:p>
        </w:tc>
      </w:tr>
      <w:tr w14:paraId="51CEB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07574332">
            <w:pPr>
              <w:spacing w:line="276" w:lineRule="auto"/>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权利内容</w:t>
            </w:r>
          </w:p>
        </w:tc>
        <w:tc>
          <w:tcPr>
            <w:tcW w:w="7421" w:type="dxa"/>
            <w:noWrap w:val="0"/>
            <w:vAlign w:val="top"/>
          </w:tcPr>
          <w:p w14:paraId="18FFA2D7">
            <w:pPr>
              <w:spacing w:line="276" w:lineRule="auto"/>
              <w:rPr>
                <w:rFonts w:ascii="Times New Roman" w:hAnsi="Times New Roman" w:cs="Times New Roman"/>
                <w:color w:val="000000"/>
                <w:sz w:val="21"/>
                <w:szCs w:val="21"/>
              </w:rPr>
            </w:pPr>
            <w:r>
              <w:rPr>
                <w:rFonts w:ascii="Times New Roman" w:hAnsi="Times New Roman" w:cs="Times New Roman"/>
                <w:color w:val="000000"/>
                <w:sz w:val="21"/>
                <w:szCs w:val="21"/>
              </w:rPr>
              <w:t>满足生活居住需要的占有与使用，原则上不包括收益</w:t>
            </w:r>
          </w:p>
        </w:tc>
      </w:tr>
      <w:tr w14:paraId="64C03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2BB636AF">
            <w:pPr>
              <w:spacing w:line="276" w:lineRule="auto"/>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设立</w:t>
            </w:r>
          </w:p>
        </w:tc>
        <w:tc>
          <w:tcPr>
            <w:tcW w:w="7421" w:type="dxa"/>
            <w:noWrap w:val="0"/>
            <w:vAlign w:val="top"/>
          </w:tcPr>
          <w:p w14:paraId="03C33C7C">
            <w:pPr>
              <w:spacing w:line="276" w:lineRule="auto"/>
              <w:rPr>
                <w:rFonts w:hint="eastAsia" w:ascii="Times New Roman" w:hAnsi="Times New Roman" w:eastAsia="宋体" w:cs="Times New Roman"/>
                <w:color w:val="000000"/>
                <w:sz w:val="21"/>
                <w:szCs w:val="21"/>
                <w:lang w:eastAsia="zh-CN"/>
              </w:rPr>
            </w:pPr>
            <w:r>
              <w:rPr>
                <w:rFonts w:ascii="Times New Roman" w:hAnsi="Times New Roman" w:cs="Times New Roman"/>
                <w:color w:val="000000"/>
                <w:sz w:val="21"/>
                <w:szCs w:val="21"/>
              </w:rPr>
              <w:t>签订居住权合同的，</w:t>
            </w:r>
            <w:r>
              <w:rPr>
                <w:rFonts w:ascii="Times New Roman" w:hAnsi="Times New Roman" w:cs="Times New Roman"/>
                <w:b/>
                <w:bCs/>
                <w:color w:val="000000"/>
                <w:sz w:val="21"/>
                <w:szCs w:val="21"/>
                <w:u w:val="single"/>
              </w:rPr>
              <w:t>自登记时设立</w:t>
            </w:r>
            <w:r>
              <w:rPr>
                <w:rFonts w:ascii="Times New Roman" w:hAnsi="Times New Roman" w:cs="Times New Roman"/>
                <w:color w:val="000000"/>
                <w:sz w:val="21"/>
                <w:szCs w:val="21"/>
              </w:rPr>
              <w:t>；基于遗嘱设立，现行法并未规定设立时点</w:t>
            </w:r>
          </w:p>
        </w:tc>
      </w:tr>
      <w:tr w14:paraId="32630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noWrap w:val="0"/>
            <w:vAlign w:val="center"/>
          </w:tcPr>
          <w:p w14:paraId="61D7EFB0">
            <w:pPr>
              <w:spacing w:line="276" w:lineRule="auto"/>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消灭</w:t>
            </w:r>
          </w:p>
        </w:tc>
        <w:tc>
          <w:tcPr>
            <w:tcW w:w="7421" w:type="dxa"/>
            <w:noWrap w:val="0"/>
            <w:vAlign w:val="top"/>
          </w:tcPr>
          <w:p w14:paraId="6FDBB41B">
            <w:pPr>
              <w:spacing w:line="276" w:lineRule="auto"/>
              <w:rPr>
                <w:rFonts w:ascii="Times New Roman" w:hAnsi="Times New Roman" w:cs="Times New Roman"/>
                <w:color w:val="000000"/>
                <w:sz w:val="21"/>
                <w:szCs w:val="21"/>
              </w:rPr>
            </w:pPr>
            <w:r>
              <w:rPr>
                <w:rFonts w:ascii="Times New Roman" w:hAnsi="Times New Roman" w:cs="Times New Roman"/>
                <w:color w:val="000000"/>
                <w:sz w:val="21"/>
                <w:szCs w:val="21"/>
              </w:rPr>
              <w:t>（1）期限届满</w:t>
            </w:r>
          </w:p>
        </w:tc>
      </w:tr>
      <w:tr w14:paraId="6010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top"/>
          </w:tcPr>
          <w:p w14:paraId="01CE1C45">
            <w:pPr>
              <w:spacing w:line="276" w:lineRule="auto"/>
              <w:rPr>
                <w:rFonts w:ascii="Times New Roman" w:hAnsi="Times New Roman" w:cs="Times New Roman"/>
                <w:b/>
                <w:bCs/>
                <w:color w:val="000000"/>
                <w:sz w:val="21"/>
                <w:szCs w:val="21"/>
              </w:rPr>
            </w:pPr>
          </w:p>
        </w:tc>
        <w:tc>
          <w:tcPr>
            <w:tcW w:w="7421" w:type="dxa"/>
            <w:noWrap w:val="0"/>
            <w:vAlign w:val="top"/>
          </w:tcPr>
          <w:p w14:paraId="01FA7005">
            <w:pPr>
              <w:spacing w:line="276" w:lineRule="auto"/>
              <w:rPr>
                <w:rFonts w:ascii="Times New Roman" w:hAnsi="Times New Roman" w:cs="Times New Roman"/>
                <w:color w:val="000000"/>
                <w:sz w:val="21"/>
                <w:szCs w:val="21"/>
              </w:rPr>
            </w:pPr>
            <w:r>
              <w:rPr>
                <w:rFonts w:ascii="Times New Roman" w:hAnsi="Times New Roman" w:cs="Times New Roman"/>
                <w:color w:val="000000"/>
                <w:sz w:val="21"/>
                <w:szCs w:val="21"/>
              </w:rPr>
              <w:t>（2）居住权人死亡</w:t>
            </w:r>
          </w:p>
        </w:tc>
      </w:tr>
    </w:tbl>
    <w:p w14:paraId="70985F8A">
      <w:pPr>
        <w:spacing w:line="276" w:lineRule="auto"/>
        <w:ind w:firstLine="420"/>
        <w:outlineLvl w:val="2"/>
        <w:rPr>
          <w:rFonts w:ascii="Times New Roman" w:hAnsi="Times New Roman" w:eastAsia="楷体" w:cs="Times New Roman"/>
          <w:bCs/>
          <w:color w:val="000000"/>
          <w:sz w:val="21"/>
          <w:szCs w:val="21"/>
        </w:rPr>
      </w:pPr>
    </w:p>
    <w:p w14:paraId="0CCAFC79">
      <w:pPr>
        <w:spacing w:line="276" w:lineRule="auto"/>
        <w:ind w:firstLine="420"/>
        <w:outlineLvl w:val="2"/>
        <w:rPr>
          <w:rFonts w:ascii="Times New Roman" w:hAnsi="Times New Roman" w:eastAsia="楷体" w:cs="Times New Roman"/>
          <w:bCs/>
          <w:color w:val="000000"/>
          <w:sz w:val="21"/>
          <w:szCs w:val="21"/>
        </w:rPr>
      </w:pPr>
      <w:r>
        <w:rPr>
          <w:rFonts w:ascii="Times New Roman" w:hAnsi="Times New Roman" w:eastAsia="楷体" w:cs="Times New Roman"/>
          <w:bCs/>
          <w:color w:val="000000"/>
          <w:sz w:val="21"/>
          <w:szCs w:val="21"/>
        </w:rPr>
        <w:t>特别提醒：</w:t>
      </w:r>
    </w:p>
    <w:p w14:paraId="6813F8C7">
      <w:pPr>
        <w:spacing w:line="276" w:lineRule="auto"/>
        <w:ind w:firstLine="420"/>
        <w:outlineLvl w:val="2"/>
        <w:rPr>
          <w:rFonts w:ascii="Times New Roman" w:hAnsi="Times New Roman" w:eastAsia="楷体" w:cs="Times New Roman"/>
          <w:bCs/>
          <w:color w:val="000000"/>
          <w:sz w:val="21"/>
          <w:szCs w:val="21"/>
        </w:rPr>
      </w:pPr>
      <w:r>
        <w:rPr>
          <w:rFonts w:ascii="Times New Roman" w:hAnsi="Times New Roman" w:eastAsia="楷体" w:cs="Times New Roman"/>
          <w:bCs/>
          <w:color w:val="000000"/>
          <w:sz w:val="21"/>
          <w:szCs w:val="21"/>
        </w:rPr>
        <w:t>1</w:t>
      </w:r>
      <w:r>
        <w:rPr>
          <w:rFonts w:hint="eastAsia" w:ascii="Times New Roman" w:hAnsi="Times New Roman" w:eastAsia="楷体" w:cs="Times New Roman"/>
          <w:bCs/>
          <w:color w:val="000000"/>
          <w:sz w:val="21"/>
          <w:szCs w:val="21"/>
        </w:rPr>
        <w:t>．</w:t>
      </w:r>
      <w:r>
        <w:rPr>
          <w:rFonts w:ascii="Times New Roman" w:hAnsi="Times New Roman" w:eastAsia="楷体" w:cs="Times New Roman"/>
          <w:b/>
          <w:color w:val="000000"/>
          <w:sz w:val="21"/>
          <w:szCs w:val="21"/>
          <w:u w:val="single"/>
        </w:rPr>
        <w:t>居住权不得转让继承，且不允许当事人约定排除</w:t>
      </w:r>
      <w:r>
        <w:rPr>
          <w:rFonts w:ascii="Times New Roman" w:hAnsi="Times New Roman" w:eastAsia="楷体" w:cs="Times New Roman"/>
          <w:bCs/>
          <w:color w:val="000000"/>
          <w:sz w:val="21"/>
          <w:szCs w:val="21"/>
        </w:rPr>
        <w:t>，居住权人与他人签订居住权转让合同的，合同无效。</w:t>
      </w:r>
    </w:p>
    <w:p w14:paraId="3E13583E">
      <w:pPr>
        <w:spacing w:line="276" w:lineRule="auto"/>
        <w:ind w:firstLine="420"/>
        <w:outlineLvl w:val="2"/>
        <w:rPr>
          <w:rFonts w:ascii="Times New Roman" w:hAnsi="Times New Roman" w:eastAsia="楷体" w:cs="Times New Roman"/>
          <w:bCs/>
          <w:color w:val="000000"/>
          <w:sz w:val="21"/>
          <w:szCs w:val="21"/>
        </w:rPr>
      </w:pPr>
      <w:r>
        <w:rPr>
          <w:rFonts w:ascii="Times New Roman" w:hAnsi="Times New Roman" w:eastAsia="楷体" w:cs="Times New Roman"/>
          <w:bCs/>
          <w:color w:val="000000"/>
          <w:sz w:val="21"/>
          <w:szCs w:val="21"/>
        </w:rPr>
        <w:t>2</w:t>
      </w:r>
      <w:r>
        <w:rPr>
          <w:rFonts w:hint="eastAsia" w:ascii="Times New Roman" w:hAnsi="Times New Roman" w:eastAsia="楷体" w:cs="Times New Roman"/>
          <w:bCs/>
          <w:color w:val="000000"/>
          <w:sz w:val="21"/>
          <w:szCs w:val="21"/>
        </w:rPr>
        <w:t>．</w:t>
      </w:r>
      <w:r>
        <w:rPr>
          <w:rFonts w:ascii="Times New Roman" w:hAnsi="Times New Roman" w:eastAsia="楷体" w:cs="Times New Roman"/>
          <w:bCs/>
          <w:color w:val="000000"/>
          <w:sz w:val="21"/>
          <w:szCs w:val="21"/>
        </w:rPr>
        <w:t>基于遗嘱设立居住权时，居住权的设立时点现行法并未规定，</w:t>
      </w:r>
      <w:r>
        <w:rPr>
          <w:rFonts w:ascii="Times New Roman" w:hAnsi="Times New Roman" w:eastAsia="楷体" w:cs="Times New Roman"/>
          <w:bCs/>
          <w:color w:val="FF0000"/>
          <w:sz w:val="21"/>
          <w:szCs w:val="21"/>
        </w:rPr>
        <w:t>学理上存在争议，从法考的角度，考生不妨按照自登记时设立解题</w:t>
      </w:r>
      <w:r>
        <w:rPr>
          <w:rFonts w:ascii="Times New Roman" w:hAnsi="Times New Roman" w:eastAsia="楷体" w:cs="Times New Roman"/>
          <w:bCs/>
          <w:color w:val="000000"/>
          <w:sz w:val="21"/>
          <w:szCs w:val="21"/>
        </w:rPr>
        <w:t>。</w:t>
      </w:r>
    </w:p>
    <w:p w14:paraId="78DFA027">
      <w:pPr>
        <w:spacing w:line="276" w:lineRule="auto"/>
        <w:ind w:firstLine="422" w:firstLineChars="200"/>
        <w:outlineLvl w:val="1"/>
        <w:rPr>
          <w:rFonts w:ascii="Times New Roman" w:hAnsi="Times New Roman" w:cs="Times New Roman"/>
          <w:b/>
          <w:color w:val="000000"/>
          <w:sz w:val="21"/>
          <w:szCs w:val="21"/>
        </w:rPr>
      </w:pPr>
    </w:p>
    <w:p w14:paraId="324B279C">
      <w:pPr>
        <w:spacing w:line="276" w:lineRule="auto"/>
        <w:ind w:firstLine="422" w:firstLineChars="200"/>
        <w:outlineLvl w:val="1"/>
        <w:rPr>
          <w:rFonts w:ascii="Times New Roman" w:hAnsi="Times New Roman" w:cs="Times New Roman"/>
          <w:b/>
          <w:color w:val="000000"/>
          <w:sz w:val="21"/>
          <w:szCs w:val="21"/>
        </w:rPr>
      </w:pPr>
      <w:r>
        <w:rPr>
          <w:rFonts w:ascii="Times New Roman" w:hAnsi="Times New Roman" w:cs="Times New Roman"/>
          <w:b/>
          <w:color w:val="000000"/>
          <w:sz w:val="21"/>
          <w:szCs w:val="21"/>
        </w:rPr>
        <w:t>三、地役权</w:t>
      </w:r>
    </w:p>
    <w:p w14:paraId="2D228AC1">
      <w:pPr>
        <w:spacing w:line="276" w:lineRule="auto"/>
        <w:ind w:firstLine="422" w:firstLineChars="200"/>
        <w:outlineLvl w:val="1"/>
        <w:rPr>
          <w:rFonts w:ascii="Times New Roman" w:hAnsi="Times New Roman" w:cs="Times New Roman"/>
          <w:b/>
          <w:color w:val="000000"/>
          <w:sz w:val="21"/>
          <w:szCs w:val="21"/>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421"/>
      </w:tblGrid>
      <w:tr w14:paraId="38977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noWrap w:val="0"/>
            <w:vAlign w:val="center"/>
          </w:tcPr>
          <w:p w14:paraId="4F325139">
            <w:pPr>
              <w:spacing w:line="276" w:lineRule="auto"/>
              <w:jc w:val="center"/>
              <w:rPr>
                <w:rFonts w:ascii="Times New Roman" w:hAnsi="Times New Roman" w:cs="Times New Roman"/>
                <w:b/>
                <w:color w:val="000000"/>
                <w:sz w:val="21"/>
                <w:szCs w:val="21"/>
              </w:rPr>
            </w:pPr>
            <w:r>
              <w:rPr>
                <w:rFonts w:ascii="Times New Roman" w:hAnsi="Times New Roman" w:cs="Times New Roman"/>
                <w:b/>
                <w:color w:val="000000"/>
                <w:sz w:val="21"/>
                <w:szCs w:val="21"/>
              </w:rPr>
              <w:t>法律特征</w:t>
            </w:r>
          </w:p>
        </w:tc>
        <w:tc>
          <w:tcPr>
            <w:tcW w:w="7421" w:type="dxa"/>
            <w:noWrap w:val="0"/>
            <w:vAlign w:val="top"/>
          </w:tcPr>
          <w:p w14:paraId="75803780">
            <w:pPr>
              <w:numPr>
                <w:ilvl w:val="0"/>
                <w:numId w:val="1"/>
              </w:numPr>
              <w:spacing w:line="276" w:lineRule="auto"/>
              <w:rPr>
                <w:rFonts w:ascii="Times New Roman" w:hAnsi="Times New Roman" w:cs="Times New Roman"/>
                <w:bCs/>
                <w:color w:val="000000"/>
                <w:sz w:val="21"/>
                <w:szCs w:val="21"/>
              </w:rPr>
            </w:pPr>
            <w:r>
              <w:rPr>
                <w:rFonts w:ascii="Times New Roman" w:hAnsi="Times New Roman" w:cs="Times New Roman"/>
                <w:b/>
                <w:color w:val="000000"/>
                <w:sz w:val="21"/>
                <w:szCs w:val="21"/>
                <w:u w:val="single"/>
              </w:rPr>
              <w:t>从属性</w:t>
            </w:r>
            <w:r>
              <w:rPr>
                <w:rFonts w:ascii="Times New Roman" w:hAnsi="Times New Roman" w:cs="Times New Roman"/>
                <w:bCs/>
                <w:color w:val="000000"/>
                <w:sz w:val="21"/>
                <w:szCs w:val="21"/>
              </w:rPr>
              <w:t>。地役权从属于需役地的所有权或者其他权利，并与该主权利同其法律上的命运。</w:t>
            </w:r>
            <w:r>
              <w:rPr>
                <w:rFonts w:ascii="Times New Roman" w:hAnsi="Times New Roman" w:cs="Times New Roman"/>
                <w:b/>
                <w:color w:val="000000"/>
                <w:sz w:val="21"/>
                <w:szCs w:val="21"/>
                <w:u w:val="single"/>
              </w:rPr>
              <w:t>主权利移转的，地役权一并移转</w:t>
            </w:r>
            <w:r>
              <w:rPr>
                <w:rFonts w:ascii="Times New Roman" w:hAnsi="Times New Roman" w:cs="Times New Roman"/>
                <w:bCs/>
                <w:color w:val="000000"/>
                <w:sz w:val="21"/>
                <w:szCs w:val="21"/>
              </w:rPr>
              <w:t>，但当事人另有约定除外</w:t>
            </w:r>
          </w:p>
          <w:p w14:paraId="048B6A99">
            <w:pPr>
              <w:spacing w:line="276" w:lineRule="auto"/>
              <w:ind w:firstLine="480"/>
              <w:rPr>
                <w:rFonts w:ascii="Times New Roman" w:hAnsi="Times New Roman" w:cs="Times New Roman"/>
                <w:bCs/>
                <w:color w:val="000000"/>
                <w:sz w:val="21"/>
                <w:szCs w:val="21"/>
              </w:rPr>
            </w:pPr>
            <w:r>
              <w:rPr>
                <w:rFonts w:hint="eastAsia" w:ascii="宋体" w:hAnsi="宋体"/>
                <w:sz w:val="21"/>
                <w:szCs w:val="21"/>
              </w:rPr>
              <w:t>在</w:t>
            </w:r>
            <w:r>
              <w:rPr>
                <w:rFonts w:hint="eastAsia" w:ascii="宋体" w:hAnsi="宋体"/>
                <w:color w:val="FF0000"/>
                <w:sz w:val="21"/>
                <w:szCs w:val="21"/>
              </w:rPr>
              <w:t>主权利发生移转时，即便当事人未就地役权是否移转做出约定，也应认为地役权当然随其主权利移转于受让人</w:t>
            </w:r>
            <w:r>
              <w:rPr>
                <w:rFonts w:hint="eastAsia" w:ascii="宋体" w:hAnsi="宋体"/>
                <w:color w:val="FF0000"/>
                <w:sz w:val="21"/>
                <w:szCs w:val="21"/>
                <w:lang w:eastAsia="zh-CN"/>
              </w:rPr>
              <w:t>（</w:t>
            </w:r>
            <w:r>
              <w:rPr>
                <w:rFonts w:hint="eastAsia" w:ascii="宋体" w:hAnsi="宋体"/>
                <w:color w:val="FF0000"/>
                <w:sz w:val="21"/>
                <w:szCs w:val="21"/>
                <w:lang w:val="en-US" w:eastAsia="zh-CN"/>
              </w:rPr>
              <w:t>无论地役权是否登记或者权利人是否知情</w:t>
            </w:r>
            <w:r>
              <w:rPr>
                <w:rFonts w:hint="eastAsia" w:ascii="宋体" w:hAnsi="宋体"/>
                <w:color w:val="FF0000"/>
                <w:sz w:val="21"/>
                <w:szCs w:val="21"/>
                <w:lang w:eastAsia="zh-CN"/>
              </w:rPr>
              <w:t>）</w:t>
            </w:r>
            <w:r>
              <w:rPr>
                <w:rFonts w:hint="eastAsia" w:ascii="宋体" w:hAnsi="宋体"/>
                <w:sz w:val="21"/>
                <w:szCs w:val="21"/>
              </w:rPr>
              <w:t>。</w:t>
            </w:r>
          </w:p>
        </w:tc>
      </w:tr>
      <w:tr w14:paraId="19907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center"/>
          </w:tcPr>
          <w:p w14:paraId="46C405E2">
            <w:pPr>
              <w:spacing w:line="276" w:lineRule="auto"/>
              <w:jc w:val="center"/>
              <w:rPr>
                <w:rFonts w:ascii="Times New Roman" w:hAnsi="Times New Roman" w:cs="Times New Roman"/>
                <w:b/>
                <w:color w:val="000000"/>
                <w:sz w:val="21"/>
                <w:szCs w:val="21"/>
              </w:rPr>
            </w:pPr>
          </w:p>
        </w:tc>
        <w:tc>
          <w:tcPr>
            <w:tcW w:w="7421" w:type="dxa"/>
            <w:noWrap w:val="0"/>
            <w:vAlign w:val="top"/>
          </w:tcPr>
          <w:p w14:paraId="23F2FF45">
            <w:pPr>
              <w:spacing w:line="276" w:lineRule="auto"/>
              <w:rPr>
                <w:rFonts w:ascii="Times New Roman" w:hAnsi="Times New Roman" w:cs="Times New Roman"/>
                <w:bCs/>
                <w:color w:val="000000"/>
                <w:sz w:val="21"/>
                <w:szCs w:val="21"/>
              </w:rPr>
            </w:pPr>
            <w:r>
              <w:rPr>
                <w:rFonts w:ascii="Times New Roman" w:hAnsi="Times New Roman" w:cs="Times New Roman"/>
                <w:bCs/>
                <w:color w:val="000000"/>
                <w:sz w:val="21"/>
                <w:szCs w:val="21"/>
              </w:rPr>
              <w:t>（2）</w:t>
            </w:r>
            <w:r>
              <w:rPr>
                <w:rFonts w:ascii="Times New Roman" w:hAnsi="Times New Roman" w:cs="Times New Roman"/>
                <w:b/>
                <w:color w:val="000000"/>
                <w:sz w:val="21"/>
                <w:szCs w:val="21"/>
                <w:u w:val="single"/>
              </w:rPr>
              <w:t>不可分性</w:t>
            </w:r>
            <w:r>
              <w:rPr>
                <w:rFonts w:ascii="Times New Roman" w:hAnsi="Times New Roman" w:cs="Times New Roman"/>
                <w:bCs/>
                <w:color w:val="000000"/>
                <w:sz w:val="21"/>
                <w:szCs w:val="21"/>
              </w:rPr>
              <w:t>。地役权的取得、享有与消灭及于需役地与供役地的全部，不得分割为数部分或仅为一部分而存在</w:t>
            </w:r>
          </w:p>
        </w:tc>
      </w:tr>
      <w:tr w14:paraId="77A6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377E6D68">
            <w:pPr>
              <w:spacing w:line="276" w:lineRule="auto"/>
              <w:jc w:val="center"/>
              <w:rPr>
                <w:rFonts w:ascii="Times New Roman" w:hAnsi="Times New Roman" w:cs="Times New Roman"/>
                <w:b/>
                <w:color w:val="000000"/>
                <w:sz w:val="21"/>
                <w:szCs w:val="21"/>
              </w:rPr>
            </w:pPr>
            <w:r>
              <w:rPr>
                <w:rFonts w:ascii="Times New Roman" w:hAnsi="Times New Roman" w:cs="Times New Roman"/>
                <w:b/>
                <w:color w:val="000000"/>
                <w:sz w:val="21"/>
                <w:szCs w:val="21"/>
              </w:rPr>
              <w:t>设立</w:t>
            </w:r>
          </w:p>
        </w:tc>
        <w:tc>
          <w:tcPr>
            <w:tcW w:w="7421" w:type="dxa"/>
            <w:noWrap w:val="0"/>
            <w:vAlign w:val="top"/>
          </w:tcPr>
          <w:p w14:paraId="42BFFE70">
            <w:pPr>
              <w:spacing w:line="276" w:lineRule="auto"/>
              <w:rPr>
                <w:rFonts w:ascii="Times New Roman" w:hAnsi="Times New Roman" w:cs="Times New Roman"/>
                <w:color w:val="000000"/>
                <w:sz w:val="21"/>
                <w:szCs w:val="21"/>
              </w:rPr>
            </w:pPr>
            <w:r>
              <w:rPr>
                <w:rFonts w:ascii="Times New Roman" w:hAnsi="Times New Roman" w:cs="Times New Roman"/>
                <w:b/>
                <w:bCs/>
                <w:color w:val="000000"/>
                <w:sz w:val="21"/>
                <w:szCs w:val="21"/>
                <w:u w:val="single"/>
              </w:rPr>
              <w:t>自地役权合同生效时设立</w:t>
            </w:r>
            <w:r>
              <w:rPr>
                <w:rFonts w:ascii="Times New Roman" w:hAnsi="Times New Roman" w:cs="Times New Roman"/>
                <w:color w:val="000000"/>
                <w:sz w:val="21"/>
                <w:szCs w:val="21"/>
              </w:rPr>
              <w:t>，未登记不得对抗善意第三人</w:t>
            </w:r>
          </w:p>
          <w:p w14:paraId="021476C7">
            <w:pPr>
              <w:spacing w:line="276" w:lineRule="auto"/>
              <w:ind w:firstLine="480"/>
              <w:rPr>
                <w:rFonts w:ascii="Times New Roman" w:hAnsi="Times New Roman" w:cs="Times New Roman"/>
                <w:color w:val="000000"/>
                <w:sz w:val="21"/>
                <w:szCs w:val="21"/>
              </w:rPr>
            </w:pPr>
            <w:r>
              <w:rPr>
                <w:rFonts w:hint="eastAsia" w:ascii="宋体" w:hAnsi="宋体"/>
                <w:sz w:val="21"/>
                <w:szCs w:val="21"/>
              </w:rPr>
              <w:t>未经登记的地役权并不具有物权的完整效力，地役权人不得以其权利对抗善意的第三人。</w:t>
            </w:r>
            <w:r>
              <w:rPr>
                <w:rFonts w:hint="eastAsia" w:ascii="宋体" w:hAnsi="宋体"/>
                <w:color w:val="FF0000"/>
                <w:sz w:val="21"/>
                <w:szCs w:val="21"/>
                <w:lang w:val="en-US" w:eastAsia="zh-CN"/>
              </w:rPr>
              <w:t>供役地转让的，需役地权利人不得对抗新的受让人</w:t>
            </w:r>
            <w:r>
              <w:rPr>
                <w:rFonts w:hint="eastAsia"/>
                <w:color w:val="FF0000"/>
                <w:sz w:val="21"/>
                <w:szCs w:val="21"/>
              </w:rPr>
              <w:t>。</w:t>
            </w:r>
          </w:p>
        </w:tc>
      </w:tr>
    </w:tbl>
    <w:p w14:paraId="07E85A70">
      <w:pPr>
        <w:spacing w:line="276" w:lineRule="auto"/>
        <w:ind w:firstLine="420"/>
        <w:rPr>
          <w:rFonts w:ascii="Times New Roman" w:hAnsi="Times New Roman" w:eastAsia="楷体" w:cs="Times New Roman"/>
          <w:color w:val="000000"/>
          <w:sz w:val="21"/>
          <w:szCs w:val="21"/>
        </w:rPr>
      </w:pPr>
    </w:p>
    <w:p w14:paraId="161E885B">
      <w:pPr>
        <w:spacing w:line="276" w:lineRule="auto"/>
        <w:ind w:firstLine="420"/>
        <w:rPr>
          <w:rFonts w:ascii="Times New Roman" w:hAnsi="Times New Roman" w:eastAsia="楷体" w:cs="Times New Roman"/>
          <w:color w:val="000000"/>
          <w:sz w:val="21"/>
          <w:szCs w:val="21"/>
        </w:rPr>
      </w:pPr>
      <w:r>
        <w:rPr>
          <w:rFonts w:ascii="Times New Roman" w:hAnsi="Times New Roman" w:eastAsia="楷体" w:cs="Times New Roman"/>
          <w:color w:val="000000"/>
          <w:sz w:val="21"/>
          <w:szCs w:val="21"/>
        </w:rPr>
        <w:t>特别提醒：</w:t>
      </w:r>
    </w:p>
    <w:p w14:paraId="51663261">
      <w:pPr>
        <w:spacing w:line="276" w:lineRule="auto"/>
        <w:ind w:firstLine="420"/>
        <w:rPr>
          <w:rFonts w:ascii="Times New Roman" w:hAnsi="Times New Roman" w:eastAsia="楷体" w:cs="Times New Roman"/>
          <w:color w:val="000000"/>
          <w:sz w:val="21"/>
          <w:szCs w:val="21"/>
        </w:rPr>
      </w:pPr>
      <w:r>
        <w:rPr>
          <w:rFonts w:ascii="Times New Roman" w:hAnsi="Times New Roman" w:eastAsia="楷体" w:cs="Times New Roman"/>
          <w:color w:val="000000"/>
          <w:sz w:val="21"/>
          <w:szCs w:val="21"/>
        </w:rPr>
        <w:t>地役权与相邻关系容易混淆，需明确区分</w:t>
      </w:r>
    </w:p>
    <w:p w14:paraId="0364ED4A">
      <w:pPr>
        <w:spacing w:line="276" w:lineRule="auto"/>
        <w:ind w:firstLine="420"/>
        <w:rPr>
          <w:rFonts w:ascii="Times New Roman" w:hAnsi="Times New Roman" w:eastAsia="楷体" w:cs="Times New Roman"/>
          <w:color w:val="000000"/>
          <w:sz w:val="21"/>
          <w:szCs w:val="21"/>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976"/>
        <w:gridCol w:w="3311"/>
      </w:tblGrid>
      <w:tr w14:paraId="3477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14:paraId="58BA525D">
            <w:pPr>
              <w:spacing w:line="276" w:lineRule="auto"/>
              <w:jc w:val="center"/>
              <w:rPr>
                <w:color w:val="000000"/>
                <w:sz w:val="21"/>
                <w:szCs w:val="21"/>
              </w:rPr>
            </w:pPr>
          </w:p>
        </w:tc>
        <w:tc>
          <w:tcPr>
            <w:tcW w:w="2976" w:type="dxa"/>
            <w:noWrap w:val="0"/>
            <w:vAlign w:val="top"/>
          </w:tcPr>
          <w:p w14:paraId="081B952F">
            <w:pPr>
              <w:spacing w:line="276" w:lineRule="auto"/>
              <w:jc w:val="center"/>
              <w:rPr>
                <w:b/>
                <w:bCs/>
                <w:color w:val="000000"/>
                <w:sz w:val="21"/>
                <w:szCs w:val="21"/>
              </w:rPr>
            </w:pPr>
            <w:r>
              <w:rPr>
                <w:rFonts w:hint="eastAsia"/>
                <w:b/>
                <w:bCs/>
                <w:color w:val="000000"/>
                <w:sz w:val="21"/>
                <w:szCs w:val="21"/>
              </w:rPr>
              <w:t>相邻关系</w:t>
            </w:r>
          </w:p>
        </w:tc>
        <w:tc>
          <w:tcPr>
            <w:tcW w:w="3311" w:type="dxa"/>
            <w:noWrap w:val="0"/>
            <w:vAlign w:val="top"/>
          </w:tcPr>
          <w:p w14:paraId="1CFA166C">
            <w:pPr>
              <w:spacing w:line="276" w:lineRule="auto"/>
              <w:jc w:val="center"/>
              <w:rPr>
                <w:b/>
                <w:bCs/>
                <w:color w:val="000000"/>
                <w:sz w:val="21"/>
                <w:szCs w:val="21"/>
              </w:rPr>
            </w:pPr>
            <w:r>
              <w:rPr>
                <w:rFonts w:hint="eastAsia"/>
                <w:b/>
                <w:bCs/>
                <w:color w:val="000000"/>
                <w:sz w:val="21"/>
                <w:szCs w:val="21"/>
              </w:rPr>
              <w:t>地役权</w:t>
            </w:r>
          </w:p>
        </w:tc>
      </w:tr>
      <w:tr w14:paraId="13B56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14:paraId="562E68ED">
            <w:pPr>
              <w:spacing w:line="276" w:lineRule="auto"/>
              <w:jc w:val="center"/>
              <w:rPr>
                <w:b/>
                <w:bCs/>
                <w:color w:val="000000"/>
                <w:sz w:val="21"/>
                <w:szCs w:val="21"/>
              </w:rPr>
            </w:pPr>
            <w:r>
              <w:rPr>
                <w:rFonts w:hint="eastAsia"/>
                <w:b/>
                <w:bCs/>
                <w:color w:val="000000"/>
                <w:sz w:val="21"/>
                <w:szCs w:val="21"/>
              </w:rPr>
              <w:t>法律性质</w:t>
            </w:r>
          </w:p>
        </w:tc>
        <w:tc>
          <w:tcPr>
            <w:tcW w:w="2976" w:type="dxa"/>
            <w:noWrap w:val="0"/>
            <w:vAlign w:val="top"/>
          </w:tcPr>
          <w:p w14:paraId="1F7FC810">
            <w:pPr>
              <w:spacing w:line="276" w:lineRule="auto"/>
              <w:jc w:val="center"/>
              <w:rPr>
                <w:color w:val="000000"/>
                <w:sz w:val="21"/>
                <w:szCs w:val="21"/>
              </w:rPr>
            </w:pPr>
            <w:r>
              <w:rPr>
                <w:rFonts w:hint="eastAsia"/>
                <w:color w:val="000000"/>
                <w:sz w:val="21"/>
                <w:szCs w:val="21"/>
              </w:rPr>
              <w:t>并非独立的权利</w:t>
            </w:r>
          </w:p>
        </w:tc>
        <w:tc>
          <w:tcPr>
            <w:tcW w:w="3311" w:type="dxa"/>
            <w:noWrap w:val="0"/>
            <w:vAlign w:val="top"/>
          </w:tcPr>
          <w:p w14:paraId="66B6081B">
            <w:pPr>
              <w:spacing w:line="276" w:lineRule="auto"/>
              <w:jc w:val="center"/>
              <w:rPr>
                <w:color w:val="000000"/>
                <w:sz w:val="21"/>
                <w:szCs w:val="21"/>
              </w:rPr>
            </w:pPr>
            <w:r>
              <w:rPr>
                <w:rFonts w:hint="eastAsia"/>
                <w:color w:val="000000"/>
                <w:sz w:val="21"/>
                <w:szCs w:val="21"/>
              </w:rPr>
              <w:t>独立的用益物权</w:t>
            </w:r>
          </w:p>
        </w:tc>
      </w:tr>
      <w:tr w14:paraId="0840F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center"/>
          </w:tcPr>
          <w:p w14:paraId="26FBFFE7">
            <w:pPr>
              <w:spacing w:line="276" w:lineRule="auto"/>
              <w:jc w:val="center"/>
              <w:rPr>
                <w:b/>
                <w:bCs/>
                <w:color w:val="000000"/>
                <w:sz w:val="21"/>
                <w:szCs w:val="21"/>
              </w:rPr>
            </w:pPr>
            <w:r>
              <w:rPr>
                <w:rFonts w:hint="eastAsia"/>
                <w:b/>
                <w:bCs/>
                <w:color w:val="000000"/>
                <w:sz w:val="21"/>
                <w:szCs w:val="21"/>
              </w:rPr>
              <w:t>发生机制</w:t>
            </w:r>
          </w:p>
        </w:tc>
        <w:tc>
          <w:tcPr>
            <w:tcW w:w="2976" w:type="dxa"/>
            <w:noWrap w:val="0"/>
            <w:vAlign w:val="center"/>
          </w:tcPr>
          <w:p w14:paraId="4F5D9593">
            <w:pPr>
              <w:spacing w:line="276" w:lineRule="auto"/>
              <w:jc w:val="center"/>
              <w:rPr>
                <w:color w:val="000000"/>
                <w:sz w:val="21"/>
                <w:szCs w:val="21"/>
              </w:rPr>
            </w:pPr>
            <w:r>
              <w:rPr>
                <w:rFonts w:hint="eastAsia"/>
                <w:color w:val="000000"/>
                <w:sz w:val="21"/>
                <w:szCs w:val="21"/>
              </w:rPr>
              <w:t>法律直接规定，无需当事人的法律行为</w:t>
            </w:r>
          </w:p>
        </w:tc>
        <w:tc>
          <w:tcPr>
            <w:tcW w:w="3311" w:type="dxa"/>
            <w:noWrap w:val="0"/>
            <w:vAlign w:val="center"/>
          </w:tcPr>
          <w:p w14:paraId="5F436996">
            <w:pPr>
              <w:spacing w:line="276" w:lineRule="auto"/>
              <w:jc w:val="center"/>
              <w:rPr>
                <w:color w:val="000000"/>
                <w:sz w:val="21"/>
                <w:szCs w:val="21"/>
              </w:rPr>
            </w:pPr>
            <w:r>
              <w:rPr>
                <w:rFonts w:hint="eastAsia"/>
                <w:color w:val="000000"/>
                <w:sz w:val="21"/>
                <w:szCs w:val="21"/>
              </w:rPr>
              <w:t>通常基于当事人之间的法律行为（地役权合同）发生</w:t>
            </w:r>
          </w:p>
        </w:tc>
      </w:tr>
      <w:tr w14:paraId="52588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center"/>
          </w:tcPr>
          <w:p w14:paraId="2E8CE3D9">
            <w:pPr>
              <w:spacing w:line="276" w:lineRule="auto"/>
              <w:jc w:val="center"/>
              <w:rPr>
                <w:b/>
                <w:bCs/>
                <w:color w:val="000000"/>
                <w:sz w:val="21"/>
                <w:szCs w:val="21"/>
              </w:rPr>
            </w:pPr>
            <w:r>
              <w:rPr>
                <w:rFonts w:hint="eastAsia"/>
                <w:b/>
                <w:bCs/>
                <w:color w:val="000000"/>
                <w:sz w:val="21"/>
                <w:szCs w:val="21"/>
              </w:rPr>
              <w:t>制度功能</w:t>
            </w:r>
          </w:p>
        </w:tc>
        <w:tc>
          <w:tcPr>
            <w:tcW w:w="2976" w:type="dxa"/>
            <w:noWrap w:val="0"/>
            <w:vAlign w:val="center"/>
          </w:tcPr>
          <w:p w14:paraId="670D42C8">
            <w:pPr>
              <w:spacing w:line="276" w:lineRule="auto"/>
              <w:jc w:val="center"/>
              <w:rPr>
                <w:color w:val="000000"/>
                <w:sz w:val="21"/>
                <w:szCs w:val="21"/>
              </w:rPr>
            </w:pPr>
            <w:r>
              <w:rPr>
                <w:rFonts w:hint="eastAsia"/>
                <w:color w:val="000000"/>
                <w:sz w:val="21"/>
                <w:szCs w:val="21"/>
              </w:rPr>
              <w:t>相邻不动产权利人之间利益冲突的基础性调整</w:t>
            </w:r>
          </w:p>
        </w:tc>
        <w:tc>
          <w:tcPr>
            <w:tcW w:w="3311" w:type="dxa"/>
            <w:noWrap w:val="0"/>
            <w:vAlign w:val="center"/>
          </w:tcPr>
          <w:p w14:paraId="0AC18903">
            <w:pPr>
              <w:spacing w:line="276" w:lineRule="auto"/>
              <w:jc w:val="center"/>
              <w:rPr>
                <w:color w:val="000000"/>
                <w:sz w:val="21"/>
                <w:szCs w:val="21"/>
              </w:rPr>
            </w:pPr>
            <w:r>
              <w:rPr>
                <w:rFonts w:hint="eastAsia"/>
                <w:color w:val="000000"/>
                <w:sz w:val="21"/>
                <w:szCs w:val="21"/>
              </w:rPr>
              <w:t>进一步提升不动产的效益，满足特定不动产的个性化需求</w:t>
            </w:r>
          </w:p>
        </w:tc>
      </w:tr>
      <w:tr w14:paraId="52FAC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center"/>
          </w:tcPr>
          <w:p w14:paraId="4FE1EB75">
            <w:pPr>
              <w:spacing w:line="276" w:lineRule="auto"/>
              <w:jc w:val="center"/>
              <w:rPr>
                <w:b/>
                <w:bCs/>
                <w:color w:val="000000"/>
                <w:sz w:val="21"/>
                <w:szCs w:val="21"/>
              </w:rPr>
            </w:pPr>
            <w:r>
              <w:rPr>
                <w:rFonts w:hint="eastAsia"/>
                <w:b/>
                <w:bCs/>
                <w:color w:val="000000"/>
                <w:sz w:val="21"/>
                <w:szCs w:val="21"/>
              </w:rPr>
              <w:t>不动产是否必须相邻</w:t>
            </w:r>
          </w:p>
        </w:tc>
        <w:tc>
          <w:tcPr>
            <w:tcW w:w="2976" w:type="dxa"/>
            <w:noWrap w:val="0"/>
            <w:vAlign w:val="top"/>
          </w:tcPr>
          <w:p w14:paraId="1D8356B3">
            <w:pPr>
              <w:spacing w:line="276" w:lineRule="auto"/>
              <w:jc w:val="center"/>
              <w:rPr>
                <w:color w:val="000000"/>
                <w:sz w:val="21"/>
                <w:szCs w:val="21"/>
              </w:rPr>
            </w:pPr>
            <w:r>
              <w:rPr>
                <w:rFonts w:hint="eastAsia"/>
                <w:color w:val="000000"/>
                <w:sz w:val="21"/>
                <w:szCs w:val="21"/>
              </w:rPr>
              <w:t>须具有空间上的关联性</w:t>
            </w:r>
          </w:p>
        </w:tc>
        <w:tc>
          <w:tcPr>
            <w:tcW w:w="3311" w:type="dxa"/>
            <w:noWrap w:val="0"/>
            <w:vAlign w:val="top"/>
          </w:tcPr>
          <w:p w14:paraId="746C4941">
            <w:pPr>
              <w:spacing w:line="276" w:lineRule="auto"/>
              <w:jc w:val="center"/>
              <w:rPr>
                <w:color w:val="000000"/>
                <w:sz w:val="21"/>
                <w:szCs w:val="21"/>
              </w:rPr>
            </w:pPr>
            <w:r>
              <w:rPr>
                <w:rFonts w:hint="eastAsia"/>
                <w:color w:val="000000"/>
                <w:sz w:val="21"/>
                <w:szCs w:val="21"/>
              </w:rPr>
              <w:t>无</w:t>
            </w:r>
          </w:p>
        </w:tc>
      </w:tr>
      <w:tr w14:paraId="6CF5D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center"/>
          </w:tcPr>
          <w:p w14:paraId="19372FF2">
            <w:pPr>
              <w:spacing w:line="276" w:lineRule="auto"/>
              <w:jc w:val="center"/>
              <w:rPr>
                <w:b/>
                <w:bCs/>
                <w:color w:val="000000"/>
                <w:sz w:val="21"/>
                <w:szCs w:val="21"/>
              </w:rPr>
            </w:pPr>
            <w:r>
              <w:rPr>
                <w:rFonts w:hint="eastAsia"/>
                <w:b/>
                <w:bCs/>
                <w:color w:val="000000"/>
                <w:sz w:val="21"/>
                <w:szCs w:val="21"/>
              </w:rPr>
              <w:t>对抗效力</w:t>
            </w:r>
          </w:p>
        </w:tc>
        <w:tc>
          <w:tcPr>
            <w:tcW w:w="2976" w:type="dxa"/>
            <w:noWrap w:val="0"/>
            <w:vAlign w:val="top"/>
          </w:tcPr>
          <w:p w14:paraId="3F0BD2C4">
            <w:pPr>
              <w:spacing w:line="276" w:lineRule="auto"/>
              <w:jc w:val="center"/>
              <w:rPr>
                <w:color w:val="000000"/>
                <w:sz w:val="21"/>
                <w:szCs w:val="21"/>
              </w:rPr>
            </w:pPr>
            <w:r>
              <w:rPr>
                <w:rFonts w:hint="eastAsia"/>
                <w:color w:val="000000"/>
                <w:sz w:val="21"/>
                <w:szCs w:val="21"/>
              </w:rPr>
              <w:t>无须公示即可对抗他人</w:t>
            </w:r>
          </w:p>
        </w:tc>
        <w:tc>
          <w:tcPr>
            <w:tcW w:w="3311" w:type="dxa"/>
            <w:noWrap w:val="0"/>
            <w:vAlign w:val="top"/>
          </w:tcPr>
          <w:p w14:paraId="152AA728">
            <w:pPr>
              <w:spacing w:line="276" w:lineRule="auto"/>
              <w:jc w:val="center"/>
              <w:rPr>
                <w:color w:val="000000"/>
                <w:sz w:val="21"/>
                <w:szCs w:val="21"/>
              </w:rPr>
            </w:pPr>
            <w:r>
              <w:rPr>
                <w:rFonts w:hint="eastAsia"/>
                <w:color w:val="000000"/>
                <w:sz w:val="21"/>
                <w:szCs w:val="21"/>
              </w:rPr>
              <w:t>经登记取得对抗第三人的效力</w:t>
            </w:r>
          </w:p>
        </w:tc>
      </w:tr>
    </w:tbl>
    <w:p w14:paraId="52548E4A">
      <w:pPr>
        <w:spacing w:line="276" w:lineRule="auto"/>
        <w:rPr>
          <w:rFonts w:ascii="Times New Roman" w:hAnsi="Times New Roman" w:cs="Times New Roman"/>
          <w:color w:val="000000"/>
          <w:sz w:val="21"/>
          <w:szCs w:val="21"/>
        </w:rPr>
      </w:pPr>
    </w:p>
    <w:p w14:paraId="65C0C97A">
      <w:pPr>
        <w:pStyle w:val="2"/>
        <w:spacing w:line="276" w:lineRule="auto"/>
        <w:jc w:val="center"/>
        <w:rPr>
          <w:rFonts w:ascii="Times New Roman" w:hAnsi="Times New Roman" w:cs="Times New Roman"/>
          <w:bCs w:val="0"/>
          <w:color w:val="000000"/>
          <w:sz w:val="24"/>
          <w:szCs w:val="24"/>
        </w:rPr>
      </w:pPr>
      <w:bookmarkStart w:id="2" w:name="_Toc6536"/>
      <w:r>
        <w:rPr>
          <w:rFonts w:ascii="Times New Roman" w:hAnsi="Times New Roman" w:cs="Times New Roman"/>
          <w:bCs w:val="0"/>
          <w:color w:val="000000"/>
          <w:sz w:val="24"/>
          <w:szCs w:val="24"/>
        </w:rPr>
        <w:t>考点12  抵押权</w:t>
      </w:r>
      <w:bookmarkEnd w:id="2"/>
    </w:p>
    <w:p w14:paraId="78D725A4">
      <w:pPr>
        <w:spacing w:line="276" w:lineRule="auto"/>
        <w:ind w:firstLine="422" w:firstLineChars="200"/>
        <w:jc w:val="left"/>
        <w:outlineLvl w:val="1"/>
        <w:rPr>
          <w:rFonts w:ascii="Times New Roman" w:hAnsi="Times New Roman" w:cs="Times New Roman"/>
          <w:b/>
          <w:color w:val="000000"/>
          <w:sz w:val="21"/>
          <w:szCs w:val="21"/>
        </w:rPr>
      </w:pPr>
      <w:r>
        <w:rPr>
          <w:rFonts w:ascii="Times New Roman" w:hAnsi="Times New Roman" w:cs="Times New Roman"/>
          <w:b/>
          <w:color w:val="000000"/>
          <w:sz w:val="21"/>
          <w:szCs w:val="21"/>
        </w:rPr>
        <w:t>一、担保物权的法律特征</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34"/>
        <w:gridCol w:w="6429"/>
      </w:tblGrid>
      <w:tr w14:paraId="236AF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noWrap w:val="0"/>
            <w:vAlign w:val="center"/>
          </w:tcPr>
          <w:p w14:paraId="3BC73C73">
            <w:pPr>
              <w:spacing w:line="276" w:lineRule="auto"/>
              <w:jc w:val="center"/>
              <w:outlineLvl w:val="1"/>
              <w:rPr>
                <w:rFonts w:ascii="Times New Roman" w:hAnsi="Times New Roman" w:cs="Times New Roman"/>
                <w:b/>
                <w:color w:val="000000"/>
                <w:sz w:val="21"/>
                <w:szCs w:val="21"/>
              </w:rPr>
            </w:pPr>
            <w:r>
              <w:rPr>
                <w:rFonts w:ascii="Times New Roman" w:hAnsi="Times New Roman" w:cs="Times New Roman"/>
                <w:b/>
                <w:color w:val="000000"/>
                <w:sz w:val="21"/>
                <w:szCs w:val="21"/>
              </w:rPr>
              <w:t>从属性</w:t>
            </w:r>
          </w:p>
        </w:tc>
        <w:tc>
          <w:tcPr>
            <w:tcW w:w="1134" w:type="dxa"/>
            <w:vMerge w:val="restart"/>
            <w:noWrap w:val="0"/>
            <w:vAlign w:val="center"/>
          </w:tcPr>
          <w:p w14:paraId="466C82F4">
            <w:pPr>
              <w:spacing w:line="276" w:lineRule="auto"/>
              <w:jc w:val="center"/>
              <w:outlineLvl w:val="1"/>
              <w:rPr>
                <w:rFonts w:ascii="Times New Roman" w:hAnsi="Times New Roman" w:cs="Times New Roman"/>
                <w:b/>
                <w:color w:val="000000"/>
                <w:sz w:val="21"/>
                <w:szCs w:val="21"/>
              </w:rPr>
            </w:pPr>
            <w:r>
              <w:rPr>
                <w:rFonts w:ascii="Times New Roman" w:hAnsi="Times New Roman" w:cs="Times New Roman"/>
                <w:b/>
                <w:color w:val="000000"/>
                <w:sz w:val="21"/>
                <w:szCs w:val="21"/>
              </w:rPr>
              <w:t>产生上的从属性</w:t>
            </w:r>
          </w:p>
        </w:tc>
        <w:tc>
          <w:tcPr>
            <w:tcW w:w="6429" w:type="dxa"/>
            <w:noWrap w:val="0"/>
            <w:vAlign w:val="top"/>
          </w:tcPr>
          <w:p w14:paraId="117F782B">
            <w:pPr>
              <w:spacing w:line="276" w:lineRule="auto"/>
              <w:jc w:val="left"/>
              <w:outlineLvl w:val="1"/>
              <w:rPr>
                <w:rFonts w:ascii="Times New Roman" w:hAnsi="Times New Roman" w:cs="Times New Roman"/>
                <w:bCs/>
                <w:color w:val="000000"/>
                <w:sz w:val="21"/>
                <w:szCs w:val="21"/>
              </w:rPr>
            </w:pPr>
            <w:r>
              <w:rPr>
                <w:rFonts w:ascii="Times New Roman" w:hAnsi="Times New Roman" w:cs="Times New Roman"/>
                <w:bCs/>
                <w:color w:val="000000"/>
                <w:sz w:val="21"/>
                <w:szCs w:val="21"/>
              </w:rPr>
              <w:t>（1）担保合同是主债权债务合同的从合同。</w:t>
            </w:r>
            <w:r>
              <w:rPr>
                <w:rFonts w:ascii="Times New Roman" w:hAnsi="Times New Roman" w:cs="Times New Roman"/>
                <w:b/>
                <w:color w:val="000000"/>
                <w:sz w:val="21"/>
                <w:szCs w:val="21"/>
                <w:u w:val="single"/>
              </w:rPr>
              <w:t>主债权债务合同无效的，担保合同无效</w:t>
            </w:r>
          </w:p>
        </w:tc>
      </w:tr>
      <w:tr w14:paraId="104DA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14:paraId="3A5E8BB7">
            <w:pPr>
              <w:spacing w:line="276" w:lineRule="auto"/>
              <w:jc w:val="center"/>
              <w:outlineLvl w:val="1"/>
              <w:rPr>
                <w:rFonts w:ascii="Times New Roman" w:hAnsi="Times New Roman" w:cs="Times New Roman"/>
                <w:b/>
                <w:color w:val="000000"/>
                <w:sz w:val="21"/>
                <w:szCs w:val="21"/>
              </w:rPr>
            </w:pPr>
          </w:p>
        </w:tc>
        <w:tc>
          <w:tcPr>
            <w:tcW w:w="1134" w:type="dxa"/>
            <w:vMerge w:val="continue"/>
            <w:noWrap w:val="0"/>
            <w:vAlign w:val="center"/>
          </w:tcPr>
          <w:p w14:paraId="6EA78F43">
            <w:pPr>
              <w:spacing w:line="276" w:lineRule="auto"/>
              <w:jc w:val="center"/>
              <w:outlineLvl w:val="1"/>
              <w:rPr>
                <w:rFonts w:ascii="Times New Roman" w:hAnsi="Times New Roman" w:cs="Times New Roman"/>
                <w:b/>
                <w:color w:val="000000"/>
                <w:sz w:val="21"/>
                <w:szCs w:val="21"/>
              </w:rPr>
            </w:pPr>
          </w:p>
        </w:tc>
        <w:tc>
          <w:tcPr>
            <w:tcW w:w="6429" w:type="dxa"/>
            <w:noWrap w:val="0"/>
            <w:vAlign w:val="top"/>
          </w:tcPr>
          <w:p w14:paraId="6810EA39">
            <w:pPr>
              <w:spacing w:line="276" w:lineRule="auto"/>
              <w:jc w:val="left"/>
              <w:outlineLvl w:val="1"/>
              <w:rPr>
                <w:rFonts w:ascii="Times New Roman" w:hAnsi="Times New Roman" w:cs="Times New Roman"/>
                <w:bCs/>
                <w:color w:val="000000"/>
                <w:sz w:val="21"/>
                <w:szCs w:val="21"/>
              </w:rPr>
            </w:pPr>
            <w:r>
              <w:rPr>
                <w:rFonts w:ascii="Times New Roman" w:hAnsi="Times New Roman" w:cs="Times New Roman"/>
                <w:bCs/>
                <w:color w:val="000000"/>
                <w:sz w:val="21"/>
                <w:szCs w:val="21"/>
              </w:rPr>
              <w:t>（2）</w:t>
            </w:r>
            <w:r>
              <w:rPr>
                <w:rFonts w:ascii="Times New Roman" w:hAnsi="Times New Roman" w:cs="Times New Roman"/>
                <w:b/>
                <w:color w:val="000000"/>
                <w:sz w:val="21"/>
                <w:szCs w:val="21"/>
                <w:u w:val="single"/>
              </w:rPr>
              <w:t>担保合同效力独立于主债权债务合同的约定原则上无效</w:t>
            </w:r>
          </w:p>
        </w:tc>
      </w:tr>
      <w:tr w14:paraId="5993E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14:paraId="59E4CC54">
            <w:pPr>
              <w:spacing w:line="276" w:lineRule="auto"/>
              <w:jc w:val="center"/>
              <w:outlineLvl w:val="1"/>
              <w:rPr>
                <w:rFonts w:ascii="Times New Roman" w:hAnsi="Times New Roman" w:cs="Times New Roman"/>
                <w:b/>
                <w:color w:val="000000"/>
                <w:sz w:val="21"/>
                <w:szCs w:val="21"/>
              </w:rPr>
            </w:pPr>
          </w:p>
        </w:tc>
        <w:tc>
          <w:tcPr>
            <w:tcW w:w="1134" w:type="dxa"/>
            <w:vMerge w:val="restart"/>
            <w:noWrap w:val="0"/>
            <w:vAlign w:val="center"/>
          </w:tcPr>
          <w:p w14:paraId="4040ECA5">
            <w:pPr>
              <w:spacing w:line="276" w:lineRule="auto"/>
              <w:jc w:val="center"/>
              <w:outlineLvl w:val="1"/>
              <w:rPr>
                <w:rFonts w:ascii="Times New Roman" w:hAnsi="Times New Roman" w:cs="Times New Roman"/>
                <w:b/>
                <w:color w:val="000000"/>
                <w:sz w:val="21"/>
                <w:szCs w:val="21"/>
              </w:rPr>
            </w:pPr>
            <w:r>
              <w:rPr>
                <w:rFonts w:ascii="Times New Roman" w:hAnsi="Times New Roman" w:cs="Times New Roman"/>
                <w:b/>
                <w:color w:val="000000"/>
                <w:sz w:val="21"/>
                <w:szCs w:val="21"/>
              </w:rPr>
              <w:t>内容上的从属性</w:t>
            </w:r>
          </w:p>
        </w:tc>
        <w:tc>
          <w:tcPr>
            <w:tcW w:w="6429" w:type="dxa"/>
            <w:noWrap w:val="0"/>
            <w:vAlign w:val="top"/>
          </w:tcPr>
          <w:p w14:paraId="5E51F297">
            <w:pPr>
              <w:spacing w:line="276" w:lineRule="auto"/>
              <w:jc w:val="left"/>
              <w:outlineLvl w:val="1"/>
              <w:rPr>
                <w:rFonts w:ascii="Times New Roman" w:hAnsi="Times New Roman" w:cs="Times New Roman"/>
                <w:bCs/>
                <w:color w:val="000000"/>
                <w:sz w:val="21"/>
                <w:szCs w:val="21"/>
              </w:rPr>
            </w:pPr>
            <w:r>
              <w:rPr>
                <w:rFonts w:ascii="Times New Roman" w:hAnsi="Times New Roman" w:cs="Times New Roman"/>
                <w:bCs/>
                <w:color w:val="000000"/>
                <w:sz w:val="21"/>
                <w:szCs w:val="21"/>
              </w:rPr>
              <w:t>（1）</w:t>
            </w:r>
            <w:r>
              <w:rPr>
                <w:rFonts w:ascii="Times New Roman" w:hAnsi="Times New Roman" w:cs="Times New Roman"/>
                <w:b/>
                <w:color w:val="000000"/>
                <w:sz w:val="21"/>
                <w:szCs w:val="21"/>
                <w:u w:val="single"/>
              </w:rPr>
              <w:t>担保人的责任范围不超过债务人应承担的责任范围</w:t>
            </w:r>
          </w:p>
        </w:tc>
      </w:tr>
      <w:tr w14:paraId="5998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14:paraId="76278ECA">
            <w:pPr>
              <w:spacing w:line="276" w:lineRule="auto"/>
              <w:jc w:val="center"/>
              <w:outlineLvl w:val="1"/>
              <w:rPr>
                <w:rFonts w:ascii="Times New Roman" w:hAnsi="Times New Roman" w:cs="Times New Roman"/>
                <w:b/>
                <w:color w:val="000000"/>
                <w:sz w:val="21"/>
                <w:szCs w:val="21"/>
              </w:rPr>
            </w:pPr>
          </w:p>
        </w:tc>
        <w:tc>
          <w:tcPr>
            <w:tcW w:w="1134" w:type="dxa"/>
            <w:vMerge w:val="continue"/>
            <w:noWrap w:val="0"/>
            <w:vAlign w:val="center"/>
          </w:tcPr>
          <w:p w14:paraId="75152755">
            <w:pPr>
              <w:spacing w:line="276" w:lineRule="auto"/>
              <w:jc w:val="center"/>
              <w:outlineLvl w:val="1"/>
              <w:rPr>
                <w:rFonts w:ascii="Times New Roman" w:hAnsi="Times New Roman" w:cs="Times New Roman"/>
                <w:b/>
                <w:color w:val="000000"/>
                <w:sz w:val="21"/>
                <w:szCs w:val="21"/>
              </w:rPr>
            </w:pPr>
          </w:p>
        </w:tc>
        <w:tc>
          <w:tcPr>
            <w:tcW w:w="6429" w:type="dxa"/>
            <w:noWrap w:val="0"/>
            <w:vAlign w:val="top"/>
          </w:tcPr>
          <w:p w14:paraId="748918F5">
            <w:pPr>
              <w:spacing w:line="276" w:lineRule="auto"/>
              <w:jc w:val="left"/>
              <w:outlineLvl w:val="1"/>
              <w:rPr>
                <w:rFonts w:ascii="Times New Roman" w:hAnsi="Times New Roman" w:cs="Times New Roman"/>
                <w:bCs/>
                <w:color w:val="000000"/>
                <w:sz w:val="21"/>
                <w:szCs w:val="21"/>
              </w:rPr>
            </w:pPr>
            <w:r>
              <w:rPr>
                <w:rFonts w:ascii="Times New Roman" w:hAnsi="Times New Roman" w:cs="Times New Roman"/>
                <w:bCs/>
                <w:color w:val="000000"/>
                <w:sz w:val="21"/>
                <w:szCs w:val="21"/>
              </w:rPr>
              <w:t>（2）未经担保人</w:t>
            </w:r>
            <w:r>
              <w:rPr>
                <w:rFonts w:ascii="Times New Roman" w:hAnsi="Times New Roman" w:cs="Times New Roman"/>
                <w:b/>
                <w:color w:val="000000"/>
                <w:sz w:val="21"/>
                <w:szCs w:val="21"/>
                <w:u w:val="single"/>
              </w:rPr>
              <w:t>书面同意</w:t>
            </w:r>
            <w:r>
              <w:rPr>
                <w:rFonts w:ascii="Times New Roman" w:hAnsi="Times New Roman" w:cs="Times New Roman"/>
                <w:bCs/>
                <w:color w:val="000000"/>
                <w:sz w:val="21"/>
                <w:szCs w:val="21"/>
              </w:rPr>
              <w:t>，不得加重担保人的责任</w:t>
            </w:r>
          </w:p>
        </w:tc>
      </w:tr>
      <w:tr w14:paraId="1228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14:paraId="61D8B4DC">
            <w:pPr>
              <w:spacing w:line="276" w:lineRule="auto"/>
              <w:jc w:val="center"/>
              <w:outlineLvl w:val="1"/>
              <w:rPr>
                <w:rFonts w:ascii="Times New Roman" w:hAnsi="Times New Roman" w:cs="Times New Roman"/>
                <w:b/>
                <w:color w:val="000000"/>
                <w:sz w:val="21"/>
                <w:szCs w:val="21"/>
              </w:rPr>
            </w:pPr>
          </w:p>
        </w:tc>
        <w:tc>
          <w:tcPr>
            <w:tcW w:w="1134" w:type="dxa"/>
            <w:vMerge w:val="continue"/>
            <w:noWrap w:val="0"/>
            <w:vAlign w:val="center"/>
          </w:tcPr>
          <w:p w14:paraId="2376CDCB">
            <w:pPr>
              <w:spacing w:line="276" w:lineRule="auto"/>
              <w:jc w:val="center"/>
              <w:outlineLvl w:val="1"/>
              <w:rPr>
                <w:rFonts w:ascii="Times New Roman" w:hAnsi="Times New Roman" w:cs="Times New Roman"/>
                <w:b/>
                <w:color w:val="000000"/>
                <w:sz w:val="21"/>
                <w:szCs w:val="21"/>
              </w:rPr>
            </w:pPr>
          </w:p>
        </w:tc>
        <w:tc>
          <w:tcPr>
            <w:tcW w:w="6429" w:type="dxa"/>
            <w:noWrap w:val="0"/>
            <w:vAlign w:val="top"/>
          </w:tcPr>
          <w:p w14:paraId="3C1F4562">
            <w:pPr>
              <w:spacing w:line="276" w:lineRule="auto"/>
              <w:jc w:val="left"/>
              <w:outlineLvl w:val="1"/>
              <w:rPr>
                <w:rFonts w:ascii="Times New Roman" w:hAnsi="Times New Roman" w:cs="Times New Roman"/>
                <w:bCs/>
                <w:color w:val="000000"/>
                <w:sz w:val="21"/>
                <w:szCs w:val="21"/>
              </w:rPr>
            </w:pPr>
            <w:r>
              <w:rPr>
                <w:rFonts w:ascii="Times New Roman" w:hAnsi="Times New Roman" w:cs="Times New Roman"/>
                <w:bCs/>
                <w:color w:val="000000"/>
                <w:sz w:val="21"/>
                <w:szCs w:val="21"/>
              </w:rPr>
              <w:t>（3）担保人有权主张债务人对债权人的抗辩，如诉讼时效的抗辩</w:t>
            </w:r>
          </w:p>
        </w:tc>
      </w:tr>
      <w:tr w14:paraId="5107C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14:paraId="250D58A1">
            <w:pPr>
              <w:spacing w:line="276" w:lineRule="auto"/>
              <w:jc w:val="center"/>
              <w:outlineLvl w:val="1"/>
              <w:rPr>
                <w:rFonts w:ascii="Times New Roman" w:hAnsi="Times New Roman" w:cs="Times New Roman"/>
                <w:b/>
                <w:color w:val="000000"/>
                <w:sz w:val="21"/>
                <w:szCs w:val="21"/>
              </w:rPr>
            </w:pPr>
          </w:p>
        </w:tc>
        <w:tc>
          <w:tcPr>
            <w:tcW w:w="1134" w:type="dxa"/>
            <w:noWrap w:val="0"/>
            <w:vAlign w:val="center"/>
          </w:tcPr>
          <w:p w14:paraId="65E91AF7">
            <w:pPr>
              <w:spacing w:line="276" w:lineRule="auto"/>
              <w:jc w:val="center"/>
              <w:outlineLvl w:val="1"/>
              <w:rPr>
                <w:rFonts w:ascii="Times New Roman" w:hAnsi="Times New Roman" w:cs="Times New Roman"/>
                <w:b/>
                <w:color w:val="000000"/>
                <w:sz w:val="21"/>
                <w:szCs w:val="21"/>
              </w:rPr>
            </w:pPr>
            <w:r>
              <w:rPr>
                <w:rFonts w:ascii="Times New Roman" w:hAnsi="Times New Roman" w:cs="Times New Roman"/>
                <w:b/>
                <w:color w:val="000000"/>
                <w:sz w:val="21"/>
                <w:szCs w:val="21"/>
              </w:rPr>
              <w:t>处分上的从属性</w:t>
            </w:r>
          </w:p>
        </w:tc>
        <w:tc>
          <w:tcPr>
            <w:tcW w:w="6429" w:type="dxa"/>
            <w:noWrap w:val="0"/>
            <w:vAlign w:val="top"/>
          </w:tcPr>
          <w:p w14:paraId="6F069C0C">
            <w:pPr>
              <w:spacing w:line="276" w:lineRule="auto"/>
              <w:jc w:val="left"/>
              <w:outlineLvl w:val="1"/>
              <w:rPr>
                <w:rFonts w:hint="eastAsia" w:ascii="Times New Roman" w:hAnsi="Times New Roman" w:eastAsia="宋体" w:cs="Times New Roman"/>
                <w:bCs/>
                <w:color w:val="000000"/>
                <w:sz w:val="21"/>
                <w:szCs w:val="21"/>
                <w:lang w:eastAsia="zh-CN"/>
              </w:rPr>
            </w:pPr>
            <w:r>
              <w:rPr>
                <w:rFonts w:ascii="Times New Roman" w:hAnsi="Times New Roman" w:cs="Times New Roman"/>
                <w:bCs/>
                <w:color w:val="000000"/>
                <w:sz w:val="21"/>
                <w:szCs w:val="21"/>
              </w:rPr>
              <w:t>担保物权不得与主债权分离而单独转让。债权转让的，担保该债权的担保物权</w:t>
            </w:r>
            <w:r>
              <w:rPr>
                <w:rFonts w:ascii="Times New Roman" w:hAnsi="Times New Roman" w:cs="Times New Roman"/>
                <w:b/>
                <w:color w:val="000000"/>
                <w:sz w:val="21"/>
                <w:szCs w:val="21"/>
                <w:u w:val="single"/>
              </w:rPr>
              <w:t>自动一并转让</w:t>
            </w:r>
            <w:r>
              <w:rPr>
                <w:rFonts w:hint="eastAsia" w:ascii="Times New Roman" w:hAnsi="Times New Roman" w:cs="Times New Roman"/>
                <w:b/>
                <w:color w:val="000000"/>
                <w:sz w:val="21"/>
                <w:szCs w:val="21"/>
                <w:u w:val="single"/>
                <w:lang w:eastAsia="zh-CN"/>
              </w:rPr>
              <w:t>（</w:t>
            </w:r>
            <w:r>
              <w:rPr>
                <w:rFonts w:hint="eastAsia" w:ascii="Times New Roman" w:hAnsi="Times New Roman" w:cs="Times New Roman"/>
                <w:b/>
                <w:color w:val="FF0000"/>
                <w:sz w:val="21"/>
                <w:szCs w:val="21"/>
                <w:u w:val="single"/>
                <w:lang w:val="en-US" w:eastAsia="zh-CN"/>
              </w:rPr>
              <w:t>无需登记或者交付</w:t>
            </w:r>
            <w:r>
              <w:rPr>
                <w:rFonts w:hint="eastAsia" w:ascii="Times New Roman" w:hAnsi="Times New Roman" w:cs="Times New Roman"/>
                <w:b/>
                <w:color w:val="FF0000"/>
                <w:sz w:val="21"/>
                <w:szCs w:val="21"/>
                <w:u w:val="single"/>
                <w:lang w:eastAsia="zh-CN"/>
              </w:rPr>
              <w:t>）</w:t>
            </w:r>
          </w:p>
        </w:tc>
      </w:tr>
      <w:tr w14:paraId="603E1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14:paraId="7AA9A8CF">
            <w:pPr>
              <w:spacing w:line="276" w:lineRule="auto"/>
              <w:jc w:val="center"/>
              <w:outlineLvl w:val="1"/>
              <w:rPr>
                <w:rFonts w:ascii="Times New Roman" w:hAnsi="Times New Roman" w:cs="Times New Roman"/>
                <w:b/>
                <w:color w:val="000000"/>
                <w:sz w:val="21"/>
                <w:szCs w:val="21"/>
              </w:rPr>
            </w:pPr>
          </w:p>
        </w:tc>
        <w:tc>
          <w:tcPr>
            <w:tcW w:w="1134" w:type="dxa"/>
            <w:noWrap w:val="0"/>
            <w:vAlign w:val="center"/>
          </w:tcPr>
          <w:p w14:paraId="4CD5D074">
            <w:pPr>
              <w:spacing w:line="276" w:lineRule="auto"/>
              <w:jc w:val="center"/>
              <w:outlineLvl w:val="1"/>
              <w:rPr>
                <w:rFonts w:ascii="Times New Roman" w:hAnsi="Times New Roman" w:cs="Times New Roman"/>
                <w:b/>
                <w:color w:val="000000"/>
                <w:sz w:val="21"/>
                <w:szCs w:val="21"/>
              </w:rPr>
            </w:pPr>
            <w:r>
              <w:rPr>
                <w:rFonts w:ascii="Times New Roman" w:hAnsi="Times New Roman" w:cs="Times New Roman"/>
                <w:b/>
                <w:color w:val="000000"/>
                <w:sz w:val="21"/>
                <w:szCs w:val="21"/>
              </w:rPr>
              <w:t>消灭上的从属性</w:t>
            </w:r>
          </w:p>
        </w:tc>
        <w:tc>
          <w:tcPr>
            <w:tcW w:w="6429" w:type="dxa"/>
            <w:noWrap w:val="0"/>
            <w:vAlign w:val="center"/>
          </w:tcPr>
          <w:p w14:paraId="0DB67BC6">
            <w:pPr>
              <w:spacing w:line="276" w:lineRule="auto"/>
              <w:outlineLvl w:val="1"/>
              <w:rPr>
                <w:rFonts w:ascii="Times New Roman" w:hAnsi="Times New Roman" w:cs="Times New Roman"/>
                <w:bCs/>
                <w:color w:val="000000"/>
                <w:sz w:val="21"/>
                <w:szCs w:val="21"/>
              </w:rPr>
            </w:pPr>
            <w:r>
              <w:rPr>
                <w:rFonts w:ascii="Times New Roman" w:hAnsi="Times New Roman" w:cs="Times New Roman"/>
                <w:bCs/>
                <w:color w:val="000000"/>
                <w:sz w:val="21"/>
                <w:szCs w:val="21"/>
              </w:rPr>
              <w:t>主债权消灭的，担保物权随之消灭</w:t>
            </w:r>
          </w:p>
        </w:tc>
      </w:tr>
      <w:tr w14:paraId="0162A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vMerge w:val="restart"/>
            <w:noWrap w:val="0"/>
            <w:vAlign w:val="center"/>
          </w:tcPr>
          <w:p w14:paraId="2B3B79CE">
            <w:pPr>
              <w:spacing w:line="276" w:lineRule="auto"/>
              <w:jc w:val="center"/>
              <w:outlineLvl w:val="1"/>
              <w:rPr>
                <w:rFonts w:ascii="Times New Roman" w:hAnsi="Times New Roman" w:cs="Times New Roman"/>
                <w:b/>
                <w:color w:val="000000"/>
                <w:sz w:val="21"/>
                <w:szCs w:val="21"/>
              </w:rPr>
            </w:pPr>
            <w:r>
              <w:rPr>
                <w:rFonts w:ascii="Times New Roman" w:hAnsi="Times New Roman" w:cs="Times New Roman"/>
                <w:b/>
                <w:color w:val="000000"/>
                <w:sz w:val="21"/>
                <w:szCs w:val="21"/>
              </w:rPr>
              <w:t>不可分性</w:t>
            </w:r>
          </w:p>
        </w:tc>
        <w:tc>
          <w:tcPr>
            <w:tcW w:w="6429" w:type="dxa"/>
            <w:noWrap w:val="0"/>
            <w:vAlign w:val="top"/>
          </w:tcPr>
          <w:p w14:paraId="522848FE">
            <w:pPr>
              <w:spacing w:line="276" w:lineRule="auto"/>
              <w:jc w:val="left"/>
              <w:outlineLvl w:val="1"/>
              <w:rPr>
                <w:rFonts w:ascii="Times New Roman" w:hAnsi="Times New Roman" w:cs="Times New Roman"/>
                <w:bCs/>
                <w:color w:val="000000"/>
                <w:sz w:val="21"/>
                <w:szCs w:val="21"/>
              </w:rPr>
            </w:pPr>
            <w:r>
              <w:rPr>
                <w:rFonts w:ascii="Times New Roman" w:hAnsi="Times New Roman" w:cs="Times New Roman"/>
                <w:bCs/>
                <w:color w:val="000000"/>
                <w:sz w:val="21"/>
                <w:szCs w:val="21"/>
              </w:rPr>
              <w:t>（1）被担保的债权被分割、部分转让或部分消灭，担保物权仍担保各部分债权或者剩余债权</w:t>
            </w:r>
          </w:p>
        </w:tc>
      </w:tr>
      <w:tr w14:paraId="60DCA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vMerge w:val="continue"/>
            <w:noWrap w:val="0"/>
            <w:vAlign w:val="center"/>
          </w:tcPr>
          <w:p w14:paraId="66679F9E">
            <w:pPr>
              <w:spacing w:line="276" w:lineRule="auto"/>
              <w:jc w:val="center"/>
              <w:outlineLvl w:val="1"/>
              <w:rPr>
                <w:rFonts w:ascii="Times New Roman" w:hAnsi="Times New Roman" w:cs="Times New Roman"/>
                <w:bCs/>
                <w:color w:val="000000"/>
                <w:sz w:val="21"/>
                <w:szCs w:val="21"/>
              </w:rPr>
            </w:pPr>
          </w:p>
        </w:tc>
        <w:tc>
          <w:tcPr>
            <w:tcW w:w="6429" w:type="dxa"/>
            <w:noWrap w:val="0"/>
            <w:vAlign w:val="top"/>
          </w:tcPr>
          <w:p w14:paraId="2EB1AF80">
            <w:pPr>
              <w:spacing w:line="276" w:lineRule="auto"/>
              <w:jc w:val="left"/>
              <w:outlineLvl w:val="1"/>
              <w:rPr>
                <w:rFonts w:ascii="Times New Roman" w:hAnsi="Times New Roman" w:cs="Times New Roman"/>
                <w:bCs/>
                <w:color w:val="000000"/>
                <w:sz w:val="21"/>
                <w:szCs w:val="21"/>
              </w:rPr>
            </w:pPr>
            <w:r>
              <w:rPr>
                <w:rFonts w:ascii="Times New Roman" w:hAnsi="Times New Roman" w:cs="Times New Roman"/>
                <w:bCs/>
                <w:color w:val="000000"/>
                <w:sz w:val="21"/>
                <w:szCs w:val="21"/>
              </w:rPr>
              <w:t>（2）担保财产被分割、部分转让或部分灭失，各个部分或余存的担保财产仍为担保全部债权而存在</w:t>
            </w:r>
          </w:p>
        </w:tc>
      </w:tr>
      <w:tr w14:paraId="3C023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noWrap w:val="0"/>
            <w:vAlign w:val="center"/>
          </w:tcPr>
          <w:p w14:paraId="5DCD7943">
            <w:pPr>
              <w:spacing w:line="276" w:lineRule="auto"/>
              <w:jc w:val="center"/>
              <w:outlineLvl w:val="1"/>
              <w:rPr>
                <w:rFonts w:ascii="Times New Roman" w:hAnsi="Times New Roman" w:cs="Times New Roman"/>
                <w:b/>
                <w:color w:val="000000"/>
                <w:sz w:val="21"/>
                <w:szCs w:val="21"/>
              </w:rPr>
            </w:pPr>
            <w:r>
              <w:rPr>
                <w:rFonts w:ascii="Times New Roman" w:hAnsi="Times New Roman" w:cs="Times New Roman"/>
                <w:b/>
                <w:color w:val="000000"/>
                <w:sz w:val="21"/>
                <w:szCs w:val="21"/>
              </w:rPr>
              <w:t>物上代位性</w:t>
            </w:r>
          </w:p>
        </w:tc>
        <w:tc>
          <w:tcPr>
            <w:tcW w:w="6429" w:type="dxa"/>
            <w:noWrap w:val="0"/>
            <w:vAlign w:val="top"/>
          </w:tcPr>
          <w:p w14:paraId="75AFEBF7">
            <w:pPr>
              <w:spacing w:line="276" w:lineRule="auto"/>
              <w:jc w:val="left"/>
              <w:outlineLvl w:val="1"/>
              <w:rPr>
                <w:rFonts w:ascii="Times New Roman" w:hAnsi="Times New Roman" w:cs="Times New Roman"/>
                <w:b/>
                <w:color w:val="000000"/>
                <w:sz w:val="21"/>
                <w:szCs w:val="21"/>
                <w:u w:val="single"/>
              </w:rPr>
            </w:pPr>
            <w:r>
              <w:rPr>
                <w:rFonts w:ascii="Times New Roman" w:hAnsi="Times New Roman" w:cs="Times New Roman"/>
                <w:bCs/>
                <w:color w:val="000000"/>
                <w:sz w:val="21"/>
                <w:szCs w:val="21"/>
              </w:rPr>
              <w:t>担保期间，担保财产毁损、灭失或者被征收等，担保物权人可以就获得的保险金、赔偿金或者补偿金等</w:t>
            </w:r>
            <w:r>
              <w:rPr>
                <w:rFonts w:ascii="Times New Roman" w:hAnsi="Times New Roman" w:cs="Times New Roman"/>
                <w:b/>
                <w:color w:val="000000"/>
                <w:sz w:val="21"/>
                <w:szCs w:val="21"/>
                <w:u w:val="single"/>
              </w:rPr>
              <w:t>优先受偿</w:t>
            </w:r>
            <w:r>
              <w:rPr>
                <w:rFonts w:ascii="Times New Roman" w:hAnsi="Times New Roman" w:cs="Times New Roman"/>
                <w:bCs/>
                <w:color w:val="000000"/>
                <w:sz w:val="21"/>
                <w:szCs w:val="21"/>
              </w:rPr>
              <w:t>，</w:t>
            </w:r>
            <w:r>
              <w:rPr>
                <w:rFonts w:ascii="Times New Roman" w:hAnsi="Times New Roman" w:cs="Times New Roman"/>
                <w:b/>
                <w:color w:val="000000"/>
                <w:sz w:val="21"/>
                <w:szCs w:val="21"/>
                <w:u w:val="single"/>
              </w:rPr>
              <w:t>且顺位不变</w:t>
            </w:r>
          </w:p>
          <w:p w14:paraId="5BA28E9B">
            <w:pPr>
              <w:spacing w:line="276" w:lineRule="auto"/>
              <w:ind w:firstLine="480"/>
              <w:rPr>
                <w:rFonts w:ascii="楷体" w:hAnsi="楷体" w:eastAsia="楷体"/>
                <w:sz w:val="21"/>
                <w:szCs w:val="21"/>
              </w:rPr>
            </w:pPr>
            <w:r>
              <w:rPr>
                <w:rFonts w:hint="eastAsia" w:ascii="楷体" w:hAnsi="楷体" w:eastAsia="楷体"/>
                <w:sz w:val="21"/>
                <w:szCs w:val="21"/>
              </w:rPr>
              <w:t>担保期间，担保财产毁损、灭失或者被征收等，担</w:t>
            </w:r>
            <w:r>
              <w:rPr>
                <w:rFonts w:hint="eastAsia" w:ascii="楷体" w:hAnsi="楷体" w:eastAsia="楷体"/>
                <w:color w:val="FF0000"/>
                <w:sz w:val="21"/>
                <w:szCs w:val="21"/>
              </w:rPr>
              <w:t>保物权人可以就获得的保险金、赔偿金或者补偿金等优先受偿</w:t>
            </w:r>
            <w:r>
              <w:rPr>
                <w:rFonts w:hint="eastAsia" w:ascii="楷体" w:hAnsi="楷体" w:eastAsia="楷体"/>
                <w:sz w:val="21"/>
                <w:szCs w:val="21"/>
              </w:rPr>
              <w:t>。被担保债权的履行期未届满的，也可以提存该保险金、赔偿金或者补偿金等。</w:t>
            </w:r>
          </w:p>
          <w:p w14:paraId="772E2124">
            <w:pPr>
              <w:spacing w:line="276" w:lineRule="auto"/>
              <w:ind w:firstLine="480"/>
              <w:rPr>
                <w:rFonts w:ascii="楷体" w:hAnsi="楷体" w:eastAsia="楷体"/>
                <w:sz w:val="21"/>
                <w:szCs w:val="21"/>
              </w:rPr>
            </w:pPr>
            <w:r>
              <w:rPr>
                <w:rFonts w:ascii="楷体" w:hAnsi="楷体" w:eastAsia="楷体"/>
                <w:sz w:val="21"/>
                <w:szCs w:val="21"/>
              </w:rPr>
              <w:t xml:space="preserve"> </w:t>
            </w:r>
            <w:r>
              <w:rPr>
                <w:rFonts w:hint="eastAsia" w:ascii="楷体" w:hAnsi="楷体" w:eastAsia="楷体"/>
                <w:sz w:val="21"/>
                <w:szCs w:val="21"/>
              </w:rPr>
              <w:t>抵押权依法设立后，抵押财产毁损、灭失或者被征收等，抵押权人请求按照原抵押权的顺位就保险金、赔偿金或者补偿金等优先受偿的，人民法院应予支持。</w:t>
            </w:r>
          </w:p>
          <w:p w14:paraId="7082E25E">
            <w:pPr>
              <w:spacing w:line="276" w:lineRule="auto"/>
              <w:ind w:firstLine="480"/>
              <w:rPr>
                <w:rFonts w:hint="eastAsia" w:ascii="楷体" w:hAnsi="楷体" w:eastAsia="楷体"/>
                <w:color w:val="FF0000"/>
                <w:sz w:val="21"/>
                <w:szCs w:val="21"/>
                <w:u w:val="single"/>
                <w:lang w:eastAsia="zh-CN"/>
              </w:rPr>
            </w:pPr>
            <w:r>
              <w:rPr>
                <w:rFonts w:hint="eastAsia" w:ascii="楷体" w:hAnsi="楷体" w:eastAsia="楷体"/>
                <w:color w:val="FF0000"/>
                <w:sz w:val="21"/>
                <w:szCs w:val="21"/>
                <w:u w:val="single"/>
              </w:rPr>
              <w:t>给付义务人已经向抵押人给付了保险金、赔偿金或者补偿金，抵押权人请求给付义务人向其给付保险金、赔偿金或者补偿金的，人民法院不予支持，但是给付义务人接到抵押权人要求向其给付的通知后仍然向抵押人给付的除外。</w:t>
            </w:r>
            <w:r>
              <w:rPr>
                <w:rFonts w:hint="eastAsia" w:ascii="楷体" w:hAnsi="楷体" w:eastAsia="楷体"/>
                <w:color w:val="FF0000"/>
                <w:sz w:val="21"/>
                <w:szCs w:val="21"/>
                <w:u w:val="single"/>
                <w:lang w:eastAsia="zh-CN"/>
              </w:rPr>
              <w:t>（</w:t>
            </w:r>
            <w:r>
              <w:rPr>
                <w:rFonts w:hint="eastAsia" w:ascii="楷体" w:hAnsi="楷体" w:eastAsia="楷体"/>
                <w:color w:val="FF0000"/>
                <w:sz w:val="21"/>
                <w:szCs w:val="21"/>
                <w:u w:val="single"/>
                <w:lang w:val="en-US" w:eastAsia="zh-CN"/>
              </w:rPr>
              <w:t>通知后需要向担保物权人清偿</w:t>
            </w:r>
            <w:r>
              <w:rPr>
                <w:rFonts w:hint="eastAsia" w:ascii="楷体" w:hAnsi="楷体" w:eastAsia="楷体"/>
                <w:color w:val="FF0000"/>
                <w:sz w:val="21"/>
                <w:szCs w:val="21"/>
                <w:u w:val="single"/>
                <w:lang w:eastAsia="zh-CN"/>
              </w:rPr>
              <w:t>）</w:t>
            </w:r>
          </w:p>
          <w:p w14:paraId="2B8DADF1">
            <w:pPr>
              <w:spacing w:line="276" w:lineRule="auto"/>
              <w:ind w:firstLine="480"/>
              <w:rPr>
                <w:rFonts w:ascii="Times New Roman" w:hAnsi="Times New Roman" w:cs="Times New Roman"/>
                <w:b/>
                <w:color w:val="000000"/>
                <w:sz w:val="21"/>
                <w:szCs w:val="21"/>
                <w:u w:val="single"/>
              </w:rPr>
            </w:pPr>
            <w:r>
              <w:rPr>
                <w:rFonts w:hint="eastAsia" w:ascii="楷体" w:hAnsi="楷体" w:eastAsia="楷体"/>
                <w:sz w:val="21"/>
                <w:szCs w:val="21"/>
              </w:rPr>
              <w:t>抵押权人请求给付义务人向其给付保险金、赔偿金或者补偿金的，人民法院可以通知抵押人作为第三人参加诉讼.</w:t>
            </w:r>
          </w:p>
        </w:tc>
      </w:tr>
    </w:tbl>
    <w:p w14:paraId="5F02E616">
      <w:pPr>
        <w:spacing w:line="276" w:lineRule="auto"/>
        <w:ind w:firstLine="420"/>
        <w:rPr>
          <w:rFonts w:ascii="Times New Roman" w:hAnsi="Times New Roman" w:eastAsia="楷体" w:cs="Times New Roman"/>
          <w:color w:val="000000"/>
          <w:sz w:val="21"/>
          <w:szCs w:val="21"/>
        </w:rPr>
      </w:pPr>
    </w:p>
    <w:p w14:paraId="1F84FC25">
      <w:pPr>
        <w:spacing w:line="276" w:lineRule="auto"/>
        <w:ind w:firstLine="422" w:firstLineChars="200"/>
        <w:jc w:val="left"/>
        <w:outlineLvl w:val="1"/>
        <w:rPr>
          <w:rFonts w:ascii="Times New Roman" w:hAnsi="Times New Roman" w:cs="Times New Roman"/>
          <w:b/>
          <w:color w:val="000000"/>
          <w:sz w:val="21"/>
          <w:szCs w:val="21"/>
        </w:rPr>
      </w:pPr>
    </w:p>
    <w:p w14:paraId="540CEE95">
      <w:pPr>
        <w:spacing w:line="276" w:lineRule="auto"/>
        <w:ind w:firstLine="422" w:firstLineChars="200"/>
        <w:jc w:val="left"/>
        <w:outlineLvl w:val="1"/>
        <w:rPr>
          <w:rFonts w:ascii="Times New Roman" w:hAnsi="Times New Roman" w:cs="Times New Roman"/>
          <w:b/>
          <w:color w:val="000000"/>
          <w:sz w:val="21"/>
          <w:szCs w:val="21"/>
        </w:rPr>
      </w:pPr>
      <w:r>
        <w:rPr>
          <w:rFonts w:ascii="Times New Roman" w:hAnsi="Times New Roman" w:cs="Times New Roman"/>
          <w:b/>
          <w:color w:val="000000"/>
          <w:sz w:val="21"/>
          <w:szCs w:val="21"/>
        </w:rPr>
        <w:t>二、抵押权的设立</w:t>
      </w:r>
    </w:p>
    <w:p w14:paraId="6E2DE6BF">
      <w:pPr>
        <w:spacing w:line="276" w:lineRule="auto"/>
        <w:ind w:firstLine="422" w:firstLineChars="200"/>
        <w:jc w:val="left"/>
        <w:outlineLvl w:val="1"/>
        <w:rPr>
          <w:rFonts w:ascii="Times New Roman" w:hAnsi="Times New Roman" w:cs="Times New Roman"/>
          <w:b/>
          <w:color w:val="000000"/>
          <w:sz w:val="21"/>
          <w:szCs w:val="21"/>
        </w:rPr>
      </w:pPr>
    </w:p>
    <w:p w14:paraId="30787FAC">
      <w:pPr>
        <w:ind w:firstLine="480"/>
        <w:rPr>
          <w:rFonts w:ascii="Times New Roman" w:hAnsi="Times New Roman" w:cs="Times New Roman"/>
          <w:b/>
          <w:color w:val="000000"/>
          <w:sz w:val="21"/>
          <w:szCs w:val="21"/>
        </w:rPr>
      </w:pPr>
      <w:r>
        <w:rPr>
          <w:rFonts w:ascii="Times New Roman" w:hAnsi="Times New Roman" w:cs="Times New Roman"/>
          <w:b/>
          <w:color w:val="000000"/>
          <w:sz w:val="21"/>
          <w:szCs w:val="21"/>
        </w:rPr>
        <w:t>（一）抵押合同</w:t>
      </w:r>
    </w:p>
    <w:p w14:paraId="43F351AD">
      <w:pPr>
        <w:ind w:firstLine="480"/>
        <w:rPr>
          <w:rFonts w:ascii="Times New Roman" w:hAnsi="Times New Roman" w:cs="Times New Roman"/>
          <w:b/>
          <w:color w:val="000000"/>
          <w:sz w:val="21"/>
          <w:szCs w:val="21"/>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666"/>
        <w:gridCol w:w="6713"/>
      </w:tblGrid>
      <w:tr w14:paraId="4E234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noWrap w:val="0"/>
            <w:vAlign w:val="center"/>
          </w:tcPr>
          <w:p w14:paraId="607F57C9">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形式要求</w:t>
            </w:r>
          </w:p>
        </w:tc>
        <w:tc>
          <w:tcPr>
            <w:tcW w:w="6713" w:type="dxa"/>
            <w:noWrap w:val="0"/>
            <w:vAlign w:val="top"/>
          </w:tcPr>
          <w:p w14:paraId="1138E079">
            <w:pPr>
              <w:rPr>
                <w:rFonts w:ascii="Times New Roman" w:hAnsi="Times New Roman" w:cs="Times New Roman"/>
                <w:color w:val="000000"/>
                <w:sz w:val="21"/>
                <w:szCs w:val="21"/>
              </w:rPr>
            </w:pPr>
            <w:r>
              <w:rPr>
                <w:rFonts w:ascii="Times New Roman" w:hAnsi="Times New Roman" w:cs="Times New Roman"/>
                <w:color w:val="000000"/>
                <w:sz w:val="21"/>
                <w:szCs w:val="21"/>
              </w:rPr>
              <w:t>应以</w:t>
            </w:r>
            <w:r>
              <w:rPr>
                <w:rFonts w:ascii="Times New Roman" w:hAnsi="Times New Roman" w:cs="Times New Roman"/>
                <w:b/>
                <w:bCs/>
                <w:color w:val="000000"/>
                <w:sz w:val="21"/>
                <w:szCs w:val="21"/>
                <w:u w:val="single"/>
              </w:rPr>
              <w:t>书面形式</w:t>
            </w:r>
            <w:r>
              <w:rPr>
                <w:rFonts w:ascii="Times New Roman" w:hAnsi="Times New Roman" w:cs="Times New Roman"/>
                <w:color w:val="000000"/>
                <w:sz w:val="21"/>
                <w:szCs w:val="21"/>
              </w:rPr>
              <w:t>订立</w:t>
            </w:r>
          </w:p>
        </w:tc>
      </w:tr>
      <w:tr w14:paraId="6DA50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noWrap w:val="0"/>
            <w:vAlign w:val="center"/>
          </w:tcPr>
          <w:p w14:paraId="432E4885">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生效时点</w:t>
            </w:r>
          </w:p>
        </w:tc>
        <w:tc>
          <w:tcPr>
            <w:tcW w:w="6713" w:type="dxa"/>
            <w:noWrap w:val="0"/>
            <w:vAlign w:val="top"/>
          </w:tcPr>
          <w:p w14:paraId="728AEA26">
            <w:pPr>
              <w:rPr>
                <w:rFonts w:ascii="Times New Roman" w:hAnsi="Times New Roman" w:cs="Times New Roman"/>
                <w:color w:val="000000"/>
                <w:sz w:val="21"/>
                <w:szCs w:val="21"/>
              </w:rPr>
            </w:pPr>
            <w:r>
              <w:rPr>
                <w:rFonts w:ascii="Times New Roman" w:hAnsi="Times New Roman" w:cs="Times New Roman"/>
                <w:color w:val="000000"/>
                <w:sz w:val="21"/>
                <w:szCs w:val="21"/>
              </w:rPr>
              <w:t>原则上自成立时生效，</w:t>
            </w:r>
            <w:r>
              <w:rPr>
                <w:rFonts w:ascii="Times New Roman" w:hAnsi="Times New Roman" w:cs="Times New Roman"/>
                <w:b/>
                <w:bCs/>
                <w:color w:val="FF0000"/>
                <w:sz w:val="21"/>
                <w:szCs w:val="21"/>
                <w:u w:val="single"/>
              </w:rPr>
              <w:t>是否登记不影响抵押合同的效力</w:t>
            </w:r>
          </w:p>
        </w:tc>
      </w:tr>
      <w:tr w14:paraId="2163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vMerge w:val="restart"/>
            <w:noWrap w:val="0"/>
            <w:vAlign w:val="center"/>
          </w:tcPr>
          <w:p w14:paraId="6BD4235B">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流押条款</w:t>
            </w:r>
          </w:p>
        </w:tc>
        <w:tc>
          <w:tcPr>
            <w:tcW w:w="666" w:type="dxa"/>
            <w:noWrap w:val="0"/>
            <w:vAlign w:val="center"/>
          </w:tcPr>
          <w:p w14:paraId="4B105FD1">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概念</w:t>
            </w:r>
          </w:p>
        </w:tc>
        <w:tc>
          <w:tcPr>
            <w:tcW w:w="6713" w:type="dxa"/>
            <w:noWrap w:val="0"/>
            <w:vAlign w:val="top"/>
          </w:tcPr>
          <w:p w14:paraId="49BB9E59">
            <w:pPr>
              <w:rPr>
                <w:rFonts w:ascii="Times New Roman" w:hAnsi="Times New Roman" w:cs="Times New Roman"/>
                <w:color w:val="000000"/>
                <w:sz w:val="21"/>
                <w:szCs w:val="21"/>
              </w:rPr>
            </w:pPr>
            <w:r>
              <w:rPr>
                <w:rFonts w:ascii="Times New Roman" w:hAnsi="Times New Roman" w:cs="Times New Roman"/>
                <w:color w:val="000000"/>
                <w:sz w:val="21"/>
                <w:szCs w:val="21"/>
              </w:rPr>
              <w:t>抵押权人与抵押人在债务履行期限届满前约定，债务人不履行到期债务时抵押财产归债权人所有的条款</w:t>
            </w:r>
          </w:p>
        </w:tc>
      </w:tr>
      <w:tr w14:paraId="7E0DE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vMerge w:val="continue"/>
            <w:noWrap w:val="0"/>
            <w:vAlign w:val="center"/>
          </w:tcPr>
          <w:p w14:paraId="67397685">
            <w:pPr>
              <w:jc w:val="center"/>
              <w:rPr>
                <w:rFonts w:ascii="Times New Roman" w:hAnsi="Times New Roman" w:cs="Times New Roman"/>
                <w:b/>
                <w:bCs/>
                <w:color w:val="000000"/>
                <w:sz w:val="21"/>
                <w:szCs w:val="21"/>
              </w:rPr>
            </w:pPr>
          </w:p>
        </w:tc>
        <w:tc>
          <w:tcPr>
            <w:tcW w:w="666" w:type="dxa"/>
            <w:noWrap w:val="0"/>
            <w:vAlign w:val="center"/>
          </w:tcPr>
          <w:p w14:paraId="69DA1C30">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效力</w:t>
            </w:r>
          </w:p>
        </w:tc>
        <w:tc>
          <w:tcPr>
            <w:tcW w:w="6713" w:type="dxa"/>
            <w:noWrap w:val="0"/>
            <w:vAlign w:val="top"/>
          </w:tcPr>
          <w:p w14:paraId="415265FB">
            <w:pPr>
              <w:rPr>
                <w:rFonts w:ascii="Times New Roman" w:hAnsi="Times New Roman" w:cs="Times New Roman"/>
                <w:color w:val="000000"/>
                <w:sz w:val="21"/>
                <w:szCs w:val="21"/>
              </w:rPr>
            </w:pPr>
            <w:r>
              <w:rPr>
                <w:rFonts w:ascii="Times New Roman" w:hAnsi="Times New Roman" w:cs="Times New Roman"/>
                <w:b/>
                <w:bCs/>
                <w:color w:val="000000"/>
                <w:sz w:val="21"/>
                <w:szCs w:val="21"/>
                <w:u w:val="single"/>
              </w:rPr>
              <w:t>无效</w:t>
            </w:r>
            <w:r>
              <w:rPr>
                <w:rFonts w:ascii="Times New Roman" w:hAnsi="Times New Roman" w:cs="Times New Roman"/>
                <w:color w:val="000000"/>
                <w:sz w:val="21"/>
                <w:szCs w:val="21"/>
              </w:rPr>
              <w:t>，抵押权人只能就抵押财产变价优先受偿</w:t>
            </w:r>
          </w:p>
        </w:tc>
      </w:tr>
    </w:tbl>
    <w:p w14:paraId="6A4A1DC0">
      <w:pPr>
        <w:ind w:firstLine="420"/>
        <w:rPr>
          <w:rFonts w:ascii="Times New Roman" w:hAnsi="Times New Roman" w:eastAsia="楷体" w:cs="Times New Roman"/>
          <w:color w:val="000000"/>
          <w:sz w:val="21"/>
          <w:szCs w:val="21"/>
        </w:rPr>
      </w:pPr>
    </w:p>
    <w:p w14:paraId="006D5F97">
      <w:pPr>
        <w:ind w:firstLine="420"/>
        <w:rPr>
          <w:rFonts w:ascii="Times New Roman" w:hAnsi="Times New Roman" w:eastAsia="楷体" w:cs="Times New Roman"/>
          <w:color w:val="000000"/>
          <w:sz w:val="21"/>
          <w:szCs w:val="21"/>
          <w:highlight w:val="none"/>
        </w:rPr>
      </w:pPr>
      <w:r>
        <w:rPr>
          <w:rFonts w:ascii="Times New Roman" w:hAnsi="Times New Roman" w:eastAsia="楷体" w:cs="Times New Roman"/>
          <w:color w:val="000000"/>
          <w:sz w:val="21"/>
          <w:szCs w:val="21"/>
        </w:rPr>
        <w:t>特别</w:t>
      </w:r>
      <w:r>
        <w:rPr>
          <w:rFonts w:ascii="Times New Roman" w:hAnsi="Times New Roman" w:eastAsia="楷体" w:cs="Times New Roman"/>
          <w:color w:val="000000"/>
          <w:sz w:val="21"/>
          <w:szCs w:val="21"/>
          <w:highlight w:val="none"/>
        </w:rPr>
        <w:t>提醒：流担保条款</w:t>
      </w:r>
      <w:r>
        <w:rPr>
          <w:rFonts w:hint="eastAsia" w:ascii="Times New Roman" w:hAnsi="Times New Roman" w:eastAsia="楷体" w:cs="Times New Roman"/>
          <w:color w:val="000000"/>
          <w:sz w:val="21"/>
          <w:szCs w:val="21"/>
          <w:highlight w:val="none"/>
        </w:rPr>
        <w:t>（流押流质条款）</w:t>
      </w:r>
      <w:r>
        <w:rPr>
          <w:rFonts w:ascii="Times New Roman" w:hAnsi="Times New Roman" w:eastAsia="楷体" w:cs="Times New Roman"/>
          <w:color w:val="000000"/>
          <w:sz w:val="21"/>
          <w:szCs w:val="21"/>
          <w:highlight w:val="none"/>
        </w:rPr>
        <w:t>不仅出现在抵押情形下，质押以及所有权保留、融资租赁、买卖型担保、让与担保等非典型担保中均可能出现，</w:t>
      </w:r>
      <w:r>
        <w:rPr>
          <w:rFonts w:ascii="Times New Roman" w:hAnsi="Times New Roman" w:eastAsia="楷体" w:cs="Times New Roman"/>
          <w:b/>
          <w:bCs/>
          <w:color w:val="000000"/>
          <w:sz w:val="21"/>
          <w:szCs w:val="21"/>
          <w:highlight w:val="none"/>
          <w:u w:val="single"/>
        </w:rPr>
        <w:t>现行法对流担保条款的态度的一致的，即认定其无效</w:t>
      </w:r>
      <w:r>
        <w:rPr>
          <w:rFonts w:hint="eastAsia" w:ascii="Times New Roman" w:hAnsi="Times New Roman" w:eastAsia="楷体" w:cs="Times New Roman"/>
          <w:b/>
          <w:bCs/>
          <w:color w:val="000000"/>
          <w:sz w:val="21"/>
          <w:szCs w:val="21"/>
          <w:highlight w:val="none"/>
          <w:u w:val="single"/>
        </w:rPr>
        <w:t>，但通常并不影响担保合同的整体效力</w:t>
      </w:r>
      <w:r>
        <w:rPr>
          <w:rFonts w:hint="eastAsia" w:ascii="Times New Roman" w:hAnsi="Times New Roman" w:eastAsia="楷体" w:cs="Times New Roman"/>
          <w:color w:val="000000"/>
          <w:sz w:val="21"/>
          <w:szCs w:val="21"/>
          <w:highlight w:val="none"/>
        </w:rPr>
        <w:t>。因此解题时考生需要注意区分担保合同的效力与流担保条款的效力。</w:t>
      </w:r>
    </w:p>
    <w:p w14:paraId="2EFAA7E2">
      <w:pPr>
        <w:ind w:firstLine="480"/>
        <w:rPr>
          <w:rFonts w:ascii="Times New Roman" w:hAnsi="Times New Roman" w:cs="Times New Roman"/>
          <w:b/>
          <w:color w:val="000000"/>
          <w:sz w:val="21"/>
          <w:szCs w:val="21"/>
          <w:highlight w:val="none"/>
        </w:rPr>
      </w:pPr>
    </w:p>
    <w:p w14:paraId="5525EA29">
      <w:pPr>
        <w:ind w:firstLine="480"/>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（二）房地一体抵押</w:t>
      </w:r>
    </w:p>
    <w:p w14:paraId="67658203">
      <w:pPr>
        <w:ind w:firstLine="480"/>
        <w:rPr>
          <w:rFonts w:ascii="Times New Roman" w:hAnsi="Times New Roman" w:cs="Times New Roman"/>
          <w:b/>
          <w:color w:val="000000"/>
          <w:sz w:val="21"/>
          <w:szCs w:val="21"/>
          <w:highlight w:val="none"/>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138"/>
      </w:tblGrid>
      <w:tr w14:paraId="6703B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noWrap w:val="0"/>
            <w:vAlign w:val="center"/>
          </w:tcPr>
          <w:p w14:paraId="1433C8B8">
            <w:pPr>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房随地走</w:t>
            </w:r>
          </w:p>
        </w:tc>
        <w:tc>
          <w:tcPr>
            <w:tcW w:w="7138" w:type="dxa"/>
            <w:noWrap w:val="0"/>
            <w:vAlign w:val="top"/>
          </w:tcPr>
          <w:p w14:paraId="258EA1F5">
            <w:pPr>
              <w:rPr>
                <w:rFonts w:ascii="Times New Roman" w:hAnsi="Times New Roman" w:cs="Times New Roman"/>
                <w:bCs/>
                <w:color w:val="000000"/>
                <w:sz w:val="21"/>
                <w:szCs w:val="21"/>
                <w:highlight w:val="none"/>
              </w:rPr>
            </w:pPr>
            <w:r>
              <w:rPr>
                <w:rFonts w:ascii="Times New Roman" w:hAnsi="Times New Roman" w:cs="Times New Roman"/>
                <w:bCs/>
                <w:color w:val="000000"/>
                <w:sz w:val="21"/>
                <w:szCs w:val="21"/>
                <w:highlight w:val="none"/>
              </w:rPr>
              <w:t>（1）以建设用地使用权抵押的，该土地上的建筑物以及</w:t>
            </w:r>
            <w:r>
              <w:rPr>
                <w:rFonts w:ascii="Times New Roman" w:hAnsi="Times New Roman" w:cs="Times New Roman"/>
                <w:color w:val="000000"/>
                <w:sz w:val="21"/>
                <w:szCs w:val="21"/>
                <w:highlight w:val="none"/>
              </w:rPr>
              <w:t>正在建造的建筑物已完成部分</w:t>
            </w:r>
            <w:r>
              <w:rPr>
                <w:rFonts w:ascii="Times New Roman" w:hAnsi="Times New Roman" w:cs="Times New Roman"/>
                <w:bCs/>
                <w:color w:val="000000"/>
                <w:sz w:val="21"/>
                <w:szCs w:val="21"/>
                <w:highlight w:val="none"/>
              </w:rPr>
              <w:t>一并抵押，但该土地上正在建造的建筑物</w:t>
            </w:r>
            <w:r>
              <w:rPr>
                <w:rFonts w:ascii="Times New Roman" w:hAnsi="Times New Roman" w:cs="Times New Roman"/>
                <w:b/>
                <w:color w:val="000000"/>
                <w:sz w:val="21"/>
                <w:szCs w:val="21"/>
                <w:highlight w:val="none"/>
                <w:u w:val="single"/>
              </w:rPr>
              <w:t>续建部分与新增的建筑物不属于抵押财产</w:t>
            </w:r>
          </w:p>
        </w:tc>
      </w:tr>
      <w:tr w14:paraId="7E9B4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top"/>
          </w:tcPr>
          <w:p w14:paraId="155C9B5C">
            <w:pPr>
              <w:rPr>
                <w:rFonts w:ascii="Times New Roman" w:hAnsi="Times New Roman" w:cs="Times New Roman"/>
                <w:b/>
                <w:color w:val="000000"/>
                <w:sz w:val="21"/>
                <w:szCs w:val="21"/>
                <w:highlight w:val="none"/>
              </w:rPr>
            </w:pPr>
          </w:p>
        </w:tc>
        <w:tc>
          <w:tcPr>
            <w:tcW w:w="7138" w:type="dxa"/>
            <w:noWrap w:val="0"/>
            <w:vAlign w:val="top"/>
          </w:tcPr>
          <w:p w14:paraId="58C2C72F">
            <w:pPr>
              <w:rPr>
                <w:rFonts w:ascii="Times New Roman" w:hAnsi="Times New Roman" w:cs="Times New Roman"/>
                <w:bCs/>
                <w:color w:val="000000"/>
                <w:sz w:val="21"/>
                <w:szCs w:val="21"/>
                <w:highlight w:val="none"/>
              </w:rPr>
            </w:pPr>
            <w:r>
              <w:rPr>
                <w:rFonts w:ascii="Times New Roman" w:hAnsi="Times New Roman" w:cs="Times New Roman"/>
                <w:bCs/>
                <w:color w:val="000000"/>
                <w:sz w:val="21"/>
                <w:szCs w:val="21"/>
                <w:highlight w:val="none"/>
              </w:rPr>
              <w:t>（2）抵押权实现时，</w:t>
            </w:r>
            <w:r>
              <w:rPr>
                <w:rFonts w:ascii="Times New Roman" w:hAnsi="Times New Roman" w:cs="Times New Roman"/>
                <w:b/>
                <w:color w:val="000000"/>
                <w:sz w:val="21"/>
                <w:szCs w:val="21"/>
                <w:highlight w:val="none"/>
                <w:u w:val="single"/>
              </w:rPr>
              <w:t>房地一并处分</w:t>
            </w:r>
            <w:r>
              <w:rPr>
                <w:rFonts w:ascii="Times New Roman" w:hAnsi="Times New Roman" w:cs="Times New Roman"/>
                <w:bCs/>
                <w:color w:val="000000"/>
                <w:sz w:val="21"/>
                <w:szCs w:val="21"/>
                <w:highlight w:val="none"/>
              </w:rPr>
              <w:t>，</w:t>
            </w:r>
            <w:r>
              <w:rPr>
                <w:rFonts w:ascii="Times New Roman" w:hAnsi="Times New Roman" w:cs="Times New Roman"/>
                <w:b/>
                <w:color w:val="FF0000"/>
                <w:sz w:val="21"/>
                <w:szCs w:val="21"/>
                <w:highlight w:val="none"/>
                <w:u w:val="single"/>
              </w:rPr>
              <w:t>但正在建造的建筑物续建部分与新增建筑物所得的价款，抵押权人无权优先受偿</w:t>
            </w:r>
          </w:p>
        </w:tc>
      </w:tr>
      <w:tr w14:paraId="4BFC8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14:paraId="57C924FB">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地随房走</w:t>
            </w:r>
          </w:p>
        </w:tc>
        <w:tc>
          <w:tcPr>
            <w:tcW w:w="7138" w:type="dxa"/>
            <w:noWrap w:val="0"/>
            <w:vAlign w:val="top"/>
          </w:tcPr>
          <w:p w14:paraId="1B399493">
            <w:pPr>
              <w:rPr>
                <w:rFonts w:ascii="Times New Roman" w:hAnsi="Times New Roman" w:cs="Times New Roman"/>
                <w:bCs/>
                <w:color w:val="000000"/>
                <w:sz w:val="21"/>
                <w:szCs w:val="21"/>
              </w:rPr>
            </w:pPr>
            <w:r>
              <w:rPr>
                <w:rFonts w:ascii="Times New Roman" w:hAnsi="Times New Roman" w:cs="Times New Roman"/>
                <w:bCs/>
                <w:color w:val="000000"/>
                <w:sz w:val="21"/>
                <w:szCs w:val="21"/>
              </w:rPr>
              <w:t>以建筑物抵押的，该建筑物占用范围内的建设用地使用权一并抵押</w:t>
            </w:r>
          </w:p>
        </w:tc>
      </w:tr>
    </w:tbl>
    <w:p w14:paraId="3CFBBC75">
      <w:pPr>
        <w:ind w:firstLine="480"/>
        <w:rPr>
          <w:rFonts w:ascii="Times New Roman" w:hAnsi="Times New Roman" w:eastAsia="楷体" w:cs="Times New Roman"/>
          <w:color w:val="000000"/>
          <w:sz w:val="21"/>
          <w:szCs w:val="21"/>
        </w:rPr>
      </w:pPr>
    </w:p>
    <w:p w14:paraId="23602A0A">
      <w:pPr>
        <w:ind w:firstLine="480"/>
        <w:rPr>
          <w:rFonts w:ascii="Times New Roman" w:hAnsi="Times New Roman" w:eastAsia="楷体" w:cs="Times New Roman"/>
          <w:color w:val="000000"/>
          <w:sz w:val="21"/>
          <w:szCs w:val="21"/>
        </w:rPr>
      </w:pPr>
      <w:r>
        <w:rPr>
          <w:rFonts w:ascii="Times New Roman" w:hAnsi="Times New Roman" w:eastAsia="楷体" w:cs="Times New Roman"/>
          <w:color w:val="000000"/>
          <w:sz w:val="21"/>
          <w:szCs w:val="21"/>
        </w:rPr>
        <w:t>特别提醒：</w:t>
      </w:r>
    </w:p>
    <w:p w14:paraId="49566B62">
      <w:pPr>
        <w:ind w:firstLine="480"/>
        <w:rPr>
          <w:rFonts w:ascii="Times New Roman" w:hAnsi="Times New Roman" w:eastAsia="楷体" w:cs="Times New Roman"/>
          <w:color w:val="000000"/>
          <w:sz w:val="21"/>
          <w:szCs w:val="21"/>
        </w:rPr>
      </w:pPr>
      <w:r>
        <w:rPr>
          <w:rFonts w:ascii="Times New Roman" w:hAnsi="Times New Roman" w:eastAsia="楷体" w:cs="Times New Roman"/>
          <w:bCs/>
          <w:color w:val="000000"/>
          <w:sz w:val="21"/>
          <w:szCs w:val="21"/>
        </w:rPr>
        <w:t>抵押人将建设用地使用权、土地上的建筑物或者正在建造的建筑物分别抵押给不同债权人的，</w:t>
      </w:r>
      <w:r>
        <w:rPr>
          <w:rFonts w:ascii="Times New Roman" w:hAnsi="Times New Roman" w:eastAsia="楷体" w:cs="Times New Roman"/>
          <w:b/>
          <w:color w:val="000000"/>
          <w:sz w:val="21"/>
          <w:szCs w:val="21"/>
          <w:u w:val="single"/>
        </w:rPr>
        <w:t>根据抵押登记的时间先后确定清偿顺序</w:t>
      </w:r>
      <w:r>
        <w:rPr>
          <w:rFonts w:ascii="Times New Roman" w:hAnsi="Times New Roman" w:eastAsia="楷体" w:cs="Times New Roman"/>
          <w:b/>
          <w:color w:val="000000"/>
          <w:sz w:val="21"/>
          <w:szCs w:val="21"/>
        </w:rPr>
        <w:t>。</w:t>
      </w:r>
    </w:p>
    <w:p w14:paraId="3015D938">
      <w:pPr>
        <w:ind w:firstLine="480"/>
        <w:rPr>
          <w:rFonts w:ascii="Times New Roman" w:hAnsi="Times New Roman" w:cs="Times New Roman"/>
          <w:b/>
          <w:color w:val="000000"/>
          <w:sz w:val="21"/>
          <w:szCs w:val="21"/>
        </w:rPr>
      </w:pPr>
    </w:p>
    <w:p w14:paraId="41268067">
      <w:pPr>
        <w:ind w:firstLine="480"/>
        <w:rPr>
          <w:rFonts w:ascii="Times New Roman" w:hAnsi="Times New Roman" w:cs="Times New Roman"/>
          <w:b/>
          <w:color w:val="000000"/>
          <w:sz w:val="21"/>
          <w:szCs w:val="21"/>
        </w:rPr>
      </w:pPr>
      <w:r>
        <w:rPr>
          <w:rFonts w:ascii="Times New Roman" w:hAnsi="Times New Roman" w:cs="Times New Roman"/>
          <w:b/>
          <w:color w:val="000000"/>
          <w:sz w:val="21"/>
          <w:szCs w:val="21"/>
        </w:rPr>
        <w:t>（三）不动产抵押权的设立</w:t>
      </w:r>
    </w:p>
    <w:p w14:paraId="5A4C6589">
      <w:pPr>
        <w:ind w:firstLine="480"/>
        <w:rPr>
          <w:rFonts w:ascii="Times New Roman" w:hAnsi="Times New Roman" w:cs="Times New Roman"/>
          <w:b/>
          <w:color w:val="000000"/>
          <w:sz w:val="21"/>
          <w:szCs w:val="21"/>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559"/>
        <w:gridCol w:w="5862"/>
      </w:tblGrid>
      <w:tr w14:paraId="1534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gridSpan w:val="2"/>
            <w:noWrap w:val="0"/>
            <w:vAlign w:val="center"/>
          </w:tcPr>
          <w:p w14:paraId="26304984">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不动产抵押权设立时点</w:t>
            </w:r>
          </w:p>
        </w:tc>
        <w:tc>
          <w:tcPr>
            <w:tcW w:w="5862" w:type="dxa"/>
            <w:noWrap w:val="0"/>
            <w:vAlign w:val="top"/>
          </w:tcPr>
          <w:p w14:paraId="7318FDA5">
            <w:pPr>
              <w:rPr>
                <w:rFonts w:ascii="Times New Roman" w:hAnsi="Times New Roman" w:cs="Times New Roman"/>
                <w:bCs/>
                <w:color w:val="000000"/>
                <w:sz w:val="21"/>
                <w:szCs w:val="21"/>
              </w:rPr>
            </w:pPr>
            <w:r>
              <w:rPr>
                <w:rFonts w:ascii="Times New Roman" w:hAnsi="Times New Roman" w:cs="Times New Roman"/>
                <w:b/>
                <w:color w:val="000000"/>
                <w:sz w:val="21"/>
                <w:szCs w:val="21"/>
                <w:u w:val="single"/>
              </w:rPr>
              <w:t>原则上自登记时设立</w:t>
            </w:r>
            <w:r>
              <w:rPr>
                <w:rFonts w:ascii="Times New Roman" w:hAnsi="Times New Roman" w:cs="Times New Roman"/>
                <w:bCs/>
                <w:color w:val="000000"/>
                <w:sz w:val="21"/>
                <w:szCs w:val="21"/>
              </w:rPr>
              <w:t>，但土地经营权抵押权自抵押合同生效时设立</w:t>
            </w:r>
          </w:p>
        </w:tc>
      </w:tr>
      <w:tr w14:paraId="63DD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noWrap w:val="0"/>
            <w:vAlign w:val="center"/>
          </w:tcPr>
          <w:p w14:paraId="577A44B4">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不动产抵押合同</w:t>
            </w:r>
          </w:p>
        </w:tc>
        <w:tc>
          <w:tcPr>
            <w:tcW w:w="1559" w:type="dxa"/>
            <w:noWrap w:val="0"/>
            <w:vAlign w:val="center"/>
          </w:tcPr>
          <w:p w14:paraId="2DCB52E5">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生效时点</w:t>
            </w:r>
          </w:p>
        </w:tc>
        <w:tc>
          <w:tcPr>
            <w:tcW w:w="5862" w:type="dxa"/>
            <w:noWrap w:val="0"/>
            <w:vAlign w:val="top"/>
          </w:tcPr>
          <w:p w14:paraId="3976D6EA">
            <w:pPr>
              <w:rPr>
                <w:rFonts w:ascii="Times New Roman" w:hAnsi="Times New Roman" w:cs="Times New Roman"/>
                <w:bCs/>
                <w:color w:val="000000"/>
                <w:sz w:val="21"/>
                <w:szCs w:val="21"/>
              </w:rPr>
            </w:pPr>
            <w:r>
              <w:rPr>
                <w:rFonts w:ascii="Times New Roman" w:hAnsi="Times New Roman" w:cs="Times New Roman"/>
                <w:bCs/>
                <w:color w:val="000000"/>
                <w:sz w:val="21"/>
                <w:szCs w:val="21"/>
              </w:rPr>
              <w:t>原则上自成立时生效，</w:t>
            </w:r>
            <w:r>
              <w:rPr>
                <w:rFonts w:ascii="Times New Roman" w:hAnsi="Times New Roman" w:cs="Times New Roman"/>
                <w:b/>
                <w:color w:val="000000"/>
                <w:sz w:val="21"/>
                <w:szCs w:val="21"/>
                <w:u w:val="single"/>
              </w:rPr>
              <w:t>登记与否不影响合同效力</w:t>
            </w:r>
          </w:p>
        </w:tc>
      </w:tr>
      <w:tr w14:paraId="00AC7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top"/>
          </w:tcPr>
          <w:p w14:paraId="111ADC03">
            <w:pPr>
              <w:rPr>
                <w:rFonts w:ascii="Times New Roman" w:hAnsi="Times New Roman" w:cs="Times New Roman"/>
                <w:b/>
                <w:color w:val="000000"/>
                <w:sz w:val="21"/>
                <w:szCs w:val="21"/>
              </w:rPr>
            </w:pPr>
          </w:p>
        </w:tc>
        <w:tc>
          <w:tcPr>
            <w:tcW w:w="1559" w:type="dxa"/>
            <w:noWrap w:val="0"/>
            <w:vAlign w:val="center"/>
          </w:tcPr>
          <w:p w14:paraId="5D9FD4B2">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合同性质</w:t>
            </w:r>
          </w:p>
        </w:tc>
        <w:tc>
          <w:tcPr>
            <w:tcW w:w="5862" w:type="dxa"/>
            <w:noWrap w:val="0"/>
            <w:vAlign w:val="top"/>
          </w:tcPr>
          <w:p w14:paraId="26E91870">
            <w:pPr>
              <w:rPr>
                <w:rFonts w:ascii="Times New Roman" w:hAnsi="Times New Roman" w:cs="Times New Roman"/>
                <w:bCs/>
                <w:color w:val="000000"/>
                <w:sz w:val="21"/>
                <w:szCs w:val="21"/>
              </w:rPr>
            </w:pPr>
            <w:r>
              <w:rPr>
                <w:rFonts w:ascii="Times New Roman" w:hAnsi="Times New Roman" w:cs="Times New Roman"/>
                <w:b/>
                <w:color w:val="000000"/>
                <w:sz w:val="21"/>
                <w:szCs w:val="21"/>
                <w:u w:val="single"/>
              </w:rPr>
              <w:t>负担行为</w:t>
            </w:r>
            <w:r>
              <w:rPr>
                <w:rFonts w:ascii="Times New Roman" w:hAnsi="Times New Roman" w:cs="Times New Roman"/>
                <w:bCs/>
                <w:color w:val="000000"/>
                <w:sz w:val="21"/>
                <w:szCs w:val="21"/>
              </w:rPr>
              <w:t>，债权人有权请求抵押人办理抵押登记手续</w:t>
            </w:r>
          </w:p>
        </w:tc>
      </w:tr>
      <w:tr w14:paraId="4214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top"/>
          </w:tcPr>
          <w:p w14:paraId="6397FBAD">
            <w:pPr>
              <w:rPr>
                <w:rFonts w:ascii="Times New Roman" w:hAnsi="Times New Roman" w:cs="Times New Roman"/>
                <w:b/>
                <w:color w:val="000000"/>
                <w:sz w:val="21"/>
                <w:szCs w:val="21"/>
              </w:rPr>
            </w:pPr>
          </w:p>
        </w:tc>
        <w:tc>
          <w:tcPr>
            <w:tcW w:w="1559" w:type="dxa"/>
            <w:vMerge w:val="restart"/>
            <w:noWrap w:val="0"/>
            <w:vAlign w:val="center"/>
          </w:tcPr>
          <w:p w14:paraId="3FBC2CBA">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履行不能时债权人的救济</w:t>
            </w:r>
          </w:p>
        </w:tc>
        <w:tc>
          <w:tcPr>
            <w:tcW w:w="5862" w:type="dxa"/>
            <w:noWrap w:val="0"/>
            <w:vAlign w:val="top"/>
          </w:tcPr>
          <w:p w14:paraId="603C4127">
            <w:pPr>
              <w:rPr>
                <w:rFonts w:ascii="Times New Roman" w:hAnsi="Times New Roman" w:cs="Times New Roman"/>
                <w:bCs/>
                <w:color w:val="000000"/>
                <w:sz w:val="21"/>
                <w:szCs w:val="21"/>
              </w:rPr>
            </w:pPr>
            <w:r>
              <w:rPr>
                <w:rFonts w:ascii="Times New Roman" w:hAnsi="Times New Roman" w:cs="Times New Roman"/>
                <w:bCs/>
                <w:color w:val="000000"/>
                <w:sz w:val="21"/>
                <w:szCs w:val="21"/>
              </w:rPr>
              <w:t>（1）不可归责于抵押人自身的原因，抵押人在所获保险金、赔偿金或者补偿金等范围内承担赔偿责任</w:t>
            </w:r>
          </w:p>
        </w:tc>
      </w:tr>
      <w:tr w14:paraId="36765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top"/>
          </w:tcPr>
          <w:p w14:paraId="46F52EA4">
            <w:pPr>
              <w:rPr>
                <w:rFonts w:ascii="Times New Roman" w:hAnsi="Times New Roman" w:cs="Times New Roman"/>
                <w:b/>
                <w:color w:val="000000"/>
                <w:sz w:val="21"/>
                <w:szCs w:val="21"/>
              </w:rPr>
            </w:pPr>
          </w:p>
        </w:tc>
        <w:tc>
          <w:tcPr>
            <w:tcW w:w="1559" w:type="dxa"/>
            <w:vMerge w:val="continue"/>
            <w:noWrap w:val="0"/>
            <w:vAlign w:val="top"/>
          </w:tcPr>
          <w:p w14:paraId="1C7CE3AB">
            <w:pPr>
              <w:rPr>
                <w:rFonts w:ascii="Times New Roman" w:hAnsi="Times New Roman" w:cs="Times New Roman"/>
                <w:b/>
                <w:color w:val="000000"/>
                <w:sz w:val="21"/>
                <w:szCs w:val="21"/>
              </w:rPr>
            </w:pPr>
          </w:p>
        </w:tc>
        <w:tc>
          <w:tcPr>
            <w:tcW w:w="5862" w:type="dxa"/>
            <w:noWrap w:val="0"/>
            <w:vAlign w:val="top"/>
          </w:tcPr>
          <w:p w14:paraId="3EC434A6">
            <w:pPr>
              <w:rPr>
                <w:rFonts w:ascii="Times New Roman" w:hAnsi="Times New Roman" w:cs="Times New Roman"/>
                <w:bCs/>
                <w:color w:val="000000"/>
                <w:sz w:val="21"/>
                <w:szCs w:val="21"/>
              </w:rPr>
            </w:pPr>
            <w:r>
              <w:rPr>
                <w:rFonts w:ascii="Times New Roman" w:hAnsi="Times New Roman" w:cs="Times New Roman"/>
                <w:bCs/>
                <w:color w:val="000000"/>
                <w:sz w:val="21"/>
                <w:szCs w:val="21"/>
              </w:rPr>
              <w:t>（2）</w:t>
            </w:r>
            <w:r>
              <w:rPr>
                <w:rFonts w:ascii="Times New Roman" w:hAnsi="Times New Roman" w:cs="Times New Roman"/>
                <w:bCs/>
                <w:color w:val="FF0000"/>
                <w:sz w:val="21"/>
                <w:szCs w:val="21"/>
              </w:rPr>
              <w:t>可归责于抵押人自身的原因，抵押人承担违约责任，但</w:t>
            </w:r>
            <w:r>
              <w:rPr>
                <w:rFonts w:ascii="Times New Roman" w:hAnsi="Times New Roman" w:cs="Times New Roman"/>
                <w:b/>
                <w:color w:val="FF0000"/>
                <w:sz w:val="21"/>
                <w:szCs w:val="21"/>
                <w:u w:val="single"/>
              </w:rPr>
              <w:t>不得超过抵押权能够设立时抵押人应当承担的责任范围</w:t>
            </w:r>
          </w:p>
        </w:tc>
      </w:tr>
    </w:tbl>
    <w:p w14:paraId="76D18DD2">
      <w:pPr>
        <w:ind w:firstLine="480"/>
        <w:rPr>
          <w:rFonts w:ascii="Times New Roman" w:hAnsi="Times New Roman" w:cs="Times New Roman"/>
          <w:color w:val="000000"/>
          <w:sz w:val="21"/>
          <w:szCs w:val="21"/>
        </w:rPr>
      </w:pPr>
    </w:p>
    <w:p w14:paraId="1F13F036">
      <w:pPr>
        <w:ind w:firstLine="480"/>
        <w:rPr>
          <w:rFonts w:ascii="Times New Roman" w:hAnsi="Times New Roman" w:cs="Times New Roman"/>
          <w:b/>
          <w:color w:val="000000"/>
          <w:sz w:val="21"/>
          <w:szCs w:val="21"/>
        </w:rPr>
      </w:pPr>
      <w:r>
        <w:rPr>
          <w:rFonts w:ascii="Times New Roman" w:hAnsi="Times New Roman" w:cs="Times New Roman"/>
          <w:b/>
          <w:color w:val="000000"/>
          <w:sz w:val="21"/>
          <w:szCs w:val="21"/>
        </w:rPr>
        <w:t>（四）登记对抗的动产抵押权及其效力</w:t>
      </w:r>
    </w:p>
    <w:p w14:paraId="02DC71C8">
      <w:pPr>
        <w:ind w:firstLine="480"/>
        <w:rPr>
          <w:rFonts w:ascii="Times New Roman" w:hAnsi="Times New Roman" w:cs="Times New Roman"/>
          <w:b/>
          <w:color w:val="000000"/>
          <w:sz w:val="21"/>
          <w:szCs w:val="21"/>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418"/>
        <w:gridCol w:w="5153"/>
      </w:tblGrid>
      <w:tr w14:paraId="43C01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gridSpan w:val="2"/>
            <w:noWrap w:val="0"/>
            <w:vAlign w:val="center"/>
          </w:tcPr>
          <w:p w14:paraId="5AC9C6E9">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动产抵押权的设立</w:t>
            </w:r>
          </w:p>
        </w:tc>
        <w:tc>
          <w:tcPr>
            <w:tcW w:w="5153" w:type="dxa"/>
            <w:noWrap w:val="0"/>
            <w:vAlign w:val="top"/>
          </w:tcPr>
          <w:p w14:paraId="701B06A2">
            <w:pPr>
              <w:rPr>
                <w:rFonts w:ascii="Times New Roman" w:hAnsi="Times New Roman" w:cs="Times New Roman"/>
                <w:bCs/>
                <w:color w:val="000000"/>
                <w:sz w:val="21"/>
                <w:szCs w:val="21"/>
              </w:rPr>
            </w:pPr>
            <w:r>
              <w:rPr>
                <w:rFonts w:ascii="Times New Roman" w:hAnsi="Times New Roman" w:cs="Times New Roman"/>
                <w:b/>
                <w:color w:val="000000"/>
                <w:sz w:val="21"/>
                <w:szCs w:val="21"/>
                <w:u w:val="single"/>
              </w:rPr>
              <w:t>自抵押合同生效时设立</w:t>
            </w:r>
            <w:r>
              <w:rPr>
                <w:rFonts w:ascii="Times New Roman" w:hAnsi="Times New Roman" w:cs="Times New Roman"/>
                <w:bCs/>
                <w:color w:val="000000"/>
                <w:sz w:val="21"/>
                <w:szCs w:val="21"/>
              </w:rPr>
              <w:t>，未登记不得对抗善意第三人</w:t>
            </w:r>
          </w:p>
        </w:tc>
      </w:tr>
      <w:tr w14:paraId="29BE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gridSpan w:val="2"/>
            <w:vMerge w:val="restart"/>
            <w:noWrap w:val="0"/>
            <w:vAlign w:val="center"/>
          </w:tcPr>
          <w:p w14:paraId="0E2C9AB3">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未登记动产抵押权不得对抗的善意第三人</w:t>
            </w:r>
          </w:p>
        </w:tc>
        <w:tc>
          <w:tcPr>
            <w:tcW w:w="5153" w:type="dxa"/>
            <w:noWrap w:val="0"/>
            <w:vAlign w:val="top"/>
          </w:tcPr>
          <w:p w14:paraId="2F9D28DD">
            <w:pPr>
              <w:rPr>
                <w:rFonts w:ascii="Times New Roman" w:hAnsi="Times New Roman" w:cs="Times New Roman"/>
                <w:bCs/>
                <w:color w:val="FF0000"/>
                <w:sz w:val="21"/>
                <w:szCs w:val="21"/>
              </w:rPr>
            </w:pPr>
            <w:r>
              <w:rPr>
                <w:rFonts w:ascii="Times New Roman" w:hAnsi="Times New Roman" w:cs="Times New Roman"/>
                <w:bCs/>
                <w:color w:val="FF0000"/>
                <w:sz w:val="21"/>
                <w:szCs w:val="21"/>
              </w:rPr>
              <w:t>（1）已经占有抵押财产的善意受让人</w:t>
            </w:r>
          </w:p>
        </w:tc>
      </w:tr>
      <w:tr w14:paraId="0DD2A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gridSpan w:val="2"/>
            <w:vMerge w:val="continue"/>
            <w:noWrap w:val="0"/>
            <w:vAlign w:val="center"/>
          </w:tcPr>
          <w:p w14:paraId="75689260">
            <w:pPr>
              <w:jc w:val="center"/>
              <w:rPr>
                <w:rFonts w:ascii="Times New Roman" w:hAnsi="Times New Roman" w:cs="Times New Roman"/>
                <w:b/>
                <w:color w:val="000000"/>
                <w:sz w:val="21"/>
                <w:szCs w:val="21"/>
              </w:rPr>
            </w:pPr>
          </w:p>
        </w:tc>
        <w:tc>
          <w:tcPr>
            <w:tcW w:w="5153" w:type="dxa"/>
            <w:noWrap w:val="0"/>
            <w:vAlign w:val="top"/>
          </w:tcPr>
          <w:p w14:paraId="7C36AFBA">
            <w:pPr>
              <w:rPr>
                <w:rFonts w:ascii="Times New Roman" w:hAnsi="Times New Roman" w:cs="Times New Roman"/>
                <w:bCs/>
                <w:color w:val="FF0000"/>
                <w:sz w:val="21"/>
                <w:szCs w:val="21"/>
              </w:rPr>
            </w:pPr>
            <w:r>
              <w:rPr>
                <w:rFonts w:ascii="Times New Roman" w:hAnsi="Times New Roman" w:cs="Times New Roman"/>
                <w:bCs/>
                <w:color w:val="FF0000"/>
                <w:sz w:val="21"/>
                <w:szCs w:val="21"/>
              </w:rPr>
              <w:t>（2）已经移转占有的善意承租人</w:t>
            </w:r>
          </w:p>
        </w:tc>
      </w:tr>
      <w:tr w14:paraId="7786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gridSpan w:val="2"/>
            <w:vMerge w:val="continue"/>
            <w:noWrap w:val="0"/>
            <w:vAlign w:val="center"/>
          </w:tcPr>
          <w:p w14:paraId="624428E6">
            <w:pPr>
              <w:jc w:val="center"/>
              <w:rPr>
                <w:rFonts w:ascii="Times New Roman" w:hAnsi="Times New Roman" w:cs="Times New Roman"/>
                <w:b/>
                <w:color w:val="000000"/>
                <w:sz w:val="21"/>
                <w:szCs w:val="21"/>
              </w:rPr>
            </w:pPr>
          </w:p>
        </w:tc>
        <w:tc>
          <w:tcPr>
            <w:tcW w:w="5153" w:type="dxa"/>
            <w:noWrap w:val="0"/>
            <w:vAlign w:val="top"/>
          </w:tcPr>
          <w:p w14:paraId="17414C44">
            <w:pPr>
              <w:rPr>
                <w:rFonts w:ascii="Times New Roman" w:hAnsi="Times New Roman" w:cs="Times New Roman"/>
                <w:bCs/>
                <w:color w:val="FF0000"/>
                <w:sz w:val="21"/>
                <w:szCs w:val="21"/>
              </w:rPr>
            </w:pPr>
            <w:r>
              <w:rPr>
                <w:rFonts w:ascii="Times New Roman" w:hAnsi="Times New Roman" w:cs="Times New Roman"/>
                <w:bCs/>
                <w:color w:val="FF0000"/>
                <w:sz w:val="21"/>
                <w:szCs w:val="21"/>
              </w:rPr>
              <w:t>（3）已经申请保全或执行的债权人</w:t>
            </w:r>
          </w:p>
        </w:tc>
      </w:tr>
      <w:tr w14:paraId="62DBD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gridSpan w:val="2"/>
            <w:vMerge w:val="continue"/>
            <w:noWrap w:val="0"/>
            <w:vAlign w:val="center"/>
          </w:tcPr>
          <w:p w14:paraId="1AD33199">
            <w:pPr>
              <w:jc w:val="center"/>
              <w:rPr>
                <w:rFonts w:ascii="Times New Roman" w:hAnsi="Times New Roman" w:cs="Times New Roman"/>
                <w:b/>
                <w:color w:val="000000"/>
                <w:sz w:val="21"/>
                <w:szCs w:val="21"/>
              </w:rPr>
            </w:pPr>
          </w:p>
        </w:tc>
        <w:tc>
          <w:tcPr>
            <w:tcW w:w="5153" w:type="dxa"/>
            <w:noWrap w:val="0"/>
            <w:vAlign w:val="top"/>
          </w:tcPr>
          <w:p w14:paraId="01C9C3D7">
            <w:pPr>
              <w:rPr>
                <w:rFonts w:ascii="Times New Roman" w:hAnsi="Times New Roman" w:cs="Times New Roman"/>
                <w:bCs/>
                <w:color w:val="FF0000"/>
                <w:sz w:val="21"/>
                <w:szCs w:val="21"/>
              </w:rPr>
            </w:pPr>
            <w:r>
              <w:rPr>
                <w:rFonts w:ascii="Times New Roman" w:hAnsi="Times New Roman" w:cs="Times New Roman"/>
                <w:bCs/>
                <w:color w:val="FF0000"/>
                <w:sz w:val="21"/>
                <w:szCs w:val="21"/>
              </w:rPr>
              <w:t>（4）破产债权人</w:t>
            </w:r>
          </w:p>
        </w:tc>
      </w:tr>
      <w:tr w14:paraId="33449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noWrap w:val="0"/>
            <w:vAlign w:val="center"/>
          </w:tcPr>
          <w:p w14:paraId="0955909E">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已经登记的动产抵押权人不得对抗正常经营活动买受人</w:t>
            </w:r>
          </w:p>
        </w:tc>
        <w:tc>
          <w:tcPr>
            <w:tcW w:w="1418" w:type="dxa"/>
            <w:vMerge w:val="restart"/>
            <w:noWrap w:val="0"/>
            <w:vAlign w:val="center"/>
          </w:tcPr>
          <w:p w14:paraId="199C2B48">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构成要件</w:t>
            </w:r>
          </w:p>
        </w:tc>
        <w:tc>
          <w:tcPr>
            <w:tcW w:w="5153" w:type="dxa"/>
            <w:noWrap w:val="0"/>
            <w:vAlign w:val="top"/>
          </w:tcPr>
          <w:p w14:paraId="46D9A9F8">
            <w:pPr>
              <w:rPr>
                <w:rFonts w:ascii="Times New Roman" w:hAnsi="Times New Roman" w:cs="Times New Roman"/>
                <w:bCs/>
                <w:color w:val="000000"/>
                <w:sz w:val="21"/>
                <w:szCs w:val="21"/>
              </w:rPr>
            </w:pPr>
            <w:r>
              <w:rPr>
                <w:rFonts w:ascii="Times New Roman" w:hAnsi="Times New Roman" w:cs="Times New Roman"/>
                <w:bCs/>
                <w:color w:val="000000"/>
                <w:sz w:val="21"/>
                <w:szCs w:val="21"/>
              </w:rPr>
              <w:t>（1）</w:t>
            </w:r>
            <w:r>
              <w:rPr>
                <w:rFonts w:ascii="Times New Roman" w:hAnsi="Times New Roman" w:cs="Times New Roman"/>
                <w:b/>
                <w:color w:val="000000"/>
                <w:sz w:val="21"/>
                <w:szCs w:val="21"/>
                <w:u w:val="single"/>
              </w:rPr>
              <w:t>属于抵押人的正常经营活动</w:t>
            </w:r>
            <w:r>
              <w:rPr>
                <w:rFonts w:ascii="Times New Roman" w:hAnsi="Times New Roman" w:cs="Times New Roman"/>
                <w:bCs/>
                <w:color w:val="000000"/>
                <w:sz w:val="21"/>
                <w:szCs w:val="21"/>
              </w:rPr>
              <w:t>，指抵押人的经营活动属于营业执照明确记载的经营范围，且出卖人持续销售同类商品</w:t>
            </w:r>
          </w:p>
        </w:tc>
      </w:tr>
      <w:tr w14:paraId="682AC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noWrap w:val="0"/>
            <w:vAlign w:val="center"/>
          </w:tcPr>
          <w:p w14:paraId="749FB0CC">
            <w:pPr>
              <w:jc w:val="center"/>
              <w:rPr>
                <w:rFonts w:ascii="Times New Roman" w:hAnsi="Times New Roman" w:cs="Times New Roman"/>
                <w:b/>
                <w:color w:val="000000"/>
                <w:sz w:val="21"/>
                <w:szCs w:val="21"/>
              </w:rPr>
            </w:pPr>
          </w:p>
        </w:tc>
        <w:tc>
          <w:tcPr>
            <w:tcW w:w="1418" w:type="dxa"/>
            <w:vMerge w:val="continue"/>
            <w:noWrap w:val="0"/>
            <w:vAlign w:val="center"/>
          </w:tcPr>
          <w:p w14:paraId="40C0E404">
            <w:pPr>
              <w:jc w:val="center"/>
              <w:rPr>
                <w:rFonts w:ascii="Times New Roman" w:hAnsi="Times New Roman" w:cs="Times New Roman"/>
                <w:b/>
                <w:color w:val="000000"/>
                <w:sz w:val="21"/>
                <w:szCs w:val="21"/>
              </w:rPr>
            </w:pPr>
          </w:p>
        </w:tc>
        <w:tc>
          <w:tcPr>
            <w:tcW w:w="5153" w:type="dxa"/>
            <w:noWrap w:val="0"/>
            <w:vAlign w:val="top"/>
          </w:tcPr>
          <w:p w14:paraId="7D60443D">
            <w:pPr>
              <w:rPr>
                <w:rFonts w:ascii="Times New Roman" w:hAnsi="Times New Roman" w:cs="Times New Roman"/>
                <w:bCs/>
                <w:color w:val="000000"/>
                <w:sz w:val="21"/>
                <w:szCs w:val="21"/>
              </w:rPr>
            </w:pPr>
            <w:r>
              <w:rPr>
                <w:rFonts w:ascii="Times New Roman" w:hAnsi="Times New Roman" w:cs="Times New Roman"/>
                <w:bCs/>
                <w:color w:val="000000"/>
                <w:sz w:val="21"/>
                <w:szCs w:val="21"/>
              </w:rPr>
              <w:t>（2）</w:t>
            </w:r>
            <w:r>
              <w:rPr>
                <w:rFonts w:ascii="Times New Roman" w:hAnsi="Times New Roman" w:cs="Times New Roman"/>
                <w:b/>
                <w:color w:val="000000"/>
                <w:sz w:val="21"/>
                <w:szCs w:val="21"/>
                <w:u w:val="single"/>
              </w:rPr>
              <w:t>已经支付</w:t>
            </w:r>
            <w:r>
              <w:rPr>
                <w:rFonts w:ascii="Times New Roman" w:hAnsi="Times New Roman" w:cs="Times New Roman"/>
                <w:bCs/>
                <w:color w:val="000000"/>
                <w:sz w:val="21"/>
                <w:szCs w:val="21"/>
              </w:rPr>
              <w:t>合理价款</w:t>
            </w:r>
          </w:p>
        </w:tc>
      </w:tr>
      <w:tr w14:paraId="375FA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noWrap w:val="0"/>
            <w:vAlign w:val="center"/>
          </w:tcPr>
          <w:p w14:paraId="5F163AAD">
            <w:pPr>
              <w:jc w:val="center"/>
              <w:rPr>
                <w:rFonts w:ascii="Times New Roman" w:hAnsi="Times New Roman" w:cs="Times New Roman"/>
                <w:b/>
                <w:color w:val="000000"/>
                <w:sz w:val="21"/>
                <w:szCs w:val="21"/>
              </w:rPr>
            </w:pPr>
          </w:p>
        </w:tc>
        <w:tc>
          <w:tcPr>
            <w:tcW w:w="1418" w:type="dxa"/>
            <w:vMerge w:val="continue"/>
            <w:noWrap w:val="0"/>
            <w:vAlign w:val="center"/>
          </w:tcPr>
          <w:p w14:paraId="4AB71288">
            <w:pPr>
              <w:jc w:val="center"/>
              <w:rPr>
                <w:rFonts w:ascii="Times New Roman" w:hAnsi="Times New Roman" w:cs="Times New Roman"/>
                <w:b/>
                <w:color w:val="000000"/>
                <w:sz w:val="21"/>
                <w:szCs w:val="21"/>
              </w:rPr>
            </w:pPr>
          </w:p>
        </w:tc>
        <w:tc>
          <w:tcPr>
            <w:tcW w:w="5153" w:type="dxa"/>
            <w:noWrap w:val="0"/>
            <w:vAlign w:val="top"/>
          </w:tcPr>
          <w:p w14:paraId="3B4E03A4">
            <w:pPr>
              <w:rPr>
                <w:rFonts w:ascii="Times New Roman" w:hAnsi="Times New Roman" w:cs="Times New Roman"/>
                <w:bCs/>
                <w:color w:val="000000"/>
                <w:sz w:val="21"/>
                <w:szCs w:val="21"/>
              </w:rPr>
            </w:pPr>
            <w:r>
              <w:rPr>
                <w:rFonts w:ascii="Times New Roman" w:hAnsi="Times New Roman" w:cs="Times New Roman"/>
                <w:bCs/>
                <w:color w:val="000000"/>
                <w:sz w:val="21"/>
                <w:szCs w:val="21"/>
              </w:rPr>
              <w:t>（3）买受人</w:t>
            </w:r>
            <w:r>
              <w:rPr>
                <w:rFonts w:ascii="Times New Roman" w:hAnsi="Times New Roman" w:cs="Times New Roman"/>
                <w:b/>
                <w:color w:val="000000"/>
                <w:sz w:val="21"/>
                <w:szCs w:val="21"/>
                <w:u w:val="single"/>
              </w:rPr>
              <w:t>已经取得抵押财产</w:t>
            </w:r>
          </w:p>
        </w:tc>
      </w:tr>
      <w:tr w14:paraId="1C975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noWrap w:val="0"/>
            <w:vAlign w:val="center"/>
          </w:tcPr>
          <w:p w14:paraId="7C89AD4F">
            <w:pPr>
              <w:jc w:val="center"/>
              <w:rPr>
                <w:rFonts w:ascii="Times New Roman" w:hAnsi="Times New Roman" w:cs="Times New Roman"/>
                <w:b/>
                <w:color w:val="000000"/>
                <w:sz w:val="21"/>
                <w:szCs w:val="21"/>
              </w:rPr>
            </w:pPr>
          </w:p>
        </w:tc>
        <w:tc>
          <w:tcPr>
            <w:tcW w:w="1418" w:type="dxa"/>
            <w:vMerge w:val="restart"/>
            <w:noWrap w:val="0"/>
            <w:vAlign w:val="center"/>
          </w:tcPr>
          <w:p w14:paraId="45F36F80">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几种不属于正常经营活动买受人的法定情形</w:t>
            </w:r>
          </w:p>
        </w:tc>
        <w:tc>
          <w:tcPr>
            <w:tcW w:w="5153" w:type="dxa"/>
            <w:noWrap w:val="0"/>
            <w:vAlign w:val="top"/>
          </w:tcPr>
          <w:p w14:paraId="11162A3A">
            <w:pPr>
              <w:rPr>
                <w:rFonts w:ascii="Times New Roman" w:hAnsi="Times New Roman" w:cs="Times New Roman"/>
                <w:bCs/>
                <w:color w:val="000000"/>
                <w:sz w:val="21"/>
                <w:szCs w:val="21"/>
              </w:rPr>
            </w:pPr>
            <w:r>
              <w:rPr>
                <w:rFonts w:ascii="Times New Roman" w:hAnsi="Times New Roman" w:cs="Times New Roman"/>
                <w:bCs/>
                <w:color w:val="000000"/>
                <w:sz w:val="21"/>
                <w:szCs w:val="21"/>
              </w:rPr>
              <w:t>（1）购买商品的数量明显超过一般买受人</w:t>
            </w:r>
          </w:p>
        </w:tc>
      </w:tr>
      <w:tr w14:paraId="0D12D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noWrap w:val="0"/>
            <w:vAlign w:val="center"/>
          </w:tcPr>
          <w:p w14:paraId="2063952D">
            <w:pPr>
              <w:jc w:val="center"/>
              <w:rPr>
                <w:rFonts w:ascii="Times New Roman" w:hAnsi="Times New Roman" w:cs="Times New Roman"/>
                <w:b/>
                <w:color w:val="000000"/>
                <w:sz w:val="21"/>
                <w:szCs w:val="21"/>
              </w:rPr>
            </w:pPr>
          </w:p>
        </w:tc>
        <w:tc>
          <w:tcPr>
            <w:tcW w:w="1418" w:type="dxa"/>
            <w:vMerge w:val="continue"/>
            <w:noWrap w:val="0"/>
            <w:vAlign w:val="center"/>
          </w:tcPr>
          <w:p w14:paraId="1EB4263B">
            <w:pPr>
              <w:jc w:val="center"/>
              <w:rPr>
                <w:rFonts w:ascii="Times New Roman" w:hAnsi="Times New Roman" w:cs="Times New Roman"/>
                <w:b/>
                <w:color w:val="000000"/>
                <w:sz w:val="21"/>
                <w:szCs w:val="21"/>
              </w:rPr>
            </w:pPr>
          </w:p>
        </w:tc>
        <w:tc>
          <w:tcPr>
            <w:tcW w:w="5153" w:type="dxa"/>
            <w:noWrap w:val="0"/>
            <w:vAlign w:val="top"/>
          </w:tcPr>
          <w:p w14:paraId="1784C01C">
            <w:pPr>
              <w:rPr>
                <w:rFonts w:ascii="Times New Roman" w:hAnsi="Times New Roman" w:cs="Times New Roman"/>
                <w:bCs/>
                <w:color w:val="000000"/>
                <w:sz w:val="21"/>
                <w:szCs w:val="21"/>
              </w:rPr>
            </w:pPr>
            <w:r>
              <w:rPr>
                <w:rFonts w:ascii="Times New Roman" w:hAnsi="Times New Roman" w:cs="Times New Roman"/>
                <w:bCs/>
                <w:color w:val="000000"/>
                <w:sz w:val="21"/>
                <w:szCs w:val="21"/>
              </w:rPr>
              <w:t>（2）</w:t>
            </w:r>
            <w:r>
              <w:rPr>
                <w:rFonts w:ascii="Times New Roman" w:hAnsi="Times New Roman" w:cs="Times New Roman"/>
                <w:b/>
                <w:color w:val="000000"/>
                <w:sz w:val="21"/>
                <w:szCs w:val="21"/>
                <w:u w:val="single"/>
              </w:rPr>
              <w:t>购买出卖人的生产设备</w:t>
            </w:r>
          </w:p>
        </w:tc>
      </w:tr>
      <w:tr w14:paraId="6102D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noWrap w:val="0"/>
            <w:vAlign w:val="center"/>
          </w:tcPr>
          <w:p w14:paraId="286D37EC">
            <w:pPr>
              <w:jc w:val="center"/>
              <w:rPr>
                <w:rFonts w:ascii="Times New Roman" w:hAnsi="Times New Roman" w:cs="Times New Roman"/>
                <w:b/>
                <w:color w:val="000000"/>
                <w:sz w:val="21"/>
                <w:szCs w:val="21"/>
              </w:rPr>
            </w:pPr>
          </w:p>
        </w:tc>
        <w:tc>
          <w:tcPr>
            <w:tcW w:w="1418" w:type="dxa"/>
            <w:vMerge w:val="continue"/>
            <w:noWrap w:val="0"/>
            <w:vAlign w:val="center"/>
          </w:tcPr>
          <w:p w14:paraId="6251BC5D">
            <w:pPr>
              <w:jc w:val="center"/>
              <w:rPr>
                <w:rFonts w:ascii="Times New Roman" w:hAnsi="Times New Roman" w:cs="Times New Roman"/>
                <w:b/>
                <w:color w:val="000000"/>
                <w:sz w:val="21"/>
                <w:szCs w:val="21"/>
              </w:rPr>
            </w:pPr>
          </w:p>
        </w:tc>
        <w:tc>
          <w:tcPr>
            <w:tcW w:w="5153" w:type="dxa"/>
            <w:noWrap w:val="0"/>
            <w:vAlign w:val="top"/>
          </w:tcPr>
          <w:p w14:paraId="7F82D774">
            <w:pPr>
              <w:rPr>
                <w:rFonts w:ascii="Times New Roman" w:hAnsi="Times New Roman" w:cs="Times New Roman"/>
                <w:bCs/>
                <w:color w:val="000000"/>
                <w:sz w:val="21"/>
                <w:szCs w:val="21"/>
              </w:rPr>
            </w:pPr>
            <w:r>
              <w:rPr>
                <w:rFonts w:ascii="Times New Roman" w:hAnsi="Times New Roman" w:cs="Times New Roman"/>
                <w:bCs/>
                <w:color w:val="000000"/>
                <w:sz w:val="21"/>
                <w:szCs w:val="21"/>
              </w:rPr>
              <w:t>（3）</w:t>
            </w:r>
            <w:r>
              <w:rPr>
                <w:rFonts w:ascii="Times New Roman" w:hAnsi="Times New Roman" w:cs="Times New Roman"/>
                <w:b/>
                <w:color w:val="000000"/>
                <w:sz w:val="21"/>
                <w:szCs w:val="21"/>
                <w:u w:val="single"/>
              </w:rPr>
              <w:t>订立买卖合同的目的在于担保出卖人或者第三人履行债务</w:t>
            </w:r>
          </w:p>
        </w:tc>
      </w:tr>
      <w:tr w14:paraId="0278F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noWrap w:val="0"/>
            <w:vAlign w:val="center"/>
          </w:tcPr>
          <w:p w14:paraId="014BCB31">
            <w:pPr>
              <w:jc w:val="center"/>
              <w:rPr>
                <w:rFonts w:ascii="Times New Roman" w:hAnsi="Times New Roman" w:cs="Times New Roman"/>
                <w:b/>
                <w:color w:val="000000"/>
                <w:sz w:val="21"/>
                <w:szCs w:val="21"/>
              </w:rPr>
            </w:pPr>
          </w:p>
        </w:tc>
        <w:tc>
          <w:tcPr>
            <w:tcW w:w="1418" w:type="dxa"/>
            <w:vMerge w:val="continue"/>
            <w:noWrap w:val="0"/>
            <w:vAlign w:val="center"/>
          </w:tcPr>
          <w:p w14:paraId="7FFD695C">
            <w:pPr>
              <w:jc w:val="center"/>
              <w:rPr>
                <w:rFonts w:ascii="Times New Roman" w:hAnsi="Times New Roman" w:cs="Times New Roman"/>
                <w:b/>
                <w:color w:val="000000"/>
                <w:sz w:val="21"/>
                <w:szCs w:val="21"/>
              </w:rPr>
            </w:pPr>
          </w:p>
        </w:tc>
        <w:tc>
          <w:tcPr>
            <w:tcW w:w="5153" w:type="dxa"/>
            <w:noWrap w:val="0"/>
            <w:vAlign w:val="top"/>
          </w:tcPr>
          <w:p w14:paraId="28C73607">
            <w:pPr>
              <w:rPr>
                <w:rFonts w:ascii="Times New Roman" w:hAnsi="Times New Roman" w:cs="Times New Roman"/>
                <w:bCs/>
                <w:color w:val="000000"/>
                <w:sz w:val="21"/>
                <w:szCs w:val="21"/>
              </w:rPr>
            </w:pPr>
            <w:r>
              <w:rPr>
                <w:rFonts w:ascii="Times New Roman" w:hAnsi="Times New Roman" w:cs="Times New Roman"/>
                <w:bCs/>
                <w:color w:val="000000"/>
                <w:sz w:val="21"/>
                <w:szCs w:val="21"/>
              </w:rPr>
              <w:t>（4）买受人与出卖人存在直接或者间接的控制关系</w:t>
            </w:r>
          </w:p>
        </w:tc>
      </w:tr>
      <w:tr w14:paraId="53D3F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noWrap w:val="0"/>
            <w:vAlign w:val="center"/>
          </w:tcPr>
          <w:p w14:paraId="6285F7EC">
            <w:pPr>
              <w:jc w:val="center"/>
              <w:rPr>
                <w:rFonts w:ascii="Times New Roman" w:hAnsi="Times New Roman" w:cs="Times New Roman"/>
                <w:b/>
                <w:color w:val="000000"/>
                <w:sz w:val="21"/>
                <w:szCs w:val="21"/>
              </w:rPr>
            </w:pPr>
          </w:p>
        </w:tc>
        <w:tc>
          <w:tcPr>
            <w:tcW w:w="1418" w:type="dxa"/>
            <w:vMerge w:val="restart"/>
            <w:noWrap w:val="0"/>
            <w:vAlign w:val="center"/>
          </w:tcPr>
          <w:p w14:paraId="213A4A28">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法律效果</w:t>
            </w:r>
          </w:p>
        </w:tc>
        <w:tc>
          <w:tcPr>
            <w:tcW w:w="5153" w:type="dxa"/>
            <w:noWrap w:val="0"/>
            <w:vAlign w:val="top"/>
          </w:tcPr>
          <w:p w14:paraId="6CB8EAAB">
            <w:pPr>
              <w:rPr>
                <w:rFonts w:ascii="Times New Roman" w:hAnsi="Times New Roman" w:cs="Times New Roman"/>
                <w:bCs/>
                <w:color w:val="000000"/>
                <w:sz w:val="21"/>
                <w:szCs w:val="21"/>
              </w:rPr>
            </w:pPr>
            <w:r>
              <w:rPr>
                <w:rFonts w:ascii="Times New Roman" w:hAnsi="Times New Roman" w:cs="Times New Roman"/>
                <w:bCs/>
                <w:color w:val="000000"/>
                <w:sz w:val="21"/>
                <w:szCs w:val="21"/>
              </w:rPr>
              <w:t>（1）</w:t>
            </w:r>
            <w:r>
              <w:rPr>
                <w:rFonts w:ascii="Times New Roman" w:hAnsi="Times New Roman" w:cs="Times New Roman"/>
                <w:b/>
                <w:color w:val="000000"/>
                <w:sz w:val="21"/>
                <w:szCs w:val="21"/>
                <w:u w:val="single"/>
              </w:rPr>
              <w:t>构成正常经营活动买受人，则动产抵押权消灭</w:t>
            </w:r>
            <w:r>
              <w:rPr>
                <w:rFonts w:ascii="Times New Roman" w:hAnsi="Times New Roman" w:cs="Times New Roman"/>
                <w:bCs/>
                <w:color w:val="000000"/>
                <w:sz w:val="21"/>
                <w:szCs w:val="21"/>
              </w:rPr>
              <w:t>，买受人取得无抵押权负担的动产所有权</w:t>
            </w:r>
          </w:p>
        </w:tc>
      </w:tr>
      <w:tr w14:paraId="47271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noWrap w:val="0"/>
            <w:vAlign w:val="center"/>
          </w:tcPr>
          <w:p w14:paraId="0C62C5E9">
            <w:pPr>
              <w:jc w:val="center"/>
              <w:rPr>
                <w:rFonts w:ascii="Times New Roman" w:hAnsi="Times New Roman" w:cs="Times New Roman"/>
                <w:b/>
                <w:color w:val="000000"/>
                <w:sz w:val="21"/>
                <w:szCs w:val="21"/>
              </w:rPr>
            </w:pPr>
          </w:p>
        </w:tc>
        <w:tc>
          <w:tcPr>
            <w:tcW w:w="1418" w:type="dxa"/>
            <w:vMerge w:val="continue"/>
            <w:noWrap w:val="0"/>
            <w:vAlign w:val="center"/>
          </w:tcPr>
          <w:p w14:paraId="621AD0E8">
            <w:pPr>
              <w:jc w:val="center"/>
              <w:rPr>
                <w:rFonts w:ascii="Times New Roman" w:hAnsi="Times New Roman" w:cs="Times New Roman"/>
                <w:b/>
                <w:color w:val="000000"/>
                <w:sz w:val="21"/>
                <w:szCs w:val="21"/>
              </w:rPr>
            </w:pPr>
          </w:p>
        </w:tc>
        <w:tc>
          <w:tcPr>
            <w:tcW w:w="5153" w:type="dxa"/>
            <w:noWrap w:val="0"/>
            <w:vAlign w:val="top"/>
          </w:tcPr>
          <w:p w14:paraId="2E99E7C1">
            <w:pPr>
              <w:rPr>
                <w:rFonts w:ascii="Times New Roman" w:hAnsi="Times New Roman" w:cs="Times New Roman"/>
                <w:bCs/>
                <w:color w:val="000000"/>
                <w:sz w:val="21"/>
                <w:szCs w:val="21"/>
              </w:rPr>
            </w:pPr>
            <w:r>
              <w:rPr>
                <w:rFonts w:ascii="Times New Roman" w:hAnsi="Times New Roman" w:cs="Times New Roman"/>
                <w:bCs/>
                <w:color w:val="000000"/>
                <w:sz w:val="21"/>
                <w:szCs w:val="21"/>
              </w:rPr>
              <w:t>（2）不构成正常经营活动买受人，动产抵押权不消灭，买受人取得有抵押权负担的动产所有权</w:t>
            </w:r>
          </w:p>
        </w:tc>
      </w:tr>
    </w:tbl>
    <w:p w14:paraId="0760EB3A">
      <w:pPr>
        <w:spacing w:line="276" w:lineRule="auto"/>
        <w:jc w:val="left"/>
        <w:outlineLvl w:val="1"/>
        <w:rPr>
          <w:rFonts w:ascii="Times New Roman" w:hAnsi="Times New Roman" w:cs="Times New Roman"/>
          <w:b/>
          <w:color w:val="000000"/>
          <w:sz w:val="21"/>
          <w:szCs w:val="21"/>
        </w:rPr>
      </w:pPr>
    </w:p>
    <w:p w14:paraId="35C1F562">
      <w:pPr>
        <w:ind w:firstLine="480"/>
        <w:rPr>
          <w:rFonts w:ascii="Times New Roman" w:hAnsi="Times New Roman" w:cs="Times New Roman"/>
          <w:b/>
          <w:color w:val="000000"/>
          <w:sz w:val="21"/>
          <w:szCs w:val="21"/>
        </w:rPr>
      </w:pPr>
      <w:r>
        <w:rPr>
          <w:rFonts w:ascii="Times New Roman" w:hAnsi="Times New Roman" w:cs="Times New Roman"/>
          <w:b/>
          <w:color w:val="000000"/>
          <w:sz w:val="21"/>
          <w:szCs w:val="21"/>
        </w:rPr>
        <w:t>三、抵押权的顺位</w:t>
      </w:r>
    </w:p>
    <w:p w14:paraId="46CCD435">
      <w:pPr>
        <w:ind w:firstLine="480"/>
        <w:rPr>
          <w:rFonts w:ascii="Times New Roman" w:hAnsi="Times New Roman" w:cs="Times New Roman"/>
          <w:b/>
          <w:color w:val="000000"/>
          <w:sz w:val="21"/>
          <w:szCs w:val="21"/>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4"/>
        <w:gridCol w:w="6287"/>
      </w:tblGrid>
      <w:tr w14:paraId="2621A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2"/>
            <w:vMerge w:val="restart"/>
            <w:noWrap w:val="0"/>
            <w:vAlign w:val="center"/>
          </w:tcPr>
          <w:p w14:paraId="2DFA2FE9">
            <w:pPr>
              <w:jc w:val="center"/>
              <w:rPr>
                <w:rFonts w:ascii="Times New Roman" w:hAnsi="Times New Roman" w:eastAsia="楷体" w:cs="Times New Roman"/>
                <w:color w:val="000000"/>
                <w:sz w:val="21"/>
                <w:szCs w:val="21"/>
              </w:rPr>
            </w:pPr>
            <w:r>
              <w:rPr>
                <w:rFonts w:ascii="Times New Roman" w:hAnsi="Times New Roman" w:cs="Times New Roman"/>
                <w:b/>
                <w:color w:val="000000"/>
                <w:sz w:val="21"/>
                <w:szCs w:val="21"/>
              </w:rPr>
              <w:t>抵押权竞合时的顺位规则</w:t>
            </w:r>
          </w:p>
        </w:tc>
        <w:tc>
          <w:tcPr>
            <w:tcW w:w="6287" w:type="dxa"/>
            <w:noWrap w:val="0"/>
            <w:vAlign w:val="top"/>
          </w:tcPr>
          <w:p w14:paraId="61DED768">
            <w:pPr>
              <w:rPr>
                <w:rFonts w:ascii="Times New Roman" w:hAnsi="Times New Roman" w:cs="Times New Roman"/>
                <w:color w:val="000000"/>
                <w:sz w:val="21"/>
                <w:szCs w:val="21"/>
              </w:rPr>
            </w:pPr>
            <w:r>
              <w:rPr>
                <w:rFonts w:ascii="Times New Roman" w:hAnsi="Times New Roman" w:cs="Times New Roman"/>
                <w:color w:val="000000"/>
                <w:sz w:val="21"/>
                <w:szCs w:val="21"/>
              </w:rPr>
              <w:t>（1）抵押权已登记的，按照登记的时间先后顺序清偿</w:t>
            </w:r>
          </w:p>
        </w:tc>
      </w:tr>
      <w:tr w14:paraId="50C33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2"/>
            <w:vMerge w:val="continue"/>
            <w:noWrap w:val="0"/>
            <w:vAlign w:val="top"/>
          </w:tcPr>
          <w:p w14:paraId="35D1FA90">
            <w:pPr>
              <w:rPr>
                <w:rFonts w:ascii="Times New Roman" w:hAnsi="Times New Roman" w:cs="Times New Roman"/>
                <w:b/>
                <w:color w:val="000000"/>
                <w:sz w:val="21"/>
                <w:szCs w:val="21"/>
              </w:rPr>
            </w:pPr>
          </w:p>
        </w:tc>
        <w:tc>
          <w:tcPr>
            <w:tcW w:w="6287" w:type="dxa"/>
            <w:noWrap w:val="0"/>
            <w:vAlign w:val="top"/>
          </w:tcPr>
          <w:p w14:paraId="48E980B1">
            <w:pPr>
              <w:rPr>
                <w:rFonts w:ascii="Times New Roman" w:hAnsi="Times New Roman" w:cs="Times New Roman"/>
                <w:color w:val="000000"/>
                <w:sz w:val="21"/>
                <w:szCs w:val="21"/>
              </w:rPr>
            </w:pPr>
            <w:r>
              <w:rPr>
                <w:rFonts w:ascii="Times New Roman" w:hAnsi="Times New Roman" w:cs="Times New Roman"/>
                <w:color w:val="000000"/>
                <w:sz w:val="21"/>
                <w:szCs w:val="21"/>
              </w:rPr>
              <w:t>（2）有的登记有的未登记，抵押权已登记的先于未登记的受偿</w:t>
            </w:r>
          </w:p>
        </w:tc>
      </w:tr>
      <w:tr w14:paraId="02400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2"/>
            <w:vMerge w:val="continue"/>
            <w:noWrap w:val="0"/>
            <w:vAlign w:val="top"/>
          </w:tcPr>
          <w:p w14:paraId="147D4D8A">
            <w:pPr>
              <w:rPr>
                <w:rFonts w:ascii="Times New Roman" w:hAnsi="Times New Roman" w:cs="Times New Roman"/>
                <w:b/>
                <w:color w:val="000000"/>
                <w:sz w:val="21"/>
                <w:szCs w:val="21"/>
              </w:rPr>
            </w:pPr>
          </w:p>
        </w:tc>
        <w:tc>
          <w:tcPr>
            <w:tcW w:w="6287" w:type="dxa"/>
            <w:noWrap w:val="0"/>
            <w:vAlign w:val="top"/>
          </w:tcPr>
          <w:p w14:paraId="1F6F8342">
            <w:pPr>
              <w:rPr>
                <w:rFonts w:ascii="Times New Roman" w:hAnsi="Times New Roman" w:cs="Times New Roman"/>
                <w:color w:val="000000"/>
                <w:sz w:val="21"/>
                <w:szCs w:val="21"/>
              </w:rPr>
            </w:pPr>
            <w:r>
              <w:rPr>
                <w:rFonts w:ascii="Times New Roman" w:hAnsi="Times New Roman" w:cs="Times New Roman"/>
                <w:color w:val="000000"/>
                <w:sz w:val="21"/>
                <w:szCs w:val="21"/>
              </w:rPr>
              <w:t>（3）都未登记的，按照债权比例清偿</w:t>
            </w:r>
          </w:p>
        </w:tc>
      </w:tr>
      <w:tr w14:paraId="5F6F1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2"/>
            <w:vMerge w:val="continue"/>
            <w:noWrap w:val="0"/>
            <w:vAlign w:val="top"/>
          </w:tcPr>
          <w:p w14:paraId="3CB89B05">
            <w:pPr>
              <w:rPr>
                <w:rFonts w:ascii="Times New Roman" w:hAnsi="Times New Roman" w:cs="Times New Roman"/>
                <w:b/>
                <w:color w:val="000000"/>
                <w:sz w:val="21"/>
                <w:szCs w:val="21"/>
              </w:rPr>
            </w:pPr>
          </w:p>
        </w:tc>
        <w:tc>
          <w:tcPr>
            <w:tcW w:w="6287" w:type="dxa"/>
            <w:noWrap w:val="0"/>
            <w:vAlign w:val="top"/>
          </w:tcPr>
          <w:p w14:paraId="56CA9443">
            <w:pPr>
              <w:rPr>
                <w:rFonts w:ascii="Times New Roman" w:hAnsi="Times New Roman" w:cs="Times New Roman"/>
                <w:color w:val="000000"/>
                <w:sz w:val="21"/>
                <w:szCs w:val="21"/>
              </w:rPr>
            </w:pPr>
            <w:r>
              <w:rPr>
                <w:rFonts w:ascii="Times New Roman" w:hAnsi="Times New Roman" w:cs="Times New Roman"/>
                <w:color w:val="000000"/>
                <w:sz w:val="21"/>
                <w:szCs w:val="21"/>
              </w:rPr>
              <w:t>【注意】可总结为</w:t>
            </w:r>
            <w:r>
              <w:rPr>
                <w:rFonts w:ascii="Times New Roman" w:hAnsi="Times New Roman" w:cs="Times New Roman"/>
                <w:b/>
                <w:bCs/>
                <w:color w:val="000000"/>
                <w:sz w:val="21"/>
                <w:szCs w:val="21"/>
                <w:u w:val="single"/>
              </w:rPr>
              <w:t>“看登记”</w:t>
            </w:r>
          </w:p>
        </w:tc>
      </w:tr>
      <w:tr w14:paraId="035BE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noWrap w:val="0"/>
            <w:vAlign w:val="center"/>
          </w:tcPr>
          <w:p w14:paraId="25EAF5CB">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超级优先权规则</w:t>
            </w:r>
          </w:p>
        </w:tc>
        <w:tc>
          <w:tcPr>
            <w:tcW w:w="1134" w:type="dxa"/>
            <w:noWrap w:val="0"/>
            <w:vAlign w:val="center"/>
          </w:tcPr>
          <w:p w14:paraId="0CEBF562">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适用对象</w:t>
            </w:r>
          </w:p>
        </w:tc>
        <w:tc>
          <w:tcPr>
            <w:tcW w:w="6287" w:type="dxa"/>
            <w:noWrap w:val="0"/>
            <w:vAlign w:val="top"/>
          </w:tcPr>
          <w:p w14:paraId="3BBAD1C1">
            <w:pPr>
              <w:rPr>
                <w:rFonts w:ascii="Times New Roman" w:hAnsi="Times New Roman" w:cs="Times New Roman"/>
                <w:color w:val="000000"/>
                <w:sz w:val="21"/>
                <w:szCs w:val="21"/>
              </w:rPr>
            </w:pPr>
            <w:r>
              <w:rPr>
                <w:rFonts w:ascii="Times New Roman" w:hAnsi="Times New Roman" w:cs="Times New Roman"/>
                <w:color w:val="000000"/>
                <w:sz w:val="21"/>
                <w:szCs w:val="21"/>
              </w:rPr>
              <w:t>主要适用于抵押人先前已在自己所有的动产上</w:t>
            </w:r>
            <w:r>
              <w:rPr>
                <w:rFonts w:ascii="Times New Roman" w:hAnsi="Times New Roman" w:cs="Times New Roman"/>
                <w:color w:val="FF0000"/>
                <w:sz w:val="21"/>
                <w:szCs w:val="21"/>
              </w:rPr>
              <w:t>设立</w:t>
            </w:r>
            <w:r>
              <w:rPr>
                <w:rFonts w:ascii="Times New Roman" w:hAnsi="Times New Roman" w:cs="Times New Roman"/>
                <w:b/>
                <w:bCs/>
                <w:color w:val="FF0000"/>
                <w:sz w:val="21"/>
                <w:szCs w:val="21"/>
                <w:u w:val="single"/>
              </w:rPr>
              <w:t>动产浮动抵押</w:t>
            </w:r>
            <w:r>
              <w:rPr>
                <w:rFonts w:ascii="Times New Roman" w:hAnsi="Times New Roman" w:cs="Times New Roman"/>
                <w:color w:val="FF0000"/>
                <w:sz w:val="21"/>
                <w:szCs w:val="21"/>
              </w:rPr>
              <w:t>的情形</w:t>
            </w:r>
          </w:p>
        </w:tc>
      </w:tr>
      <w:tr w14:paraId="29876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center"/>
          </w:tcPr>
          <w:p w14:paraId="21240024">
            <w:pPr>
              <w:jc w:val="center"/>
              <w:rPr>
                <w:rFonts w:ascii="Times New Roman" w:hAnsi="Times New Roman" w:cs="Times New Roman"/>
                <w:b/>
                <w:color w:val="000000"/>
                <w:sz w:val="21"/>
                <w:szCs w:val="21"/>
              </w:rPr>
            </w:pPr>
          </w:p>
        </w:tc>
        <w:tc>
          <w:tcPr>
            <w:tcW w:w="1134" w:type="dxa"/>
            <w:noWrap w:val="0"/>
            <w:vAlign w:val="center"/>
          </w:tcPr>
          <w:p w14:paraId="388C8732">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立法目的</w:t>
            </w:r>
          </w:p>
        </w:tc>
        <w:tc>
          <w:tcPr>
            <w:tcW w:w="6287" w:type="dxa"/>
            <w:noWrap w:val="0"/>
            <w:vAlign w:val="top"/>
          </w:tcPr>
          <w:p w14:paraId="18DA4306">
            <w:pPr>
              <w:rPr>
                <w:rFonts w:ascii="Times New Roman" w:hAnsi="Times New Roman" w:cs="Times New Roman"/>
                <w:color w:val="000000"/>
                <w:sz w:val="21"/>
                <w:szCs w:val="21"/>
                <w:u w:val="single"/>
              </w:rPr>
            </w:pPr>
            <w:r>
              <w:rPr>
                <w:rFonts w:ascii="Times New Roman" w:hAnsi="Times New Roman" w:cs="Times New Roman"/>
                <w:color w:val="000000"/>
                <w:sz w:val="21"/>
                <w:szCs w:val="21"/>
              </w:rPr>
              <w:t>为此类抵押人创造再融资的可能</w:t>
            </w:r>
          </w:p>
        </w:tc>
      </w:tr>
      <w:tr w14:paraId="52320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center"/>
          </w:tcPr>
          <w:p w14:paraId="5C814E2E">
            <w:pPr>
              <w:jc w:val="center"/>
              <w:rPr>
                <w:rFonts w:ascii="Times New Roman" w:hAnsi="Times New Roman" w:cs="Times New Roman"/>
                <w:b/>
                <w:color w:val="000000"/>
                <w:sz w:val="21"/>
                <w:szCs w:val="21"/>
              </w:rPr>
            </w:pPr>
          </w:p>
        </w:tc>
        <w:tc>
          <w:tcPr>
            <w:tcW w:w="1134" w:type="dxa"/>
            <w:vMerge w:val="restart"/>
            <w:noWrap w:val="0"/>
            <w:vAlign w:val="center"/>
          </w:tcPr>
          <w:p w14:paraId="6A711823">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构成要件</w:t>
            </w:r>
          </w:p>
        </w:tc>
        <w:tc>
          <w:tcPr>
            <w:tcW w:w="6287" w:type="dxa"/>
            <w:noWrap w:val="0"/>
            <w:vAlign w:val="top"/>
          </w:tcPr>
          <w:p w14:paraId="6D5D6216">
            <w:pPr>
              <w:rPr>
                <w:rFonts w:ascii="Times New Roman" w:hAnsi="Times New Roman" w:cs="Times New Roman"/>
                <w:color w:val="000000"/>
                <w:sz w:val="21"/>
                <w:szCs w:val="21"/>
              </w:rPr>
            </w:pPr>
            <w:r>
              <w:rPr>
                <w:rFonts w:ascii="Times New Roman" w:hAnsi="Times New Roman" w:cs="Times New Roman"/>
                <w:color w:val="000000"/>
                <w:sz w:val="21"/>
                <w:szCs w:val="21"/>
              </w:rPr>
              <w:t>（1）被担保的债权须为价款债权或租金债权</w:t>
            </w:r>
          </w:p>
        </w:tc>
      </w:tr>
      <w:tr w14:paraId="5119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center"/>
          </w:tcPr>
          <w:p w14:paraId="11CFC3DB">
            <w:pPr>
              <w:jc w:val="center"/>
              <w:rPr>
                <w:rFonts w:ascii="Times New Roman" w:hAnsi="Times New Roman" w:cs="Times New Roman"/>
                <w:b/>
                <w:color w:val="000000"/>
                <w:sz w:val="21"/>
                <w:szCs w:val="21"/>
              </w:rPr>
            </w:pPr>
          </w:p>
        </w:tc>
        <w:tc>
          <w:tcPr>
            <w:tcW w:w="1134" w:type="dxa"/>
            <w:vMerge w:val="continue"/>
            <w:noWrap w:val="0"/>
            <w:vAlign w:val="center"/>
          </w:tcPr>
          <w:p w14:paraId="7606AB1F">
            <w:pPr>
              <w:jc w:val="center"/>
              <w:rPr>
                <w:rFonts w:ascii="Times New Roman" w:hAnsi="Times New Roman" w:cs="Times New Roman"/>
                <w:b/>
                <w:color w:val="000000"/>
                <w:sz w:val="21"/>
                <w:szCs w:val="21"/>
              </w:rPr>
            </w:pPr>
          </w:p>
        </w:tc>
        <w:tc>
          <w:tcPr>
            <w:tcW w:w="6287" w:type="dxa"/>
            <w:noWrap w:val="0"/>
            <w:vAlign w:val="top"/>
          </w:tcPr>
          <w:p w14:paraId="6D1448AB">
            <w:pPr>
              <w:rPr>
                <w:rFonts w:ascii="Times New Roman" w:hAnsi="Times New Roman" w:cs="Times New Roman"/>
                <w:color w:val="000000"/>
                <w:sz w:val="21"/>
                <w:szCs w:val="21"/>
              </w:rPr>
            </w:pPr>
            <w:r>
              <w:rPr>
                <w:rFonts w:ascii="Times New Roman" w:hAnsi="Times New Roman" w:cs="Times New Roman"/>
                <w:color w:val="000000"/>
                <w:sz w:val="21"/>
                <w:szCs w:val="21"/>
              </w:rPr>
              <w:t>（2）存在价款担保权，包括动产抵押权、所有权保留、融资租赁等</w:t>
            </w:r>
          </w:p>
        </w:tc>
      </w:tr>
      <w:tr w14:paraId="53D74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center"/>
          </w:tcPr>
          <w:p w14:paraId="2A576C07">
            <w:pPr>
              <w:jc w:val="center"/>
              <w:rPr>
                <w:rFonts w:ascii="Times New Roman" w:hAnsi="Times New Roman" w:cs="Times New Roman"/>
                <w:b/>
                <w:color w:val="000000"/>
                <w:sz w:val="21"/>
                <w:szCs w:val="21"/>
              </w:rPr>
            </w:pPr>
          </w:p>
        </w:tc>
        <w:tc>
          <w:tcPr>
            <w:tcW w:w="1134" w:type="dxa"/>
            <w:vMerge w:val="continue"/>
            <w:noWrap w:val="0"/>
            <w:vAlign w:val="center"/>
          </w:tcPr>
          <w:p w14:paraId="455A4E86">
            <w:pPr>
              <w:jc w:val="center"/>
              <w:rPr>
                <w:rFonts w:ascii="Times New Roman" w:hAnsi="Times New Roman" w:cs="Times New Roman"/>
                <w:b/>
                <w:color w:val="000000"/>
                <w:sz w:val="21"/>
                <w:szCs w:val="21"/>
              </w:rPr>
            </w:pPr>
          </w:p>
        </w:tc>
        <w:tc>
          <w:tcPr>
            <w:tcW w:w="6287" w:type="dxa"/>
            <w:noWrap w:val="0"/>
            <w:vAlign w:val="top"/>
          </w:tcPr>
          <w:p w14:paraId="68B9B137">
            <w:pPr>
              <w:rPr>
                <w:rFonts w:ascii="Times New Roman" w:hAnsi="Times New Roman" w:cs="Times New Roman"/>
                <w:color w:val="000000"/>
                <w:sz w:val="21"/>
                <w:szCs w:val="21"/>
              </w:rPr>
            </w:pPr>
            <w:r>
              <w:rPr>
                <w:rFonts w:ascii="Times New Roman" w:hAnsi="Times New Roman" w:cs="Times New Roman"/>
                <w:color w:val="000000"/>
                <w:sz w:val="21"/>
                <w:szCs w:val="21"/>
              </w:rPr>
              <w:t>（3）</w:t>
            </w:r>
            <w:r>
              <w:rPr>
                <w:rFonts w:ascii="Times New Roman" w:hAnsi="Times New Roman" w:cs="Times New Roman"/>
                <w:b/>
                <w:bCs/>
                <w:color w:val="000000"/>
                <w:sz w:val="21"/>
                <w:szCs w:val="21"/>
                <w:u w:val="single"/>
              </w:rPr>
              <w:t>交付后10日内办理登记</w:t>
            </w:r>
          </w:p>
        </w:tc>
      </w:tr>
      <w:tr w14:paraId="72A42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center"/>
          </w:tcPr>
          <w:p w14:paraId="429E84DC">
            <w:pPr>
              <w:jc w:val="center"/>
              <w:rPr>
                <w:rFonts w:ascii="Times New Roman" w:hAnsi="Times New Roman" w:cs="Times New Roman"/>
                <w:b/>
                <w:color w:val="000000"/>
                <w:sz w:val="21"/>
                <w:szCs w:val="21"/>
              </w:rPr>
            </w:pPr>
          </w:p>
        </w:tc>
        <w:tc>
          <w:tcPr>
            <w:tcW w:w="1134" w:type="dxa"/>
            <w:noWrap w:val="0"/>
            <w:vAlign w:val="center"/>
          </w:tcPr>
          <w:p w14:paraId="5B5F4287">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法律效果</w:t>
            </w:r>
          </w:p>
        </w:tc>
        <w:tc>
          <w:tcPr>
            <w:tcW w:w="6287" w:type="dxa"/>
            <w:noWrap w:val="0"/>
            <w:vAlign w:val="top"/>
          </w:tcPr>
          <w:p w14:paraId="076220AE">
            <w:pPr>
              <w:rPr>
                <w:rFonts w:ascii="Times New Roman" w:hAnsi="Times New Roman" w:cs="Times New Roman"/>
                <w:b/>
                <w:bCs/>
                <w:color w:val="000000"/>
                <w:sz w:val="21"/>
                <w:szCs w:val="21"/>
                <w:u w:val="single"/>
              </w:rPr>
            </w:pPr>
            <w:r>
              <w:rPr>
                <w:rFonts w:ascii="Times New Roman" w:hAnsi="Times New Roman" w:cs="Times New Roman"/>
                <w:b/>
                <w:bCs/>
                <w:color w:val="000000"/>
                <w:sz w:val="21"/>
                <w:szCs w:val="21"/>
                <w:u w:val="single"/>
              </w:rPr>
              <w:t>价款担保权优先于同一债务人在先为他人设立的担保物权</w:t>
            </w:r>
          </w:p>
        </w:tc>
      </w:tr>
    </w:tbl>
    <w:p w14:paraId="5F1D0432">
      <w:pPr>
        <w:spacing w:line="276" w:lineRule="auto"/>
        <w:ind w:firstLine="422" w:firstLineChars="200"/>
        <w:jc w:val="left"/>
        <w:outlineLvl w:val="1"/>
        <w:rPr>
          <w:rFonts w:ascii="Times New Roman" w:hAnsi="Times New Roman" w:cs="Times New Roman"/>
          <w:b/>
          <w:color w:val="000000"/>
          <w:sz w:val="21"/>
          <w:szCs w:val="21"/>
        </w:rPr>
      </w:pPr>
    </w:p>
    <w:p w14:paraId="44F47249">
      <w:pPr>
        <w:ind w:firstLine="480"/>
        <w:rPr>
          <w:rFonts w:ascii="Times New Roman" w:hAnsi="Times New Roman" w:cs="Times New Roman"/>
          <w:b/>
          <w:color w:val="000000"/>
          <w:sz w:val="21"/>
          <w:szCs w:val="21"/>
        </w:rPr>
      </w:pPr>
      <w:r>
        <w:rPr>
          <w:rFonts w:ascii="Times New Roman" w:hAnsi="Times New Roman" w:cs="Times New Roman"/>
          <w:b/>
          <w:color w:val="000000"/>
          <w:sz w:val="21"/>
          <w:szCs w:val="21"/>
        </w:rPr>
        <w:t>四、抵押与租赁</w:t>
      </w:r>
    </w:p>
    <w:p w14:paraId="6EA86B39">
      <w:pPr>
        <w:ind w:firstLine="480"/>
        <w:rPr>
          <w:rFonts w:ascii="Times New Roman" w:hAnsi="Times New Roman" w:cs="Times New Roman"/>
          <w:b/>
          <w:color w:val="000000"/>
          <w:sz w:val="21"/>
          <w:szCs w:val="21"/>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532"/>
        <w:gridCol w:w="6004"/>
      </w:tblGrid>
      <w:tr w14:paraId="44EF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2"/>
            <w:noWrap w:val="0"/>
            <w:vAlign w:val="center"/>
          </w:tcPr>
          <w:p w14:paraId="74526D4B">
            <w:pPr>
              <w:jc w:val="center"/>
              <w:rPr>
                <w:rFonts w:ascii="Times New Roman" w:hAnsi="Times New Roman" w:cs="Times New Roman"/>
                <w:bCs/>
                <w:color w:val="000000"/>
                <w:sz w:val="21"/>
                <w:szCs w:val="21"/>
              </w:rPr>
            </w:pPr>
            <w:r>
              <w:rPr>
                <w:rFonts w:ascii="Times New Roman" w:hAnsi="Times New Roman" w:cs="Times New Roman"/>
                <w:b/>
                <w:color w:val="000000"/>
                <w:sz w:val="21"/>
                <w:szCs w:val="21"/>
              </w:rPr>
              <w:t>先租赁后抵押</w:t>
            </w:r>
          </w:p>
        </w:tc>
        <w:tc>
          <w:tcPr>
            <w:tcW w:w="6004" w:type="dxa"/>
            <w:noWrap w:val="0"/>
            <w:vAlign w:val="top"/>
          </w:tcPr>
          <w:p w14:paraId="151C8447">
            <w:pPr>
              <w:rPr>
                <w:rFonts w:ascii="Times New Roman" w:hAnsi="Times New Roman" w:cs="Times New Roman"/>
                <w:bCs/>
                <w:color w:val="000000"/>
                <w:sz w:val="21"/>
                <w:szCs w:val="21"/>
              </w:rPr>
            </w:pPr>
            <w:r>
              <w:rPr>
                <w:rFonts w:ascii="Times New Roman" w:hAnsi="Times New Roman" w:cs="Times New Roman"/>
                <w:bCs/>
                <w:color w:val="000000"/>
                <w:sz w:val="21"/>
                <w:szCs w:val="21"/>
              </w:rPr>
              <w:t>租赁合同生效+</w:t>
            </w:r>
            <w:r>
              <w:rPr>
                <w:rFonts w:ascii="Times New Roman" w:hAnsi="Times New Roman" w:cs="Times New Roman"/>
                <w:b/>
                <w:color w:val="000000"/>
                <w:sz w:val="21"/>
                <w:szCs w:val="21"/>
                <w:u w:val="single"/>
              </w:rPr>
              <w:t>已经移转租赁物的占有</w:t>
            </w:r>
            <w:r>
              <w:rPr>
                <w:rFonts w:ascii="Times New Roman" w:hAnsi="Times New Roman" w:cs="Times New Roman"/>
                <w:bCs/>
                <w:color w:val="000000"/>
                <w:sz w:val="21"/>
                <w:szCs w:val="21"/>
              </w:rPr>
              <w:t>，则租赁权不受抵押权影响（</w:t>
            </w:r>
            <w:r>
              <w:rPr>
                <w:rFonts w:ascii="Times New Roman" w:hAnsi="Times New Roman" w:cs="Times New Roman"/>
                <w:b/>
                <w:color w:val="000000"/>
                <w:sz w:val="21"/>
                <w:szCs w:val="21"/>
                <w:u w:val="single"/>
              </w:rPr>
              <w:t>租赁权可以对抗抵押权</w:t>
            </w:r>
            <w:r>
              <w:rPr>
                <w:rFonts w:ascii="Times New Roman" w:hAnsi="Times New Roman" w:cs="Times New Roman"/>
                <w:bCs/>
                <w:color w:val="000000"/>
                <w:sz w:val="21"/>
                <w:szCs w:val="21"/>
              </w:rPr>
              <w:t>）</w:t>
            </w:r>
          </w:p>
        </w:tc>
      </w:tr>
      <w:tr w14:paraId="518D4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Merge w:val="restart"/>
            <w:noWrap w:val="0"/>
            <w:vAlign w:val="center"/>
          </w:tcPr>
          <w:p w14:paraId="34068161">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先抵押后租赁</w:t>
            </w:r>
          </w:p>
        </w:tc>
        <w:tc>
          <w:tcPr>
            <w:tcW w:w="1532" w:type="dxa"/>
            <w:noWrap w:val="0"/>
            <w:vAlign w:val="center"/>
          </w:tcPr>
          <w:p w14:paraId="2E841F03">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抵押权已登记</w:t>
            </w:r>
          </w:p>
        </w:tc>
        <w:tc>
          <w:tcPr>
            <w:tcW w:w="6004" w:type="dxa"/>
            <w:noWrap w:val="0"/>
            <w:vAlign w:val="top"/>
          </w:tcPr>
          <w:p w14:paraId="7D797697">
            <w:pPr>
              <w:rPr>
                <w:rFonts w:ascii="Times New Roman" w:hAnsi="Times New Roman" w:cs="Times New Roman"/>
                <w:bCs/>
                <w:color w:val="000000"/>
                <w:sz w:val="21"/>
                <w:szCs w:val="21"/>
              </w:rPr>
            </w:pPr>
            <w:r>
              <w:rPr>
                <w:rFonts w:ascii="Times New Roman" w:hAnsi="Times New Roman" w:cs="Times New Roman"/>
                <w:bCs/>
                <w:color w:val="000000"/>
                <w:sz w:val="21"/>
                <w:szCs w:val="21"/>
              </w:rPr>
              <w:t>抵押权可以对抗租赁权（抵押破租赁）</w:t>
            </w:r>
          </w:p>
        </w:tc>
      </w:tr>
      <w:tr w14:paraId="2F56A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Merge w:val="continue"/>
            <w:noWrap w:val="0"/>
            <w:vAlign w:val="top"/>
          </w:tcPr>
          <w:p w14:paraId="68428861">
            <w:pPr>
              <w:rPr>
                <w:rFonts w:ascii="Times New Roman" w:hAnsi="Times New Roman" w:cs="Times New Roman"/>
                <w:b/>
                <w:color w:val="000000"/>
                <w:sz w:val="21"/>
                <w:szCs w:val="21"/>
              </w:rPr>
            </w:pPr>
          </w:p>
        </w:tc>
        <w:tc>
          <w:tcPr>
            <w:tcW w:w="1532" w:type="dxa"/>
            <w:noWrap w:val="0"/>
            <w:vAlign w:val="center"/>
          </w:tcPr>
          <w:p w14:paraId="309E83DC">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抵押权未登记</w:t>
            </w:r>
          </w:p>
        </w:tc>
        <w:tc>
          <w:tcPr>
            <w:tcW w:w="6004" w:type="dxa"/>
            <w:noWrap w:val="0"/>
            <w:vAlign w:val="top"/>
          </w:tcPr>
          <w:p w14:paraId="2BD2EEF8">
            <w:pPr>
              <w:rPr>
                <w:rFonts w:ascii="Times New Roman" w:hAnsi="Times New Roman" w:cs="Times New Roman"/>
                <w:bCs/>
                <w:color w:val="000000"/>
                <w:sz w:val="21"/>
                <w:szCs w:val="21"/>
              </w:rPr>
            </w:pPr>
            <w:r>
              <w:rPr>
                <w:rFonts w:ascii="Times New Roman" w:hAnsi="Times New Roman" w:cs="Times New Roman"/>
                <w:b/>
                <w:color w:val="000000"/>
                <w:sz w:val="21"/>
                <w:szCs w:val="21"/>
                <w:u w:val="single"/>
              </w:rPr>
              <w:t>抵押权人不得对抗已经取得占有的善意承租人</w:t>
            </w:r>
          </w:p>
        </w:tc>
      </w:tr>
    </w:tbl>
    <w:p w14:paraId="1CB59EB0">
      <w:pPr>
        <w:ind w:firstLine="420"/>
        <w:rPr>
          <w:rFonts w:ascii="Times New Roman" w:hAnsi="Times New Roman" w:eastAsia="楷体" w:cs="Times New Roman"/>
          <w:bCs/>
          <w:color w:val="000000"/>
          <w:sz w:val="21"/>
          <w:szCs w:val="21"/>
        </w:rPr>
      </w:pPr>
    </w:p>
    <w:p w14:paraId="14813BC5">
      <w:pPr>
        <w:ind w:firstLine="420"/>
        <w:rPr>
          <w:rFonts w:ascii="Times New Roman" w:hAnsi="Times New Roman" w:eastAsia="楷体" w:cs="Times New Roman"/>
          <w:bCs/>
          <w:color w:val="000000"/>
          <w:sz w:val="21"/>
          <w:szCs w:val="21"/>
        </w:rPr>
      </w:pPr>
      <w:r>
        <w:rPr>
          <w:rFonts w:ascii="Times New Roman" w:hAnsi="Times New Roman" w:eastAsia="楷体" w:cs="Times New Roman"/>
          <w:bCs/>
          <w:color w:val="000000"/>
          <w:sz w:val="21"/>
          <w:szCs w:val="21"/>
        </w:rPr>
        <w:t>特别提醒：</w:t>
      </w:r>
    </w:p>
    <w:p w14:paraId="72F9A9A1">
      <w:pPr>
        <w:spacing w:line="276" w:lineRule="auto"/>
        <w:ind w:firstLine="480"/>
        <w:rPr>
          <w:color w:val="FF0000"/>
          <w:sz w:val="21"/>
          <w:szCs w:val="21"/>
        </w:rPr>
      </w:pPr>
      <w:r>
        <w:rPr>
          <w:rFonts w:hint="eastAsia" w:ascii="宋体" w:hAnsi="宋体"/>
          <w:sz w:val="21"/>
          <w:szCs w:val="21"/>
        </w:rPr>
        <w:t>1.</w:t>
      </w:r>
      <w:r>
        <w:rPr>
          <w:rFonts w:hint="eastAsia" w:ascii="宋体" w:hAnsi="宋体"/>
          <w:sz w:val="21"/>
          <w:szCs w:val="21"/>
          <w:u w:val="single"/>
        </w:rPr>
        <w:t>承租权在先的（抵押权设立时承租人已取得抵押财产的承租权的），原租赁关系不受抵押权的影响</w:t>
      </w:r>
      <w:r>
        <w:rPr>
          <w:rFonts w:hint="eastAsia" w:ascii="宋体" w:hAnsi="宋体"/>
          <w:sz w:val="21"/>
          <w:szCs w:val="21"/>
        </w:rPr>
        <w:t>。</w:t>
      </w:r>
      <w:r>
        <w:rPr>
          <w:rFonts w:hint="eastAsia" w:ascii="宋体" w:hAnsi="宋体"/>
          <w:sz w:val="21"/>
          <w:szCs w:val="21"/>
          <w:lang w:eastAsia="zh-CN"/>
        </w:rPr>
        <w:t>（</w:t>
      </w:r>
      <w:r>
        <w:rPr>
          <w:rFonts w:hint="eastAsia"/>
          <w:color w:val="FF0000"/>
          <w:sz w:val="21"/>
          <w:szCs w:val="21"/>
          <w:lang w:val="en-US" w:eastAsia="zh-CN"/>
        </w:rPr>
        <w:t>需要满足承租人占有要件，抵押权实现时，承租人可以主张买卖不破租赁</w:t>
      </w:r>
      <w:r>
        <w:rPr>
          <w:rFonts w:hint="eastAsia"/>
          <w:color w:val="FF0000"/>
          <w:sz w:val="21"/>
          <w:szCs w:val="21"/>
          <w:lang w:eastAsia="zh-CN"/>
        </w:rPr>
        <w:t>）</w:t>
      </w:r>
      <w:r>
        <w:rPr>
          <w:rFonts w:hint="eastAsia"/>
          <w:color w:val="FF0000"/>
          <w:sz w:val="21"/>
          <w:szCs w:val="21"/>
        </w:rPr>
        <w:t>。</w:t>
      </w:r>
    </w:p>
    <w:p w14:paraId="2477E254">
      <w:pPr>
        <w:ind w:firstLine="420" w:firstLineChars="200"/>
        <w:rPr>
          <w:rFonts w:ascii="Times New Roman" w:hAnsi="Times New Roman" w:cs="Times New Roman"/>
          <w:b/>
          <w:color w:val="000000"/>
          <w:sz w:val="21"/>
          <w:szCs w:val="21"/>
        </w:rPr>
      </w:pPr>
      <w:r>
        <w:rPr>
          <w:rFonts w:hint="eastAsia" w:ascii="宋体" w:hAnsi="宋体"/>
          <w:sz w:val="21"/>
          <w:szCs w:val="21"/>
        </w:rPr>
        <w:t>2.</w:t>
      </w:r>
      <w:r>
        <w:rPr>
          <w:rFonts w:hint="eastAsia" w:ascii="宋体" w:hAnsi="宋体"/>
          <w:sz w:val="21"/>
          <w:szCs w:val="21"/>
          <w:u w:val="single"/>
        </w:rPr>
        <w:t>如果抵押权设立在先而租赁合同订立在后，则承租人不得以此租赁关系对抗已登记的抵押权</w:t>
      </w:r>
      <w:r>
        <w:rPr>
          <w:rFonts w:hint="eastAsia" w:ascii="宋体" w:hAnsi="宋体"/>
          <w:sz w:val="21"/>
          <w:szCs w:val="21"/>
        </w:rPr>
        <w:t>。</w:t>
      </w:r>
      <w:r>
        <w:rPr>
          <w:rFonts w:hint="eastAsia" w:ascii="宋体" w:hAnsi="宋体"/>
          <w:sz w:val="21"/>
          <w:szCs w:val="21"/>
          <w:lang w:eastAsia="zh-CN"/>
        </w:rPr>
        <w:t>（</w:t>
      </w:r>
      <w:r>
        <w:rPr>
          <w:rFonts w:hint="eastAsia" w:ascii="宋体" w:hAnsi="宋体"/>
          <w:sz w:val="21"/>
          <w:szCs w:val="21"/>
          <w:lang w:val="en-US" w:eastAsia="zh-CN"/>
        </w:rPr>
        <w:t>行使抵押权不能主张买卖不破租赁</w:t>
      </w:r>
      <w:r>
        <w:rPr>
          <w:rFonts w:hint="eastAsia" w:ascii="宋体" w:hAnsi="宋体"/>
          <w:sz w:val="21"/>
          <w:szCs w:val="21"/>
          <w:lang w:eastAsia="zh-CN"/>
        </w:rPr>
        <w:t>）</w:t>
      </w:r>
    </w:p>
    <w:p w14:paraId="0A3C3173">
      <w:pPr>
        <w:ind w:firstLine="480"/>
        <w:rPr>
          <w:rFonts w:ascii="Times New Roman" w:hAnsi="Times New Roman" w:cs="Times New Roman"/>
          <w:b/>
          <w:color w:val="000000"/>
          <w:sz w:val="21"/>
          <w:szCs w:val="21"/>
        </w:rPr>
      </w:pPr>
      <w:r>
        <w:rPr>
          <w:rFonts w:ascii="Times New Roman" w:hAnsi="Times New Roman" w:cs="Times New Roman"/>
          <w:b/>
          <w:bCs/>
          <w:color w:val="000000"/>
          <w:sz w:val="21"/>
          <w:szCs w:val="21"/>
        </w:rPr>
        <w:t>五、</w:t>
      </w:r>
      <w:r>
        <w:rPr>
          <w:rFonts w:ascii="Times New Roman" w:hAnsi="Times New Roman" w:cs="Times New Roman"/>
          <w:b/>
          <w:color w:val="000000"/>
          <w:sz w:val="21"/>
          <w:szCs w:val="21"/>
        </w:rPr>
        <w:t>抵押财产的转让</w:t>
      </w:r>
    </w:p>
    <w:p w14:paraId="7010BAB1">
      <w:pPr>
        <w:ind w:firstLine="480"/>
        <w:rPr>
          <w:rFonts w:ascii="Times New Roman" w:hAnsi="Times New Roman" w:cs="Times New Roman"/>
          <w:b/>
          <w:color w:val="000000"/>
          <w:sz w:val="21"/>
          <w:szCs w:val="21"/>
        </w:rPr>
      </w:pPr>
    </w:p>
    <w:p w14:paraId="3290AE7E">
      <w:pPr>
        <w:spacing w:line="276" w:lineRule="auto"/>
        <w:ind w:firstLine="422" w:firstLineChars="200"/>
        <w:rPr>
          <w:rFonts w:ascii="Times New Roman" w:hAnsi="Times New Roman" w:cs="Times New Roman"/>
          <w:b/>
          <w:color w:val="000000"/>
          <w:sz w:val="21"/>
          <w:szCs w:val="21"/>
        </w:rPr>
      </w:pPr>
      <w:r>
        <w:rPr>
          <w:rFonts w:ascii="Times New Roman" w:hAnsi="Times New Roman" w:cs="Times New Roman"/>
          <w:b/>
          <w:color w:val="000000"/>
          <w:sz w:val="21"/>
          <w:szCs w:val="21"/>
        </w:rPr>
        <w:t>（一）禁止/限制抵押财产转让约定的效力</w:t>
      </w:r>
    </w:p>
    <w:p w14:paraId="3BDE527F">
      <w:pPr>
        <w:spacing w:line="276" w:lineRule="auto"/>
        <w:rPr>
          <w:rFonts w:ascii="Times New Roman" w:hAnsi="Times New Roman" w:cs="Times New Roman"/>
          <w:color w:val="000000"/>
          <w:sz w:val="21"/>
          <w:szCs w:val="21"/>
        </w:rPr>
      </w:pPr>
    </w:p>
    <w:p w14:paraId="734E8CD6">
      <w:pPr>
        <w:spacing w:line="276" w:lineRule="auto"/>
        <w:rPr>
          <w:rFonts w:ascii="Times New Roman" w:hAnsi="Times New Roman" w:cs="Times New Roman"/>
          <w:color w:val="000000"/>
          <w:sz w:val="21"/>
          <w:szCs w:val="21"/>
        </w:rPr>
      </w:pPr>
      <w:r>
        <w:rPr>
          <w:color w:val="000000"/>
          <w:sz w:val="21"/>
          <w:szCs w:val="21"/>
        </w:rPr>
        <mc:AlternateContent>
          <mc:Choice Requires="wpg">
            <w:drawing>
              <wp:anchor distT="0" distB="0" distL="114300" distR="114300" simplePos="0" relativeHeight="251659264" behindDoc="0" locked="0" layoutInCell="1" allowOverlap="1">
                <wp:simplePos x="0" y="0"/>
                <wp:positionH relativeFrom="column">
                  <wp:posOffset>-290830</wp:posOffset>
                </wp:positionH>
                <wp:positionV relativeFrom="paragraph">
                  <wp:posOffset>16510</wp:posOffset>
                </wp:positionV>
                <wp:extent cx="5817870" cy="2381885"/>
                <wp:effectExtent l="0" t="0" r="0" b="0"/>
                <wp:wrapNone/>
                <wp:docPr id="57" name="组合 57"/>
                <wp:cNvGraphicFramePr/>
                <a:graphic xmlns:a="http://schemas.openxmlformats.org/drawingml/2006/main">
                  <a:graphicData uri="http://schemas.microsoft.com/office/word/2010/wordprocessingGroup">
                    <wpg:wgp>
                      <wpg:cNvGrpSpPr/>
                      <wpg:grpSpPr>
                        <a:xfrm>
                          <a:off x="0" y="0"/>
                          <a:ext cx="5817870" cy="2381885"/>
                          <a:chOff x="2031" y="39854"/>
                          <a:chExt cx="8849" cy="3751"/>
                        </a:xfrm>
                        <a:effectLst/>
                      </wpg:grpSpPr>
                      <wps:wsp>
                        <wps:cNvPr id="44" name="流程图: 过程 26"/>
                        <wps:cNvSpPr/>
                        <wps:spPr>
                          <a:xfrm>
                            <a:off x="2031" y="41564"/>
                            <a:ext cx="2458" cy="974"/>
                          </a:xfrm>
                          <a:prstGeom prst="flowChartProcess">
                            <a:avLst/>
                          </a:prstGeom>
                          <a:noFill/>
                          <a:ln w="9525">
                            <a:noFill/>
                          </a:ln>
                          <a:effectLst/>
                        </wps:spPr>
                        <wps:txbx>
                          <w:txbxContent>
                            <w:p w14:paraId="74C944B1">
                              <w:pPr>
                                <w:spacing w:line="384" w:lineRule="exact"/>
                                <w:jc w:val="center"/>
                                <w:rPr>
                                  <w:rFonts w:ascii="汉仪书宋二简" w:hAnsi="汉仪书宋二简" w:eastAsia="汉仪书宋二简" w:cs="汉仪书宋二简"/>
                                  <w:b/>
                                  <w:bCs/>
                                </w:rPr>
                              </w:pPr>
                              <w:r>
                                <w:rPr>
                                  <w:rFonts w:hint="eastAsia" w:ascii="汉仪书宋二简" w:hAnsi="汉仪书宋二简" w:eastAsia="汉仪书宋二简" w:cs="汉仪书宋二简"/>
                                  <w:b/>
                                  <w:bCs/>
                                </w:rPr>
                                <w:t>禁止/限制抵押财产</w:t>
                              </w:r>
                            </w:p>
                            <w:p w14:paraId="03A59D5A">
                              <w:pPr>
                                <w:spacing w:line="384" w:lineRule="exact"/>
                                <w:jc w:val="center"/>
                                <w:rPr>
                                  <w:rFonts w:ascii="汉仪书宋二简" w:hAnsi="汉仪书宋二简" w:eastAsia="汉仪书宋二简" w:cs="汉仪书宋二简"/>
                                  <w:b/>
                                  <w:bCs/>
                                </w:rPr>
                              </w:pPr>
                              <w:r>
                                <w:rPr>
                                  <w:rFonts w:hint="eastAsia" w:ascii="汉仪书宋二简" w:hAnsi="汉仪书宋二简" w:eastAsia="汉仪书宋二简" w:cs="汉仪书宋二简"/>
                                  <w:b/>
                                  <w:bCs/>
                                </w:rPr>
                                <w:t>转让约定的效力</w:t>
                              </w:r>
                            </w:p>
                          </w:txbxContent>
                        </wps:txbx>
                        <wps:bodyPr upright="1"/>
                      </wps:wsp>
                      <wps:wsp>
                        <wps:cNvPr id="45" name="流程图: 过程 26"/>
                        <wps:cNvSpPr/>
                        <wps:spPr>
                          <a:xfrm>
                            <a:off x="4229" y="40814"/>
                            <a:ext cx="1578" cy="661"/>
                          </a:xfrm>
                          <a:prstGeom prst="flowChartProcess">
                            <a:avLst/>
                          </a:prstGeom>
                          <a:noFill/>
                          <a:ln w="9525">
                            <a:noFill/>
                          </a:ln>
                          <a:effectLst/>
                        </wps:spPr>
                        <wps:txbx>
                          <w:txbxContent>
                            <w:p w14:paraId="2A51E291">
                              <w:pPr>
                                <w:spacing w:line="384" w:lineRule="exact"/>
                                <w:rPr>
                                  <w:rFonts w:ascii="汉仪书宋二简" w:hAnsi="汉仪书宋二简" w:eastAsia="汉仪书宋二简" w:cs="汉仪书宋二简"/>
                                  <w:b/>
                                  <w:bCs/>
                                </w:rPr>
                              </w:pPr>
                              <w:r>
                                <w:rPr>
                                  <w:rFonts w:hint="eastAsia" w:ascii="汉仪书宋二简" w:hAnsi="汉仪书宋二简" w:eastAsia="汉仪书宋二简" w:cs="汉仪书宋二简"/>
                                  <w:b/>
                                  <w:bCs/>
                                </w:rPr>
                                <w:t>约定未登记</w:t>
                              </w:r>
                            </w:p>
                          </w:txbxContent>
                        </wps:txbx>
                        <wps:bodyPr upright="1"/>
                      </wps:wsp>
                      <wps:wsp>
                        <wps:cNvPr id="47" name="左大括号 282"/>
                        <wps:cNvSpPr/>
                        <wps:spPr>
                          <a:xfrm>
                            <a:off x="4212" y="40943"/>
                            <a:ext cx="123" cy="2310"/>
                          </a:xfrm>
                          <a:prstGeom prst="leftBrace">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40" name="流程图: 过程 26"/>
                        <wps:cNvSpPr/>
                        <wps:spPr>
                          <a:xfrm>
                            <a:off x="5635" y="39854"/>
                            <a:ext cx="4882" cy="2565"/>
                          </a:xfrm>
                          <a:prstGeom prst="flowChartProcess">
                            <a:avLst/>
                          </a:prstGeom>
                          <a:noFill/>
                          <a:ln w="9525">
                            <a:noFill/>
                          </a:ln>
                          <a:effectLst/>
                        </wps:spPr>
                        <wps:txbx>
                          <w:txbxContent>
                            <w:p w14:paraId="5FF07FEA">
                              <w:pPr>
                                <w:spacing w:line="384" w:lineRule="exact"/>
                                <w:rPr>
                                  <w:rFonts w:ascii="汉仪书宋二简" w:hAnsi="汉仪书宋二简" w:eastAsia="汉仪书宋二简" w:cs="汉仪书宋二简"/>
                                </w:rPr>
                              </w:pPr>
                              <w:r>
                                <w:rPr>
                                  <w:rFonts w:hint="eastAsia" w:ascii="汉仪书宋二简" w:hAnsi="汉仪书宋二简" w:eastAsia="汉仪书宋二简" w:cs="汉仪书宋二简"/>
                                </w:rPr>
                                <w:t>抵押财产转让合同有效</w:t>
                              </w:r>
                            </w:p>
                            <w:p w14:paraId="45FE256F">
                              <w:pPr>
                                <w:spacing w:line="384" w:lineRule="exact"/>
                                <w:rPr>
                                  <w:rFonts w:ascii="汉仪书宋二简" w:hAnsi="汉仪书宋二简" w:eastAsia="汉仪书宋二简" w:cs="汉仪书宋二简"/>
                                </w:rPr>
                              </w:pPr>
                              <w:r>
                                <w:rPr>
                                  <w:rFonts w:hint="eastAsia" w:ascii="汉仪书宋二简" w:hAnsi="汉仪书宋二简" w:eastAsia="汉仪书宋二简" w:cs="汉仪书宋二简"/>
                                </w:rPr>
                                <w:t xml:space="preserve">抵押财产未交付/登记 </w:t>
                              </w:r>
                              <w:r>
                                <w:rPr>
                                  <w:rFonts w:hint="eastAsia" w:ascii="汉仪书宋二简" w:hAnsi="汉仪书宋二简" w:eastAsia="汉仪书宋二简" w:cs="汉仪书宋二简"/>
                                  <w:color w:val="FF0000"/>
                                </w:rPr>
                                <w:t>→</w:t>
                              </w:r>
                              <w:r>
                                <w:rPr>
                                  <w:rFonts w:hint="eastAsia" w:ascii="汉仪书宋二简" w:hAnsi="汉仪书宋二简" w:eastAsia="汉仪书宋二简" w:cs="汉仪书宋二简"/>
                                </w:rPr>
                                <w:t xml:space="preserve"> 物权不变动</w:t>
                              </w:r>
                            </w:p>
                            <w:p w14:paraId="33AE3036">
                              <w:pPr>
                                <w:spacing w:line="384" w:lineRule="exact"/>
                                <w:rPr>
                                  <w:rFonts w:ascii="汉仪书宋二简" w:hAnsi="汉仪书宋二简" w:eastAsia="汉仪书宋二简" w:cs="汉仪书宋二简"/>
                                </w:rPr>
                              </w:pPr>
                            </w:p>
                            <w:p w14:paraId="0CDF1617">
                              <w:pPr>
                                <w:spacing w:line="384" w:lineRule="exact"/>
                                <w:rPr>
                                  <w:rFonts w:ascii="汉仪书宋二简" w:hAnsi="汉仪书宋二简" w:eastAsia="汉仪书宋二简" w:cs="汉仪书宋二简"/>
                                </w:rPr>
                              </w:pPr>
                              <w:r>
                                <w:rPr>
                                  <w:rFonts w:hint="eastAsia" w:ascii="汉仪书宋二简" w:hAnsi="汉仪书宋二简" w:eastAsia="汉仪书宋二简" w:cs="汉仪书宋二简"/>
                                </w:rPr>
                                <w:t>抵押财产已交付/登记</w:t>
                              </w:r>
                            </w:p>
                            <w:p w14:paraId="1B8C9A16">
                              <w:pPr>
                                <w:spacing w:line="384" w:lineRule="exact"/>
                                <w:rPr>
                                  <w:rFonts w:ascii="汉仪书宋二简" w:hAnsi="汉仪书宋二简" w:eastAsia="汉仪书宋二简" w:cs="汉仪书宋二简"/>
                                </w:rPr>
                              </w:pPr>
                            </w:p>
                            <w:p w14:paraId="6B1500F6">
                              <w:pPr>
                                <w:spacing w:line="384" w:lineRule="exact"/>
                                <w:rPr>
                                  <w:rFonts w:ascii="汉仪书宋二简" w:hAnsi="汉仪书宋二简" w:eastAsia="汉仪书宋二简" w:cs="汉仪书宋二简"/>
                                </w:rPr>
                              </w:pPr>
                              <w:r>
                                <w:rPr>
                                  <w:rFonts w:hint="eastAsia" w:ascii="汉仪书宋二简" w:hAnsi="汉仪书宋二简" w:eastAsia="汉仪书宋二简" w:cs="汉仪书宋二简"/>
                                </w:rPr>
                                <w:t>抵押人向抵押权人承担违约责任</w:t>
                              </w:r>
                            </w:p>
                          </w:txbxContent>
                        </wps:txbx>
                        <wps:bodyPr upright="1"/>
                      </wps:wsp>
                      <wps:wsp>
                        <wps:cNvPr id="41" name="左大括号 282"/>
                        <wps:cNvSpPr/>
                        <wps:spPr>
                          <a:xfrm>
                            <a:off x="5542" y="39998"/>
                            <a:ext cx="193" cy="2284"/>
                          </a:xfrm>
                          <a:prstGeom prst="leftBrace">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43" name="流程图: 过程 26"/>
                        <wps:cNvSpPr/>
                        <wps:spPr>
                          <a:xfrm>
                            <a:off x="4232" y="42794"/>
                            <a:ext cx="1578" cy="661"/>
                          </a:xfrm>
                          <a:prstGeom prst="flowChartProcess">
                            <a:avLst/>
                          </a:prstGeom>
                          <a:noFill/>
                          <a:ln w="9525">
                            <a:noFill/>
                          </a:ln>
                          <a:effectLst/>
                        </wps:spPr>
                        <wps:txbx>
                          <w:txbxContent>
                            <w:p w14:paraId="238FD4EE">
                              <w:pPr>
                                <w:spacing w:line="384" w:lineRule="exact"/>
                                <w:rPr>
                                  <w:rFonts w:ascii="汉仪书宋二简" w:hAnsi="汉仪书宋二简" w:eastAsia="汉仪书宋二简" w:cs="汉仪书宋二简"/>
                                  <w:b/>
                                  <w:bCs/>
                                </w:rPr>
                              </w:pPr>
                              <w:r>
                                <w:rPr>
                                  <w:rFonts w:hint="eastAsia" w:ascii="汉仪书宋二简" w:hAnsi="汉仪书宋二简" w:eastAsia="汉仪书宋二简" w:cs="汉仪书宋二简"/>
                                  <w:b/>
                                  <w:bCs/>
                                </w:rPr>
                                <w:t>约定已登记</w:t>
                              </w:r>
                            </w:p>
                          </w:txbxContent>
                        </wps:txbx>
                        <wps:bodyPr upright="1"/>
                      </wps:wsp>
                      <wps:wsp>
                        <wps:cNvPr id="46" name="左大括号 282"/>
                        <wps:cNvSpPr/>
                        <wps:spPr>
                          <a:xfrm>
                            <a:off x="7932" y="40972"/>
                            <a:ext cx="135" cy="677"/>
                          </a:xfrm>
                          <a:prstGeom prst="leftBrace">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48" name="流程图: 过程 26"/>
                        <wps:cNvSpPr/>
                        <wps:spPr>
                          <a:xfrm>
                            <a:off x="7970" y="40784"/>
                            <a:ext cx="2910" cy="1036"/>
                          </a:xfrm>
                          <a:prstGeom prst="flowChartProcess">
                            <a:avLst/>
                          </a:prstGeom>
                          <a:noFill/>
                          <a:ln w="9525">
                            <a:noFill/>
                          </a:ln>
                          <a:effectLst/>
                        </wps:spPr>
                        <wps:txbx>
                          <w:txbxContent>
                            <w:p w14:paraId="32D58D81">
                              <w:pPr>
                                <w:spacing w:line="384" w:lineRule="exact"/>
                                <w:rPr>
                                  <w:rFonts w:ascii="汉仪书宋二简" w:hAnsi="汉仪书宋二简" w:eastAsia="汉仪书宋二简" w:cs="汉仪书宋二简"/>
                                </w:rPr>
                              </w:pPr>
                              <w:r>
                                <w:rPr>
                                  <w:rFonts w:hint="eastAsia" w:ascii="汉仪书宋二简" w:hAnsi="汉仪书宋二简" w:eastAsia="汉仪书宋二简" w:cs="汉仪书宋二简"/>
                                </w:rPr>
                                <w:t xml:space="preserve">受让人善意 </w:t>
                              </w:r>
                              <w:r>
                                <w:rPr>
                                  <w:rFonts w:hint="eastAsia" w:ascii="汉仪书宋二简" w:hAnsi="汉仪书宋二简" w:eastAsia="汉仪书宋二简" w:cs="汉仪书宋二简"/>
                                  <w:color w:val="FF0000"/>
                                </w:rPr>
                                <w:t>→</w:t>
                              </w:r>
                              <w:r>
                                <w:rPr>
                                  <w:rFonts w:hint="eastAsia" w:ascii="汉仪书宋二简" w:hAnsi="汉仪书宋二简" w:eastAsia="汉仪书宋二简" w:cs="汉仪书宋二简"/>
                                </w:rPr>
                                <w:t xml:space="preserve"> 物权变动</w:t>
                              </w:r>
                            </w:p>
                            <w:p w14:paraId="7B046230">
                              <w:pPr>
                                <w:spacing w:line="384" w:lineRule="exact"/>
                                <w:rPr>
                                  <w:rFonts w:ascii="汉仪书宋二简" w:hAnsi="汉仪书宋二简" w:eastAsia="汉仪书宋二简" w:cs="汉仪书宋二简"/>
                                </w:rPr>
                              </w:pPr>
                              <w:r>
                                <w:rPr>
                                  <w:rFonts w:hint="eastAsia" w:ascii="汉仪书宋二简" w:hAnsi="汉仪书宋二简" w:eastAsia="汉仪书宋二简" w:cs="汉仪书宋二简"/>
                                </w:rPr>
                                <w:t xml:space="preserve">受让人恶意 </w:t>
                              </w:r>
                              <w:r>
                                <w:rPr>
                                  <w:rFonts w:hint="eastAsia" w:ascii="汉仪书宋二简" w:hAnsi="汉仪书宋二简" w:eastAsia="汉仪书宋二简" w:cs="汉仪书宋二简"/>
                                  <w:color w:val="FF0000"/>
                                </w:rPr>
                                <w:t>→</w:t>
                              </w:r>
                              <w:r>
                                <w:rPr>
                                  <w:rFonts w:hint="eastAsia" w:ascii="汉仪书宋二简" w:hAnsi="汉仪书宋二简" w:eastAsia="汉仪书宋二简" w:cs="汉仪书宋二简"/>
                                </w:rPr>
                                <w:t xml:space="preserve"> 物权不变动</w:t>
                              </w:r>
                            </w:p>
                          </w:txbxContent>
                        </wps:txbx>
                        <wps:bodyPr upright="1"/>
                      </wps:wsp>
                      <wps:wsp>
                        <wps:cNvPr id="49" name="左大括号 282"/>
                        <wps:cNvSpPr/>
                        <wps:spPr>
                          <a:xfrm>
                            <a:off x="5513" y="42757"/>
                            <a:ext cx="135" cy="677"/>
                          </a:xfrm>
                          <a:prstGeom prst="leftBrace">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50" name="流程图: 过程 26"/>
                        <wps:cNvSpPr/>
                        <wps:spPr>
                          <a:xfrm>
                            <a:off x="5550" y="42569"/>
                            <a:ext cx="4750" cy="1036"/>
                          </a:xfrm>
                          <a:prstGeom prst="flowChartProcess">
                            <a:avLst/>
                          </a:prstGeom>
                          <a:noFill/>
                          <a:ln w="9525">
                            <a:noFill/>
                          </a:ln>
                          <a:effectLst/>
                        </wps:spPr>
                        <wps:txbx>
                          <w:txbxContent>
                            <w:p w14:paraId="0ED3EF8F">
                              <w:pPr>
                                <w:spacing w:line="384" w:lineRule="exact"/>
                                <w:rPr>
                                  <w:rFonts w:ascii="汉仪书宋二简" w:hAnsi="汉仪书宋二简" w:eastAsia="汉仪书宋二简" w:cs="汉仪书宋二简"/>
                                </w:rPr>
                              </w:pPr>
                              <w:r>
                                <w:rPr>
                                  <w:rFonts w:hint="eastAsia" w:ascii="汉仪书宋二简" w:hAnsi="汉仪书宋二简" w:eastAsia="汉仪书宋二简" w:cs="汉仪书宋二简"/>
                                </w:rPr>
                                <w:t>抵押财产转让合同有效</w:t>
                              </w:r>
                            </w:p>
                            <w:p w14:paraId="3A8AC89C">
                              <w:pPr>
                                <w:spacing w:line="384" w:lineRule="exact"/>
                                <w:rPr>
                                  <w:rFonts w:ascii="汉仪书宋二简" w:hAnsi="汉仪书宋二简" w:eastAsia="汉仪书宋二简" w:cs="汉仪书宋二简"/>
                                </w:rPr>
                              </w:pPr>
                              <w:r>
                                <w:rPr>
                                  <w:rFonts w:hint="eastAsia" w:ascii="汉仪书宋二简" w:hAnsi="汉仪书宋二简" w:eastAsia="汉仪书宋二简" w:cs="汉仪书宋二简"/>
                                </w:rPr>
                                <w:t>物权不变动，但受让人代债务人清偿的除外</w:t>
                              </w:r>
                            </w:p>
                          </w:txbxContent>
                        </wps:txbx>
                        <wps:bodyPr upright="1"/>
                      </wps:wsp>
                    </wpg:wgp>
                  </a:graphicData>
                </a:graphic>
              </wp:anchor>
            </w:drawing>
          </mc:Choice>
          <mc:Fallback>
            <w:pict>
              <v:group id="_x0000_s1026" o:spid="_x0000_s1026" o:spt="203" style="position:absolute;left:0pt;margin-left:-22.9pt;margin-top:1.3pt;height:187.55pt;width:458.1pt;z-index:251659264;mso-width-relative:page;mso-height-relative:page;" coordorigin="2031,39854" coordsize="8849,3751" o:gfxdata="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">
                <o:lock v:ext="edit" aspectratio="f"/>
                <v:shape id="流程图: 过程 26" o:spid="_x0000_s1026" o:spt="109" type="#_x0000_t109" style="position:absolute;left:2031;top:41564;height:974;width:2458;" filled="f" stroked="f" coordsize="21600,21600" o:gfxdata="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5j3E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14:paraId="74C944B1">
                        <w:pPr>
                          <w:spacing w:line="384" w:lineRule="exact"/>
                          <w:jc w:val="center"/>
                          <w:rPr>
                            <w:rFonts w:ascii="汉仪书宋二简" w:hAnsi="汉仪书宋二简" w:eastAsia="汉仪书宋二简" w:cs="汉仪书宋二简"/>
                            <w:b/>
                            <w:bCs/>
                          </w:rPr>
                        </w:pPr>
                        <w:r>
                          <w:rPr>
                            <w:rFonts w:hint="eastAsia" w:ascii="汉仪书宋二简" w:hAnsi="汉仪书宋二简" w:eastAsia="汉仪书宋二简" w:cs="汉仪书宋二简"/>
                            <w:b/>
                            <w:bCs/>
                          </w:rPr>
                          <w:t>禁止/限制抵押财产</w:t>
                        </w:r>
                      </w:p>
                      <w:p w14:paraId="03A59D5A">
                        <w:pPr>
                          <w:spacing w:line="384" w:lineRule="exact"/>
                          <w:jc w:val="center"/>
                          <w:rPr>
                            <w:rFonts w:ascii="汉仪书宋二简" w:hAnsi="汉仪书宋二简" w:eastAsia="汉仪书宋二简" w:cs="汉仪书宋二简"/>
                            <w:b/>
                            <w:bCs/>
                          </w:rPr>
                        </w:pPr>
                        <w:r>
                          <w:rPr>
                            <w:rFonts w:hint="eastAsia" w:ascii="汉仪书宋二简" w:hAnsi="汉仪书宋二简" w:eastAsia="汉仪书宋二简" w:cs="汉仪书宋二简"/>
                            <w:b/>
                            <w:bCs/>
                          </w:rPr>
                          <w:t>转让约定的效力</w:t>
                        </w:r>
                      </w:p>
                    </w:txbxContent>
                  </v:textbox>
                </v:shape>
                <v:shape id="流程图: 过程 26" o:spid="_x0000_s1026" o:spt="109" type="#_x0000_t109" style="position:absolute;left:4229;top:40814;height:661;width:1578;" filled="f" stroked="f" coordsize="21600,21600" o:gfxdata="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NRSib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14:paraId="2A51E291">
                        <w:pPr>
                          <w:spacing w:line="384" w:lineRule="exact"/>
                          <w:rPr>
                            <w:rFonts w:ascii="汉仪书宋二简" w:hAnsi="汉仪书宋二简" w:eastAsia="汉仪书宋二简" w:cs="汉仪书宋二简"/>
                            <w:b/>
                            <w:bCs/>
                          </w:rPr>
                        </w:pPr>
                        <w:r>
                          <w:rPr>
                            <w:rFonts w:hint="eastAsia" w:ascii="汉仪书宋二简" w:hAnsi="汉仪书宋二简" w:eastAsia="汉仪书宋二简" w:cs="汉仪书宋二简"/>
                            <w:b/>
                            <w:bCs/>
                          </w:rPr>
                          <w:t>约定未登记</w:t>
                        </w:r>
                      </w:p>
                    </w:txbxContent>
                  </v:textbox>
                </v:shape>
                <v:shape id="左大括号 282" o:spid="_x0000_s1026" o:spt="87" type="#_x0000_t87" style="position:absolute;left:4212;top:40943;height:2310;width:123;v-text-anchor:middle;" filled="f" stroked="t" coordsize="21600,21600" o:gfxdata="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Wbf0O5AAAA2wAA&#10;AA8AAAAAAAAAAQAgAAAAIgAAAGRycy9kb3ducmV2LnhtbFBLAQIUABQAAAAIAIdO4kAzLwWeOwAA&#10;ADkAAAAQAAAAAAAAAAEAIAAAAAgBAABkcnMvc2hhcGV4bWwueG1sUEsFBgAAAAAGAAYAWwEAALID&#10;AAAAAA==&#10;" adj="95,10800">
                  <v:fill on="f" focussize="0,0"/>
                  <v:stroke weight="0.5pt" color="#FF0000" miterlimit="8" joinstyle="miter"/>
                  <v:imagedata o:title=""/>
                  <o:lock v:ext="edit" aspectratio="f"/>
                </v:shape>
                <v:shape id="流程图: 过程 26" o:spid="_x0000_s1026" o:spt="109" type="#_x0000_t109" style="position:absolute;left:5635;top:39854;height:2565;width:4882;" filled="f" stroked="f" coordsize="21600,21600" o:gfxdata="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ij8RG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14:paraId="5FF07FEA">
                        <w:pPr>
                          <w:spacing w:line="384" w:lineRule="exact"/>
                          <w:rPr>
                            <w:rFonts w:ascii="汉仪书宋二简" w:hAnsi="汉仪书宋二简" w:eastAsia="汉仪书宋二简" w:cs="汉仪书宋二简"/>
                          </w:rPr>
                        </w:pPr>
                        <w:r>
                          <w:rPr>
                            <w:rFonts w:hint="eastAsia" w:ascii="汉仪书宋二简" w:hAnsi="汉仪书宋二简" w:eastAsia="汉仪书宋二简" w:cs="汉仪书宋二简"/>
                          </w:rPr>
                          <w:t>抵押财产转让合同有效</w:t>
                        </w:r>
                      </w:p>
                      <w:p w14:paraId="45FE256F">
                        <w:pPr>
                          <w:spacing w:line="384" w:lineRule="exact"/>
                          <w:rPr>
                            <w:rFonts w:ascii="汉仪书宋二简" w:hAnsi="汉仪书宋二简" w:eastAsia="汉仪书宋二简" w:cs="汉仪书宋二简"/>
                          </w:rPr>
                        </w:pPr>
                        <w:r>
                          <w:rPr>
                            <w:rFonts w:hint="eastAsia" w:ascii="汉仪书宋二简" w:hAnsi="汉仪书宋二简" w:eastAsia="汉仪书宋二简" w:cs="汉仪书宋二简"/>
                          </w:rPr>
                          <w:t xml:space="preserve">抵押财产未交付/登记 </w:t>
                        </w:r>
                        <w:r>
                          <w:rPr>
                            <w:rFonts w:hint="eastAsia" w:ascii="汉仪书宋二简" w:hAnsi="汉仪书宋二简" w:eastAsia="汉仪书宋二简" w:cs="汉仪书宋二简"/>
                            <w:color w:val="FF0000"/>
                          </w:rPr>
                          <w:t>→</w:t>
                        </w:r>
                        <w:r>
                          <w:rPr>
                            <w:rFonts w:hint="eastAsia" w:ascii="汉仪书宋二简" w:hAnsi="汉仪书宋二简" w:eastAsia="汉仪书宋二简" w:cs="汉仪书宋二简"/>
                          </w:rPr>
                          <w:t xml:space="preserve"> 物权不变动</w:t>
                        </w:r>
                      </w:p>
                      <w:p w14:paraId="33AE3036">
                        <w:pPr>
                          <w:spacing w:line="384" w:lineRule="exact"/>
                          <w:rPr>
                            <w:rFonts w:ascii="汉仪书宋二简" w:hAnsi="汉仪书宋二简" w:eastAsia="汉仪书宋二简" w:cs="汉仪书宋二简"/>
                          </w:rPr>
                        </w:pPr>
                      </w:p>
                      <w:p w14:paraId="0CDF1617">
                        <w:pPr>
                          <w:spacing w:line="384" w:lineRule="exact"/>
                          <w:rPr>
                            <w:rFonts w:ascii="汉仪书宋二简" w:hAnsi="汉仪书宋二简" w:eastAsia="汉仪书宋二简" w:cs="汉仪书宋二简"/>
                          </w:rPr>
                        </w:pPr>
                        <w:r>
                          <w:rPr>
                            <w:rFonts w:hint="eastAsia" w:ascii="汉仪书宋二简" w:hAnsi="汉仪书宋二简" w:eastAsia="汉仪书宋二简" w:cs="汉仪书宋二简"/>
                          </w:rPr>
                          <w:t>抵押财产已交付/登记</w:t>
                        </w:r>
                      </w:p>
                      <w:p w14:paraId="1B8C9A16">
                        <w:pPr>
                          <w:spacing w:line="384" w:lineRule="exact"/>
                          <w:rPr>
                            <w:rFonts w:ascii="汉仪书宋二简" w:hAnsi="汉仪书宋二简" w:eastAsia="汉仪书宋二简" w:cs="汉仪书宋二简"/>
                          </w:rPr>
                        </w:pPr>
                      </w:p>
                      <w:p w14:paraId="6B1500F6">
                        <w:pPr>
                          <w:spacing w:line="384" w:lineRule="exact"/>
                          <w:rPr>
                            <w:rFonts w:ascii="汉仪书宋二简" w:hAnsi="汉仪书宋二简" w:eastAsia="汉仪书宋二简" w:cs="汉仪书宋二简"/>
                          </w:rPr>
                        </w:pPr>
                        <w:r>
                          <w:rPr>
                            <w:rFonts w:hint="eastAsia" w:ascii="汉仪书宋二简" w:hAnsi="汉仪书宋二简" w:eastAsia="汉仪书宋二简" w:cs="汉仪书宋二简"/>
                          </w:rPr>
                          <w:t>抵押人向抵押权人承担违约责任</w:t>
                        </w:r>
                      </w:p>
                    </w:txbxContent>
                  </v:textbox>
                </v:shape>
                <v:shape id="左大括号 282" o:spid="_x0000_s1026" o:spt="87" type="#_x0000_t87" style="position:absolute;left:5542;top:39998;height:2284;width:193;v-text-anchor:middle;" filled="f" stroked="t" coordsize="21600,21600" o:gfxdata="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MmDwvQAA&#10;ANsAAAAPAAAAAAAAAAEAIAAAACIAAABkcnMvZG93bnJldi54bWxQSwECFAAUAAAACACHTuJAMy8F&#10;njsAAAA5AAAAEAAAAAAAAAABACAAAAAMAQAAZHJzL3NoYXBleG1sLnhtbFBLBQYAAAAABgAGAFsB&#10;AAC2AwAAAAA=&#10;" adj="152,10800">
                  <v:fill on="f" focussize="0,0"/>
                  <v:stroke weight="0.5pt" color="#FF0000" miterlimit="8" joinstyle="miter"/>
                  <v:imagedata o:title=""/>
                  <o:lock v:ext="edit" aspectratio="f"/>
                </v:shape>
                <v:shape id="流程图: 过程 26" o:spid="_x0000_s1026" o:spt="109" type="#_x0000_t109" style="position:absolute;left:4232;top:42794;height:661;width:1578;" filled="f" stroked="f" coordsize="21600,21600" o:gfxdata="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hxb2a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14:paraId="238FD4EE">
                        <w:pPr>
                          <w:spacing w:line="384" w:lineRule="exact"/>
                          <w:rPr>
                            <w:rFonts w:ascii="汉仪书宋二简" w:hAnsi="汉仪书宋二简" w:eastAsia="汉仪书宋二简" w:cs="汉仪书宋二简"/>
                            <w:b/>
                            <w:bCs/>
                          </w:rPr>
                        </w:pPr>
                        <w:r>
                          <w:rPr>
                            <w:rFonts w:hint="eastAsia" w:ascii="汉仪书宋二简" w:hAnsi="汉仪书宋二简" w:eastAsia="汉仪书宋二简" w:cs="汉仪书宋二简"/>
                            <w:b/>
                            <w:bCs/>
                          </w:rPr>
                          <w:t>约定已登记</w:t>
                        </w:r>
                      </w:p>
                    </w:txbxContent>
                  </v:textbox>
                </v:shape>
                <v:shape id="左大括号 282" o:spid="_x0000_s1026" o:spt="87" type="#_x0000_t87" style="position:absolute;left:7932;top:40972;height:677;width:135;v-text-anchor:middle;" filled="f" stroked="t" coordsize="21600,21600" o:gfxdata="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Nk568AAAA&#10;2wAAAA8AAAAAAAAAAQAgAAAAIgAAAGRycy9kb3ducmV2LnhtbFBLAQIUABQAAAAIAIdO4kAzLwWe&#10;OwAAADkAAAAQAAAAAAAAAAEAIAAAAAsBAABkcnMvc2hhcGV4bWwueG1sUEsFBgAAAAAGAAYAWwEA&#10;ALUDAAAAAA==&#10;" adj="358,10800">
                  <v:fill on="f" focussize="0,0"/>
                  <v:stroke weight="0.5pt" color="#FF0000" miterlimit="8" joinstyle="miter"/>
                  <v:imagedata o:title=""/>
                  <o:lock v:ext="edit" aspectratio="f"/>
                </v:shape>
                <v:shape id="流程图: 过程 26" o:spid="_x0000_s1026" o:spt="109" type="#_x0000_t109" style="position:absolute;left:7970;top:40784;height:1036;width:2910;" filled="f" stroked="f" coordsize="21600,21600" o:gfxdata="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bV/Re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14:paraId="32D58D81">
                        <w:pPr>
                          <w:spacing w:line="384" w:lineRule="exact"/>
                          <w:rPr>
                            <w:rFonts w:ascii="汉仪书宋二简" w:hAnsi="汉仪书宋二简" w:eastAsia="汉仪书宋二简" w:cs="汉仪书宋二简"/>
                          </w:rPr>
                        </w:pPr>
                        <w:r>
                          <w:rPr>
                            <w:rFonts w:hint="eastAsia" w:ascii="汉仪书宋二简" w:hAnsi="汉仪书宋二简" w:eastAsia="汉仪书宋二简" w:cs="汉仪书宋二简"/>
                          </w:rPr>
                          <w:t xml:space="preserve">受让人善意 </w:t>
                        </w:r>
                        <w:r>
                          <w:rPr>
                            <w:rFonts w:hint="eastAsia" w:ascii="汉仪书宋二简" w:hAnsi="汉仪书宋二简" w:eastAsia="汉仪书宋二简" w:cs="汉仪书宋二简"/>
                            <w:color w:val="FF0000"/>
                          </w:rPr>
                          <w:t>→</w:t>
                        </w:r>
                        <w:r>
                          <w:rPr>
                            <w:rFonts w:hint="eastAsia" w:ascii="汉仪书宋二简" w:hAnsi="汉仪书宋二简" w:eastAsia="汉仪书宋二简" w:cs="汉仪书宋二简"/>
                          </w:rPr>
                          <w:t xml:space="preserve"> 物权变动</w:t>
                        </w:r>
                      </w:p>
                      <w:p w14:paraId="7B046230">
                        <w:pPr>
                          <w:spacing w:line="384" w:lineRule="exact"/>
                          <w:rPr>
                            <w:rFonts w:ascii="汉仪书宋二简" w:hAnsi="汉仪书宋二简" w:eastAsia="汉仪书宋二简" w:cs="汉仪书宋二简"/>
                          </w:rPr>
                        </w:pPr>
                        <w:r>
                          <w:rPr>
                            <w:rFonts w:hint="eastAsia" w:ascii="汉仪书宋二简" w:hAnsi="汉仪书宋二简" w:eastAsia="汉仪书宋二简" w:cs="汉仪书宋二简"/>
                          </w:rPr>
                          <w:t xml:space="preserve">受让人恶意 </w:t>
                        </w:r>
                        <w:r>
                          <w:rPr>
                            <w:rFonts w:hint="eastAsia" w:ascii="汉仪书宋二简" w:hAnsi="汉仪书宋二简" w:eastAsia="汉仪书宋二简" w:cs="汉仪书宋二简"/>
                            <w:color w:val="FF0000"/>
                          </w:rPr>
                          <w:t>→</w:t>
                        </w:r>
                        <w:r>
                          <w:rPr>
                            <w:rFonts w:hint="eastAsia" w:ascii="汉仪书宋二简" w:hAnsi="汉仪书宋二简" w:eastAsia="汉仪书宋二简" w:cs="汉仪书宋二简"/>
                          </w:rPr>
                          <w:t xml:space="preserve"> 物权不变动</w:t>
                        </w:r>
                      </w:p>
                    </w:txbxContent>
                  </v:textbox>
                </v:shape>
                <v:shape id="左大括号 282" o:spid="_x0000_s1026" o:spt="87" type="#_x0000_t87" style="position:absolute;left:5513;top:42757;height:677;width:135;v-text-anchor:middle;" filled="f" stroked="t" coordsize="21600,21600" o:gfxdata="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0gfsvQAA&#10;ANsAAAAPAAAAAAAAAAEAIAAAACIAAABkcnMvZG93bnJldi54bWxQSwECFAAUAAAACACHTuJAMy8F&#10;njsAAAA5AAAAEAAAAAAAAAABACAAAAAMAQAAZHJzL3NoYXBleG1sLnhtbFBLBQYAAAAABgAGAFsB&#10;AAC2AwAAAAA=&#10;" adj="358,10800">
                  <v:fill on="f" focussize="0,0"/>
                  <v:stroke weight="0.5pt" color="#FF0000" miterlimit="8" joinstyle="miter"/>
                  <v:imagedata o:title=""/>
                  <o:lock v:ext="edit" aspectratio="f"/>
                </v:shape>
                <v:shape id="流程图: 过程 26" o:spid="_x0000_s1026" o:spt="109" type="#_x0000_t109" style="position:absolute;left:5550;top:42569;height:1036;width:4750;" filled="f" stroked="f" coordsize="21600,21600" o:gfxdata="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16Z8y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14:paraId="0ED3EF8F">
                        <w:pPr>
                          <w:spacing w:line="384" w:lineRule="exact"/>
                          <w:rPr>
                            <w:rFonts w:ascii="汉仪书宋二简" w:hAnsi="汉仪书宋二简" w:eastAsia="汉仪书宋二简" w:cs="汉仪书宋二简"/>
                          </w:rPr>
                        </w:pPr>
                        <w:r>
                          <w:rPr>
                            <w:rFonts w:hint="eastAsia" w:ascii="汉仪书宋二简" w:hAnsi="汉仪书宋二简" w:eastAsia="汉仪书宋二简" w:cs="汉仪书宋二简"/>
                          </w:rPr>
                          <w:t>抵押财产转让合同有效</w:t>
                        </w:r>
                      </w:p>
                      <w:p w14:paraId="3A8AC89C">
                        <w:pPr>
                          <w:spacing w:line="384" w:lineRule="exact"/>
                          <w:rPr>
                            <w:rFonts w:ascii="汉仪书宋二简" w:hAnsi="汉仪书宋二简" w:eastAsia="汉仪书宋二简" w:cs="汉仪书宋二简"/>
                          </w:rPr>
                        </w:pPr>
                        <w:r>
                          <w:rPr>
                            <w:rFonts w:hint="eastAsia" w:ascii="汉仪书宋二简" w:hAnsi="汉仪书宋二简" w:eastAsia="汉仪书宋二简" w:cs="汉仪书宋二简"/>
                          </w:rPr>
                          <w:t>物权不变动，但受让人代债务人清偿的除外</w:t>
                        </w:r>
                      </w:p>
                    </w:txbxContent>
                  </v:textbox>
                </v:shape>
              </v:group>
            </w:pict>
          </mc:Fallback>
        </mc:AlternateContent>
      </w:r>
    </w:p>
    <w:p w14:paraId="72602DC5">
      <w:pPr>
        <w:spacing w:line="276" w:lineRule="auto"/>
        <w:rPr>
          <w:rFonts w:ascii="Times New Roman" w:hAnsi="Times New Roman" w:cs="Times New Roman"/>
          <w:color w:val="000000"/>
          <w:sz w:val="21"/>
          <w:szCs w:val="21"/>
        </w:rPr>
      </w:pPr>
    </w:p>
    <w:p w14:paraId="40914BBE">
      <w:pPr>
        <w:spacing w:line="276" w:lineRule="auto"/>
        <w:rPr>
          <w:rFonts w:ascii="Times New Roman" w:hAnsi="Times New Roman" w:cs="Times New Roman"/>
          <w:color w:val="000000"/>
          <w:sz w:val="21"/>
          <w:szCs w:val="21"/>
        </w:rPr>
      </w:pPr>
    </w:p>
    <w:p w14:paraId="20AB58ED">
      <w:pPr>
        <w:spacing w:line="276" w:lineRule="auto"/>
        <w:rPr>
          <w:rFonts w:ascii="Times New Roman" w:hAnsi="Times New Roman" w:cs="Times New Roman"/>
          <w:color w:val="000000"/>
          <w:sz w:val="21"/>
          <w:szCs w:val="21"/>
        </w:rPr>
      </w:pPr>
    </w:p>
    <w:p w14:paraId="75B7DAE3">
      <w:pPr>
        <w:spacing w:line="276" w:lineRule="auto"/>
        <w:rPr>
          <w:rFonts w:ascii="Times New Roman" w:hAnsi="Times New Roman" w:cs="Times New Roman"/>
          <w:color w:val="000000"/>
          <w:sz w:val="21"/>
          <w:szCs w:val="21"/>
        </w:rPr>
      </w:pPr>
    </w:p>
    <w:p w14:paraId="05344375">
      <w:pPr>
        <w:spacing w:line="276" w:lineRule="auto"/>
        <w:rPr>
          <w:rFonts w:ascii="Times New Roman" w:hAnsi="Times New Roman" w:cs="Times New Roman"/>
          <w:color w:val="000000"/>
          <w:sz w:val="21"/>
          <w:szCs w:val="21"/>
        </w:rPr>
      </w:pPr>
    </w:p>
    <w:p w14:paraId="3D41B513">
      <w:pPr>
        <w:spacing w:line="276" w:lineRule="auto"/>
        <w:rPr>
          <w:rFonts w:ascii="Times New Roman" w:hAnsi="Times New Roman" w:cs="Times New Roman"/>
          <w:color w:val="000000"/>
          <w:sz w:val="21"/>
          <w:szCs w:val="21"/>
        </w:rPr>
      </w:pPr>
    </w:p>
    <w:p w14:paraId="28901194">
      <w:pPr>
        <w:spacing w:line="276" w:lineRule="auto"/>
        <w:rPr>
          <w:rFonts w:ascii="Times New Roman" w:hAnsi="Times New Roman" w:cs="Times New Roman"/>
          <w:color w:val="000000"/>
          <w:sz w:val="21"/>
          <w:szCs w:val="21"/>
        </w:rPr>
      </w:pPr>
    </w:p>
    <w:p w14:paraId="3D4F3DDC">
      <w:pPr>
        <w:spacing w:line="276" w:lineRule="auto"/>
        <w:rPr>
          <w:rFonts w:ascii="Times New Roman" w:hAnsi="Times New Roman" w:cs="Times New Roman"/>
          <w:color w:val="000000"/>
          <w:sz w:val="21"/>
          <w:szCs w:val="21"/>
        </w:rPr>
      </w:pPr>
    </w:p>
    <w:p w14:paraId="341BA79F">
      <w:pPr>
        <w:spacing w:line="276" w:lineRule="auto"/>
        <w:rPr>
          <w:rFonts w:ascii="Times New Roman" w:hAnsi="Times New Roman" w:cs="Times New Roman"/>
          <w:color w:val="000000"/>
          <w:sz w:val="21"/>
          <w:szCs w:val="21"/>
        </w:rPr>
      </w:pPr>
    </w:p>
    <w:p w14:paraId="03CA6E84">
      <w:pPr>
        <w:spacing w:line="276" w:lineRule="auto"/>
        <w:rPr>
          <w:rFonts w:ascii="Times New Roman" w:hAnsi="Times New Roman" w:cs="Times New Roman"/>
          <w:color w:val="000000"/>
          <w:sz w:val="21"/>
          <w:szCs w:val="21"/>
        </w:rPr>
      </w:pPr>
    </w:p>
    <w:p w14:paraId="45F0F076">
      <w:pPr>
        <w:spacing w:line="276" w:lineRule="auto"/>
        <w:rPr>
          <w:rFonts w:ascii="Times New Roman" w:hAnsi="Times New Roman" w:cs="Times New Roman"/>
          <w:color w:val="000000"/>
          <w:sz w:val="21"/>
          <w:szCs w:val="21"/>
        </w:rPr>
      </w:pPr>
    </w:p>
    <w:p w14:paraId="74DD1090">
      <w:pPr>
        <w:spacing w:line="276" w:lineRule="auto"/>
        <w:rPr>
          <w:rFonts w:ascii="Times New Roman" w:hAnsi="Times New Roman" w:cs="Times New Roman"/>
          <w:color w:val="000000"/>
          <w:sz w:val="21"/>
          <w:szCs w:val="21"/>
        </w:rPr>
      </w:pPr>
    </w:p>
    <w:p w14:paraId="7A0A17AC">
      <w:pPr>
        <w:spacing w:line="276" w:lineRule="auto"/>
        <w:ind w:firstLine="420"/>
        <w:rPr>
          <w:rFonts w:ascii="Times New Roman" w:hAnsi="Times New Roman" w:cs="Times New Roman"/>
          <w:b/>
          <w:bCs/>
          <w:color w:val="000000"/>
          <w:sz w:val="21"/>
          <w:szCs w:val="21"/>
        </w:rPr>
      </w:pPr>
      <w:r>
        <w:rPr>
          <w:rFonts w:ascii="Times New Roman" w:hAnsi="Times New Roman" w:cs="Times New Roman"/>
          <w:color w:val="000000"/>
          <w:sz w:val="21"/>
          <w:szCs w:val="21"/>
        </w:rPr>
        <w:t>（二）</w:t>
      </w:r>
      <w:r>
        <w:rPr>
          <w:rFonts w:ascii="Times New Roman" w:hAnsi="Times New Roman" w:cs="Times New Roman"/>
          <w:b/>
          <w:bCs/>
          <w:color w:val="000000"/>
          <w:sz w:val="21"/>
          <w:szCs w:val="21"/>
        </w:rPr>
        <w:t>无限制/禁止抵押财产转让约定时的抵押财产转让规则</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127"/>
        <w:gridCol w:w="5153"/>
      </w:tblGrid>
      <w:tr w14:paraId="5F7DB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noWrap w:val="0"/>
            <w:vAlign w:val="center"/>
          </w:tcPr>
          <w:p w14:paraId="7F842DB2">
            <w:pPr>
              <w:spacing w:line="276" w:lineRule="auto"/>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不动产抵押</w:t>
            </w:r>
          </w:p>
        </w:tc>
        <w:tc>
          <w:tcPr>
            <w:tcW w:w="2127" w:type="dxa"/>
            <w:noWrap w:val="0"/>
            <w:vAlign w:val="center"/>
          </w:tcPr>
          <w:p w14:paraId="65A813EC">
            <w:pPr>
              <w:spacing w:line="276" w:lineRule="auto"/>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抵押权已登记</w:t>
            </w:r>
          </w:p>
        </w:tc>
        <w:tc>
          <w:tcPr>
            <w:tcW w:w="5153" w:type="dxa"/>
            <w:noWrap w:val="0"/>
            <w:vAlign w:val="center"/>
          </w:tcPr>
          <w:p w14:paraId="0A98450D">
            <w:pPr>
              <w:spacing w:line="276" w:lineRule="auto"/>
              <w:rPr>
                <w:rFonts w:ascii="Times New Roman" w:hAnsi="Times New Roman" w:cs="Times New Roman"/>
                <w:b/>
                <w:bCs/>
                <w:color w:val="000000"/>
                <w:sz w:val="21"/>
                <w:szCs w:val="21"/>
                <w:u w:val="single"/>
              </w:rPr>
            </w:pPr>
            <w:r>
              <w:rPr>
                <w:rFonts w:ascii="Times New Roman" w:hAnsi="Times New Roman" w:cs="Times New Roman"/>
                <w:b/>
                <w:bCs/>
                <w:color w:val="000000"/>
                <w:sz w:val="21"/>
                <w:szCs w:val="21"/>
                <w:u w:val="single"/>
              </w:rPr>
              <w:t>基于抵押权的追及效力，受让人取得有抵押权负担的抵押财产</w:t>
            </w:r>
          </w:p>
        </w:tc>
      </w:tr>
      <w:tr w14:paraId="03966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noWrap w:val="0"/>
            <w:vAlign w:val="center"/>
          </w:tcPr>
          <w:p w14:paraId="6335C9A9">
            <w:pPr>
              <w:spacing w:line="276" w:lineRule="auto"/>
              <w:jc w:val="center"/>
              <w:rPr>
                <w:rFonts w:ascii="Times New Roman" w:hAnsi="Times New Roman" w:cs="Times New Roman"/>
                <w:b/>
                <w:bCs/>
                <w:color w:val="000000"/>
                <w:sz w:val="21"/>
                <w:szCs w:val="21"/>
              </w:rPr>
            </w:pPr>
          </w:p>
        </w:tc>
        <w:tc>
          <w:tcPr>
            <w:tcW w:w="2127" w:type="dxa"/>
            <w:noWrap w:val="0"/>
            <w:vAlign w:val="center"/>
          </w:tcPr>
          <w:p w14:paraId="29EFCDE2">
            <w:pPr>
              <w:spacing w:line="276" w:lineRule="auto"/>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抵押权未登记（仅指土地经营权抵押）</w:t>
            </w:r>
          </w:p>
        </w:tc>
        <w:tc>
          <w:tcPr>
            <w:tcW w:w="5153" w:type="dxa"/>
            <w:noWrap w:val="0"/>
            <w:vAlign w:val="center"/>
          </w:tcPr>
          <w:p w14:paraId="380F913D">
            <w:pPr>
              <w:spacing w:line="276" w:lineRule="auto"/>
              <w:rPr>
                <w:rFonts w:ascii="Times New Roman" w:hAnsi="Times New Roman" w:cs="Times New Roman"/>
                <w:color w:val="000000"/>
                <w:sz w:val="21"/>
                <w:szCs w:val="21"/>
              </w:rPr>
            </w:pPr>
            <w:r>
              <w:rPr>
                <w:rFonts w:ascii="Times New Roman" w:hAnsi="Times New Roman" w:cs="Times New Roman"/>
                <w:color w:val="000000"/>
                <w:sz w:val="21"/>
                <w:szCs w:val="21"/>
              </w:rPr>
              <w:t>善意的土地经营权受让人取得无抵押权的土地经营权</w:t>
            </w:r>
          </w:p>
        </w:tc>
      </w:tr>
      <w:tr w14:paraId="1328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noWrap w:val="0"/>
            <w:vAlign w:val="center"/>
          </w:tcPr>
          <w:p w14:paraId="6BBC24E2">
            <w:pPr>
              <w:spacing w:line="276" w:lineRule="auto"/>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动产抵押</w:t>
            </w:r>
          </w:p>
        </w:tc>
        <w:tc>
          <w:tcPr>
            <w:tcW w:w="2127" w:type="dxa"/>
            <w:noWrap w:val="0"/>
            <w:vAlign w:val="center"/>
          </w:tcPr>
          <w:p w14:paraId="0526DB57">
            <w:pPr>
              <w:spacing w:line="276" w:lineRule="auto"/>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抵押权已经登记</w:t>
            </w:r>
          </w:p>
        </w:tc>
        <w:tc>
          <w:tcPr>
            <w:tcW w:w="5153" w:type="dxa"/>
            <w:noWrap w:val="0"/>
            <w:vAlign w:val="center"/>
          </w:tcPr>
          <w:p w14:paraId="7BD941AC">
            <w:pPr>
              <w:spacing w:line="276" w:lineRule="auto"/>
              <w:rPr>
                <w:rFonts w:ascii="Times New Roman" w:hAnsi="Times New Roman" w:cs="Times New Roman"/>
                <w:color w:val="000000"/>
                <w:sz w:val="21"/>
                <w:szCs w:val="21"/>
              </w:rPr>
            </w:pPr>
            <w:r>
              <w:rPr>
                <w:rFonts w:ascii="Times New Roman" w:hAnsi="Times New Roman" w:cs="Times New Roman"/>
                <w:color w:val="000000"/>
                <w:sz w:val="21"/>
                <w:szCs w:val="21"/>
              </w:rPr>
              <w:t>原则上基于抵押权的追及效力，受让人取得有抵押权负担的抵押财产，</w:t>
            </w:r>
            <w:r>
              <w:rPr>
                <w:rFonts w:ascii="Times New Roman" w:hAnsi="Times New Roman" w:cs="Times New Roman"/>
                <w:b/>
                <w:bCs/>
                <w:color w:val="000000"/>
                <w:sz w:val="21"/>
                <w:szCs w:val="21"/>
                <w:u w:val="single"/>
              </w:rPr>
              <w:t>但买受人构成正常经营活动买受人时，取得无抵押权负担的动产所有权</w:t>
            </w:r>
          </w:p>
        </w:tc>
      </w:tr>
      <w:tr w14:paraId="3A836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noWrap w:val="0"/>
            <w:vAlign w:val="top"/>
          </w:tcPr>
          <w:p w14:paraId="2B60C5A2">
            <w:pPr>
              <w:spacing w:line="276" w:lineRule="auto"/>
              <w:rPr>
                <w:rFonts w:ascii="Times New Roman" w:hAnsi="Times New Roman" w:cs="Times New Roman"/>
                <w:b/>
                <w:bCs/>
                <w:color w:val="000000"/>
                <w:sz w:val="21"/>
                <w:szCs w:val="21"/>
              </w:rPr>
            </w:pPr>
          </w:p>
        </w:tc>
        <w:tc>
          <w:tcPr>
            <w:tcW w:w="2127" w:type="dxa"/>
            <w:vMerge w:val="restart"/>
            <w:noWrap w:val="0"/>
            <w:vAlign w:val="center"/>
          </w:tcPr>
          <w:p w14:paraId="5C3B277C">
            <w:pPr>
              <w:spacing w:line="276" w:lineRule="auto"/>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抵押权未登记</w:t>
            </w:r>
          </w:p>
        </w:tc>
        <w:tc>
          <w:tcPr>
            <w:tcW w:w="5153" w:type="dxa"/>
            <w:noWrap w:val="0"/>
            <w:vAlign w:val="center"/>
          </w:tcPr>
          <w:p w14:paraId="4D99CCC4">
            <w:pPr>
              <w:spacing w:line="276" w:lineRule="auto"/>
              <w:rPr>
                <w:rFonts w:ascii="Times New Roman" w:hAnsi="Times New Roman" w:cs="Times New Roman"/>
                <w:color w:val="000000"/>
                <w:sz w:val="21"/>
                <w:szCs w:val="21"/>
              </w:rPr>
            </w:pPr>
            <w:r>
              <w:rPr>
                <w:rFonts w:ascii="Times New Roman" w:hAnsi="Times New Roman" w:cs="Times New Roman"/>
                <w:color w:val="000000"/>
                <w:sz w:val="21"/>
                <w:szCs w:val="21"/>
              </w:rPr>
              <w:t>（1）</w:t>
            </w:r>
            <w:r>
              <w:rPr>
                <w:rFonts w:ascii="Times New Roman" w:hAnsi="Times New Roman" w:cs="Times New Roman"/>
                <w:b/>
                <w:bCs/>
                <w:color w:val="000000"/>
                <w:sz w:val="21"/>
                <w:szCs w:val="21"/>
                <w:u w:val="single"/>
              </w:rPr>
              <w:t>已经取得占有的善意买受人取得无抵押权负担的动产所有权</w:t>
            </w:r>
          </w:p>
        </w:tc>
      </w:tr>
      <w:tr w14:paraId="1EE5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noWrap w:val="0"/>
            <w:vAlign w:val="top"/>
          </w:tcPr>
          <w:p w14:paraId="21E29F5F">
            <w:pPr>
              <w:spacing w:line="276" w:lineRule="auto"/>
              <w:rPr>
                <w:rFonts w:ascii="Times New Roman" w:hAnsi="Times New Roman" w:cs="Times New Roman"/>
                <w:color w:val="000000"/>
                <w:sz w:val="21"/>
                <w:szCs w:val="21"/>
              </w:rPr>
            </w:pPr>
          </w:p>
        </w:tc>
        <w:tc>
          <w:tcPr>
            <w:tcW w:w="2127" w:type="dxa"/>
            <w:vMerge w:val="continue"/>
            <w:noWrap w:val="0"/>
            <w:vAlign w:val="top"/>
          </w:tcPr>
          <w:p w14:paraId="7DC8AB9C">
            <w:pPr>
              <w:spacing w:line="276" w:lineRule="auto"/>
              <w:rPr>
                <w:rFonts w:ascii="Times New Roman" w:hAnsi="Times New Roman" w:cs="Times New Roman"/>
                <w:color w:val="000000"/>
                <w:sz w:val="21"/>
                <w:szCs w:val="21"/>
              </w:rPr>
            </w:pPr>
          </w:p>
        </w:tc>
        <w:tc>
          <w:tcPr>
            <w:tcW w:w="5153" w:type="dxa"/>
            <w:noWrap w:val="0"/>
            <w:vAlign w:val="center"/>
          </w:tcPr>
          <w:p w14:paraId="16076E2B">
            <w:pPr>
              <w:spacing w:line="276" w:lineRule="auto"/>
              <w:rPr>
                <w:rFonts w:ascii="Times New Roman" w:hAnsi="Times New Roman" w:cs="Times New Roman"/>
                <w:color w:val="000000"/>
                <w:sz w:val="21"/>
                <w:szCs w:val="21"/>
              </w:rPr>
            </w:pPr>
            <w:r>
              <w:rPr>
                <w:rFonts w:ascii="Times New Roman" w:hAnsi="Times New Roman" w:cs="Times New Roman"/>
                <w:color w:val="000000"/>
                <w:sz w:val="21"/>
                <w:szCs w:val="21"/>
              </w:rPr>
              <w:t>（2）未取得占有的买受人或者恶意买受人取得有抵押权负担的动产所有权</w:t>
            </w:r>
          </w:p>
        </w:tc>
      </w:tr>
    </w:tbl>
    <w:p w14:paraId="0BFA8B49">
      <w:pPr>
        <w:spacing w:line="276" w:lineRule="auto"/>
        <w:ind w:firstLine="420"/>
        <w:rPr>
          <w:rFonts w:ascii="Times New Roman" w:hAnsi="Times New Roman" w:eastAsia="楷体" w:cs="Times New Roman"/>
          <w:color w:val="000000"/>
          <w:sz w:val="21"/>
          <w:szCs w:val="21"/>
        </w:rPr>
      </w:pPr>
    </w:p>
    <w:p w14:paraId="34B11F1A">
      <w:pPr>
        <w:spacing w:line="276" w:lineRule="auto"/>
        <w:ind w:firstLine="420"/>
        <w:rPr>
          <w:rFonts w:ascii="Times New Roman" w:hAnsi="Times New Roman" w:eastAsia="楷体" w:cs="Times New Roman"/>
          <w:color w:val="000000"/>
          <w:sz w:val="21"/>
          <w:szCs w:val="21"/>
        </w:rPr>
      </w:pPr>
      <w:r>
        <w:rPr>
          <w:rFonts w:ascii="Times New Roman" w:hAnsi="Times New Roman" w:eastAsia="楷体" w:cs="Times New Roman"/>
          <w:color w:val="000000"/>
          <w:sz w:val="21"/>
          <w:szCs w:val="21"/>
        </w:rPr>
        <w:t>特别提醒：</w:t>
      </w:r>
    </w:p>
    <w:p w14:paraId="39D0A058">
      <w:pPr>
        <w:spacing w:line="276" w:lineRule="auto"/>
        <w:ind w:firstLine="420"/>
        <w:rPr>
          <w:rFonts w:ascii="Times New Roman" w:hAnsi="Times New Roman" w:eastAsia="楷体" w:cs="Times New Roman"/>
          <w:color w:val="000000"/>
          <w:sz w:val="21"/>
          <w:szCs w:val="21"/>
        </w:rPr>
      </w:pPr>
      <w:r>
        <w:rPr>
          <w:rFonts w:ascii="Times New Roman" w:hAnsi="Times New Roman" w:eastAsia="楷体" w:cs="Times New Roman"/>
          <w:color w:val="000000"/>
          <w:sz w:val="21"/>
          <w:szCs w:val="21"/>
        </w:rPr>
        <w:t>涉及抵押财产的转让问题时，考生不妨遵循以下思维步骤：</w:t>
      </w:r>
    </w:p>
    <w:p w14:paraId="3711EEE7">
      <w:pPr>
        <w:spacing w:line="276" w:lineRule="auto"/>
        <w:ind w:firstLine="420"/>
        <w:rPr>
          <w:rFonts w:ascii="Times New Roman" w:hAnsi="Times New Roman" w:eastAsia="楷体" w:cs="Times New Roman"/>
          <w:color w:val="000000"/>
          <w:sz w:val="21"/>
          <w:szCs w:val="21"/>
        </w:rPr>
      </w:pPr>
      <w:r>
        <w:rPr>
          <w:rFonts w:ascii="Times New Roman" w:hAnsi="Times New Roman" w:eastAsia="楷体" w:cs="Times New Roman"/>
          <w:color w:val="000000"/>
          <w:sz w:val="21"/>
          <w:szCs w:val="21"/>
        </w:rPr>
        <w:t>第一步，</w:t>
      </w:r>
      <w:r>
        <w:rPr>
          <w:rFonts w:ascii="Times New Roman" w:hAnsi="Times New Roman" w:eastAsia="楷体" w:cs="Times New Roman"/>
          <w:color w:val="FF0000"/>
          <w:sz w:val="21"/>
          <w:szCs w:val="21"/>
        </w:rPr>
        <w:t>明确是否存在禁止/限制抵押财产转让约定，并判断其效力。从法考命题规律看，此类约定很少见</w:t>
      </w:r>
      <w:r>
        <w:rPr>
          <w:rFonts w:ascii="Times New Roman" w:hAnsi="Times New Roman" w:eastAsia="楷体" w:cs="Times New Roman"/>
          <w:color w:val="000000"/>
          <w:sz w:val="21"/>
          <w:szCs w:val="21"/>
        </w:rPr>
        <w:t>；</w:t>
      </w:r>
    </w:p>
    <w:p w14:paraId="625CE347">
      <w:pPr>
        <w:spacing w:line="276" w:lineRule="auto"/>
        <w:ind w:firstLine="420"/>
        <w:rPr>
          <w:rFonts w:ascii="Times New Roman" w:hAnsi="Times New Roman" w:eastAsia="楷体" w:cs="Times New Roman"/>
          <w:color w:val="000000"/>
          <w:sz w:val="21"/>
          <w:szCs w:val="21"/>
          <w:highlight w:val="none"/>
        </w:rPr>
      </w:pPr>
      <w:r>
        <w:rPr>
          <w:rFonts w:ascii="Times New Roman" w:hAnsi="Times New Roman" w:eastAsia="楷体" w:cs="Times New Roman"/>
          <w:color w:val="000000"/>
          <w:sz w:val="21"/>
          <w:szCs w:val="21"/>
        </w:rPr>
        <w:t>第二步，如果不存在上述约定，则明确是不动产抵押还是动产抵押，并在此基础上进一步明确抵押权是否已经登记</w:t>
      </w:r>
      <w:r>
        <w:rPr>
          <w:rFonts w:ascii="Times New Roman" w:hAnsi="Times New Roman" w:eastAsia="楷体" w:cs="Times New Roman"/>
          <w:color w:val="000000"/>
          <w:sz w:val="21"/>
          <w:szCs w:val="21"/>
          <w:highlight w:val="none"/>
        </w:rPr>
        <w:t>，在动产抵押/不动产抵押、抵押权已登记/未登记两个维度的区分下确定所适用的规则。</w:t>
      </w:r>
    </w:p>
    <w:p w14:paraId="0A441F5E">
      <w:pPr>
        <w:ind w:firstLine="480"/>
        <w:rPr>
          <w:rFonts w:ascii="Times New Roman" w:hAnsi="Times New Roman" w:cs="Times New Roman"/>
          <w:b/>
          <w:bCs/>
          <w:color w:val="000000"/>
          <w:sz w:val="21"/>
          <w:szCs w:val="21"/>
          <w:highlight w:val="none"/>
        </w:rPr>
      </w:pPr>
    </w:p>
    <w:p w14:paraId="085E1F90">
      <w:pPr>
        <w:ind w:firstLine="480"/>
        <w:rPr>
          <w:rFonts w:ascii="Times New Roman" w:hAnsi="Times New Roman" w:cs="Times New Roman"/>
          <w:b/>
          <w:color w:val="000000"/>
          <w:sz w:val="21"/>
          <w:szCs w:val="21"/>
        </w:rPr>
      </w:pPr>
      <w:r>
        <w:rPr>
          <w:rFonts w:ascii="Times New Roman" w:hAnsi="Times New Roman" w:cs="Times New Roman"/>
          <w:b/>
          <w:bCs/>
          <w:color w:val="000000"/>
          <w:sz w:val="21"/>
          <w:szCs w:val="21"/>
          <w:highlight w:val="none"/>
        </w:rPr>
        <w:t>六、</w:t>
      </w:r>
      <w:r>
        <w:rPr>
          <w:rFonts w:ascii="Times New Roman" w:hAnsi="Times New Roman" w:cs="Times New Roman"/>
          <w:b/>
          <w:color w:val="000000"/>
          <w:sz w:val="21"/>
          <w:szCs w:val="21"/>
          <w:highlight w:val="none"/>
        </w:rPr>
        <w:t>抵押权</w:t>
      </w:r>
      <w:r>
        <w:rPr>
          <w:rFonts w:hint="eastAsia" w:ascii="Times New Roman" w:hAnsi="Times New Roman" w:cs="Times New Roman"/>
          <w:b/>
          <w:color w:val="000000"/>
          <w:sz w:val="21"/>
          <w:szCs w:val="21"/>
          <w:highlight w:val="none"/>
        </w:rPr>
        <w:t>及其他担保物权的</w:t>
      </w:r>
      <w:r>
        <w:rPr>
          <w:rFonts w:ascii="Times New Roman" w:hAnsi="Times New Roman" w:cs="Times New Roman"/>
          <w:b/>
          <w:color w:val="000000"/>
          <w:sz w:val="21"/>
          <w:szCs w:val="21"/>
          <w:highlight w:val="none"/>
        </w:rPr>
        <w:t>行</w:t>
      </w:r>
      <w:r>
        <w:rPr>
          <w:rFonts w:ascii="Times New Roman" w:hAnsi="Times New Roman" w:cs="Times New Roman"/>
          <w:b/>
          <w:color w:val="000000"/>
          <w:sz w:val="21"/>
          <w:szCs w:val="21"/>
        </w:rPr>
        <w:t>使期间</w:t>
      </w:r>
    </w:p>
    <w:p w14:paraId="1438CF58">
      <w:pPr>
        <w:ind w:firstLine="480"/>
        <w:rPr>
          <w:rFonts w:ascii="Times New Roman" w:hAnsi="Times New Roman" w:cs="Times New Roman"/>
          <w:b/>
          <w:color w:val="000000"/>
          <w:sz w:val="21"/>
          <w:szCs w:val="21"/>
        </w:rPr>
      </w:pPr>
    </w:p>
    <w:tbl>
      <w:tblPr>
        <w:tblStyle w:val="5"/>
        <w:tblW w:w="8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69"/>
      </w:tblGrid>
      <w:tr w14:paraId="1057E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077" w:type="dxa"/>
            <w:noWrap w:val="0"/>
            <w:vAlign w:val="center"/>
          </w:tcPr>
          <w:p w14:paraId="5579796D">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抵押权</w:t>
            </w:r>
          </w:p>
        </w:tc>
        <w:tc>
          <w:tcPr>
            <w:tcW w:w="4469" w:type="dxa"/>
            <w:vMerge w:val="restart"/>
            <w:noWrap w:val="0"/>
            <w:vAlign w:val="center"/>
          </w:tcPr>
          <w:p w14:paraId="76816369">
            <w:pPr>
              <w:rPr>
                <w:rFonts w:ascii="Times New Roman" w:hAnsi="Times New Roman" w:cs="Times New Roman"/>
                <w:color w:val="000000"/>
                <w:sz w:val="21"/>
                <w:szCs w:val="21"/>
              </w:rPr>
            </w:pPr>
            <w:r>
              <w:rPr>
                <w:rFonts w:ascii="Times New Roman" w:hAnsi="Times New Roman" w:cs="Times New Roman"/>
                <w:b/>
                <w:bCs/>
                <w:color w:val="000000"/>
                <w:sz w:val="21"/>
                <w:szCs w:val="21"/>
                <w:u w:val="single"/>
              </w:rPr>
              <w:t>主债权诉讼时效期间</w:t>
            </w:r>
            <w:r>
              <w:rPr>
                <w:rFonts w:ascii="Times New Roman" w:hAnsi="Times New Roman" w:cs="Times New Roman"/>
                <w:color w:val="000000"/>
                <w:sz w:val="21"/>
                <w:szCs w:val="21"/>
              </w:rPr>
              <w:t>，未在此期间内行使的，抵押权消灭，担保人有权请求涂销抵押权登记或权利质权登记</w:t>
            </w:r>
          </w:p>
        </w:tc>
      </w:tr>
      <w:tr w14:paraId="2934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077" w:type="dxa"/>
            <w:noWrap w:val="0"/>
            <w:vAlign w:val="center"/>
          </w:tcPr>
          <w:p w14:paraId="133729F3">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以登记作为公示方式的权利质权</w:t>
            </w:r>
          </w:p>
        </w:tc>
        <w:tc>
          <w:tcPr>
            <w:tcW w:w="4469" w:type="dxa"/>
            <w:vMerge w:val="continue"/>
            <w:noWrap w:val="0"/>
            <w:vAlign w:val="center"/>
          </w:tcPr>
          <w:p w14:paraId="7DF21401">
            <w:pPr>
              <w:rPr>
                <w:rFonts w:ascii="Times New Roman" w:hAnsi="Times New Roman" w:cs="Times New Roman"/>
                <w:color w:val="000000"/>
                <w:sz w:val="21"/>
                <w:szCs w:val="21"/>
              </w:rPr>
            </w:pPr>
          </w:p>
        </w:tc>
      </w:tr>
      <w:tr w14:paraId="1CA3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077" w:type="dxa"/>
            <w:noWrap w:val="0"/>
            <w:vAlign w:val="center"/>
          </w:tcPr>
          <w:p w14:paraId="511F175A">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动产质权</w:t>
            </w:r>
          </w:p>
        </w:tc>
        <w:tc>
          <w:tcPr>
            <w:tcW w:w="4469" w:type="dxa"/>
            <w:vMerge w:val="restart"/>
            <w:noWrap w:val="0"/>
            <w:vAlign w:val="center"/>
          </w:tcPr>
          <w:p w14:paraId="3CF0BBAB">
            <w:pPr>
              <w:rPr>
                <w:rFonts w:ascii="Times New Roman" w:hAnsi="Times New Roman" w:cs="Times New Roman"/>
                <w:color w:val="000000"/>
                <w:sz w:val="21"/>
                <w:szCs w:val="21"/>
              </w:rPr>
            </w:pPr>
            <w:r>
              <w:rPr>
                <w:rFonts w:ascii="Times New Roman" w:hAnsi="Times New Roman" w:cs="Times New Roman"/>
                <w:b/>
                <w:bCs/>
                <w:color w:val="000000"/>
                <w:sz w:val="21"/>
                <w:szCs w:val="21"/>
                <w:u w:val="single"/>
              </w:rPr>
              <w:t>不受主债权诉讼时效期间的限制</w:t>
            </w:r>
            <w:r>
              <w:rPr>
                <w:rFonts w:ascii="Times New Roman" w:hAnsi="Times New Roman" w:cs="Times New Roman"/>
                <w:color w:val="000000"/>
                <w:sz w:val="21"/>
                <w:szCs w:val="21"/>
              </w:rPr>
              <w:t>，超过此期间仍可行使</w:t>
            </w:r>
          </w:p>
        </w:tc>
      </w:tr>
      <w:tr w14:paraId="25E53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077" w:type="dxa"/>
            <w:noWrap w:val="0"/>
            <w:vAlign w:val="center"/>
          </w:tcPr>
          <w:p w14:paraId="5B34D5F5">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以交付权利凭证作为公示方式的权利质权</w:t>
            </w:r>
          </w:p>
        </w:tc>
        <w:tc>
          <w:tcPr>
            <w:tcW w:w="4469" w:type="dxa"/>
            <w:vMerge w:val="continue"/>
            <w:noWrap w:val="0"/>
            <w:vAlign w:val="top"/>
          </w:tcPr>
          <w:p w14:paraId="797B53DA">
            <w:pPr>
              <w:rPr>
                <w:rFonts w:ascii="Times New Roman" w:hAnsi="Times New Roman" w:cs="Times New Roman"/>
                <w:b/>
                <w:color w:val="000000"/>
                <w:sz w:val="21"/>
                <w:szCs w:val="21"/>
              </w:rPr>
            </w:pPr>
          </w:p>
        </w:tc>
      </w:tr>
      <w:tr w14:paraId="6AB96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077" w:type="dxa"/>
            <w:noWrap w:val="0"/>
            <w:vAlign w:val="center"/>
          </w:tcPr>
          <w:p w14:paraId="0BEB1D1E">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留置权</w:t>
            </w:r>
          </w:p>
        </w:tc>
        <w:tc>
          <w:tcPr>
            <w:tcW w:w="4469" w:type="dxa"/>
            <w:vMerge w:val="continue"/>
            <w:noWrap w:val="0"/>
            <w:vAlign w:val="top"/>
          </w:tcPr>
          <w:p w14:paraId="58308820">
            <w:pPr>
              <w:rPr>
                <w:rFonts w:ascii="Times New Roman" w:hAnsi="Times New Roman" w:cs="Times New Roman"/>
                <w:b/>
                <w:color w:val="000000"/>
                <w:sz w:val="21"/>
                <w:szCs w:val="21"/>
              </w:rPr>
            </w:pPr>
          </w:p>
        </w:tc>
      </w:tr>
    </w:tbl>
    <w:p w14:paraId="694BE435">
      <w:pPr>
        <w:spacing w:line="276" w:lineRule="auto"/>
        <w:rPr>
          <w:rFonts w:ascii="Times New Roman" w:hAnsi="Times New Roman" w:cs="Times New Roman"/>
          <w:color w:val="000000"/>
          <w:sz w:val="21"/>
          <w:szCs w:val="21"/>
        </w:rPr>
      </w:pPr>
    </w:p>
    <w:p w14:paraId="07BF7D85">
      <w:pPr>
        <w:ind w:firstLine="480"/>
        <w:rPr>
          <w:rFonts w:ascii="Times New Roman" w:hAnsi="Times New Roman" w:cs="Times New Roman"/>
          <w:b/>
          <w:color w:val="000000"/>
          <w:sz w:val="21"/>
          <w:szCs w:val="21"/>
        </w:rPr>
      </w:pPr>
      <w:r>
        <w:rPr>
          <w:rFonts w:ascii="Times New Roman" w:hAnsi="Times New Roman" w:cs="Times New Roman"/>
          <w:b/>
          <w:color w:val="000000"/>
          <w:sz w:val="21"/>
          <w:szCs w:val="21"/>
        </w:rPr>
        <w:t>七、浮动抵押与最高额抵押</w:t>
      </w:r>
    </w:p>
    <w:p w14:paraId="181216EB">
      <w:pPr>
        <w:ind w:firstLine="480"/>
        <w:rPr>
          <w:rFonts w:ascii="Times New Roman" w:hAnsi="Times New Roman" w:cs="Times New Roman"/>
          <w:b/>
          <w:color w:val="000000"/>
          <w:sz w:val="21"/>
          <w:szCs w:val="21"/>
        </w:rPr>
      </w:pPr>
    </w:p>
    <w:p w14:paraId="33D8E37D">
      <w:pPr>
        <w:ind w:firstLine="480"/>
        <w:rPr>
          <w:rFonts w:ascii="Times New Roman" w:hAnsi="Times New Roman" w:cs="Times New Roman"/>
          <w:b/>
          <w:color w:val="000000"/>
          <w:sz w:val="21"/>
          <w:szCs w:val="21"/>
        </w:rPr>
      </w:pPr>
      <w:r>
        <w:rPr>
          <w:rFonts w:ascii="Times New Roman" w:hAnsi="Times New Roman" w:cs="Times New Roman"/>
          <w:b/>
          <w:color w:val="000000"/>
          <w:sz w:val="21"/>
          <w:szCs w:val="21"/>
        </w:rPr>
        <w:t>（一）浮动抵押</w:t>
      </w:r>
    </w:p>
    <w:p w14:paraId="2FA9D933">
      <w:pPr>
        <w:ind w:firstLine="480"/>
        <w:rPr>
          <w:rFonts w:ascii="Times New Roman" w:hAnsi="Times New Roman" w:cs="Times New Roman"/>
          <w:b/>
          <w:color w:val="000000"/>
          <w:sz w:val="21"/>
          <w:szCs w:val="21"/>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138"/>
      </w:tblGrid>
      <w:tr w14:paraId="0084E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14:paraId="1CB5D284">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概念</w:t>
            </w:r>
          </w:p>
        </w:tc>
        <w:tc>
          <w:tcPr>
            <w:tcW w:w="7138" w:type="dxa"/>
            <w:noWrap w:val="0"/>
            <w:vAlign w:val="top"/>
          </w:tcPr>
          <w:p w14:paraId="02F95BB0">
            <w:pPr>
              <w:rPr>
                <w:rFonts w:ascii="Times New Roman" w:hAnsi="Times New Roman" w:cs="Times New Roman"/>
                <w:color w:val="000000"/>
                <w:sz w:val="21"/>
                <w:szCs w:val="21"/>
              </w:rPr>
            </w:pPr>
            <w:r>
              <w:rPr>
                <w:rFonts w:ascii="Times New Roman" w:hAnsi="Times New Roman" w:cs="Times New Roman"/>
                <w:color w:val="000000"/>
                <w:sz w:val="21"/>
                <w:szCs w:val="21"/>
              </w:rPr>
              <w:t>作为抵押人的经营者与抵押权人约定，以其现有的和将有的所有经营性动产作为一个集合客体并在其上设立抵押权，在债务人不履行到期债务时，债权人有权对实现抵押权时的动产行使变价和优先受偿的权利</w:t>
            </w:r>
          </w:p>
        </w:tc>
      </w:tr>
      <w:tr w14:paraId="2CBE1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noWrap w:val="0"/>
            <w:vAlign w:val="center"/>
          </w:tcPr>
          <w:p w14:paraId="23DBA34D">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法律特征</w:t>
            </w:r>
          </w:p>
        </w:tc>
        <w:tc>
          <w:tcPr>
            <w:tcW w:w="7138" w:type="dxa"/>
            <w:noWrap w:val="0"/>
            <w:vAlign w:val="top"/>
          </w:tcPr>
          <w:p w14:paraId="43633383">
            <w:pPr>
              <w:rPr>
                <w:rFonts w:ascii="Times New Roman" w:hAnsi="Times New Roman" w:cs="Times New Roman"/>
                <w:color w:val="000000"/>
                <w:sz w:val="21"/>
                <w:szCs w:val="21"/>
              </w:rPr>
            </w:pPr>
            <w:r>
              <w:rPr>
                <w:rFonts w:ascii="Times New Roman" w:hAnsi="Times New Roman" w:cs="Times New Roman"/>
                <w:color w:val="000000"/>
                <w:sz w:val="21"/>
                <w:szCs w:val="21"/>
              </w:rPr>
              <w:t>（1）能够作为抵押人在自己的财产上设立浮动抵押权的必须是企业、个体工商户、农业生产经营者等经营者，</w:t>
            </w:r>
            <w:r>
              <w:rPr>
                <w:rFonts w:ascii="Times New Roman" w:hAnsi="Times New Roman" w:cs="Times New Roman"/>
                <w:b/>
                <w:bCs/>
                <w:color w:val="000000"/>
                <w:sz w:val="21"/>
                <w:szCs w:val="21"/>
                <w:u w:val="single"/>
              </w:rPr>
              <w:t>非经营者不得为他人设立浮动抵押权</w:t>
            </w:r>
          </w:p>
        </w:tc>
      </w:tr>
      <w:tr w14:paraId="2335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top"/>
          </w:tcPr>
          <w:p w14:paraId="10B08EBB">
            <w:pPr>
              <w:rPr>
                <w:rFonts w:ascii="Times New Roman" w:hAnsi="Times New Roman" w:cs="Times New Roman"/>
                <w:b/>
                <w:color w:val="000000"/>
                <w:sz w:val="21"/>
                <w:szCs w:val="21"/>
              </w:rPr>
            </w:pPr>
          </w:p>
        </w:tc>
        <w:tc>
          <w:tcPr>
            <w:tcW w:w="7138" w:type="dxa"/>
            <w:noWrap w:val="0"/>
            <w:vAlign w:val="top"/>
          </w:tcPr>
          <w:p w14:paraId="4A174AB6">
            <w:pPr>
              <w:rPr>
                <w:rFonts w:ascii="Times New Roman" w:hAnsi="Times New Roman" w:cs="Times New Roman"/>
                <w:color w:val="000000"/>
                <w:sz w:val="21"/>
                <w:szCs w:val="21"/>
              </w:rPr>
            </w:pPr>
            <w:r>
              <w:rPr>
                <w:rFonts w:ascii="Times New Roman" w:hAnsi="Times New Roman" w:cs="Times New Roman"/>
                <w:color w:val="000000"/>
                <w:sz w:val="21"/>
                <w:szCs w:val="21"/>
              </w:rPr>
              <w:t>（2）抵押财产是抵押人现有的以及将有的生产设备、原材料、半成品、产品等动产，</w:t>
            </w:r>
            <w:r>
              <w:rPr>
                <w:rFonts w:ascii="Times New Roman" w:hAnsi="Times New Roman" w:cs="Times New Roman"/>
                <w:b/>
                <w:bCs/>
                <w:color w:val="000000"/>
                <w:sz w:val="21"/>
                <w:szCs w:val="21"/>
                <w:u w:val="single"/>
              </w:rPr>
              <w:t>抵押财产处于不断变化之中</w:t>
            </w:r>
          </w:p>
        </w:tc>
      </w:tr>
      <w:tr w14:paraId="120BF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14:paraId="14E6BD81">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抵押权设立</w:t>
            </w:r>
          </w:p>
        </w:tc>
        <w:tc>
          <w:tcPr>
            <w:tcW w:w="7138" w:type="dxa"/>
            <w:noWrap w:val="0"/>
            <w:vAlign w:val="top"/>
          </w:tcPr>
          <w:p w14:paraId="447475FB">
            <w:pPr>
              <w:rPr>
                <w:rFonts w:ascii="Times New Roman" w:hAnsi="Times New Roman" w:cs="Times New Roman"/>
                <w:color w:val="000000"/>
                <w:sz w:val="21"/>
                <w:szCs w:val="21"/>
              </w:rPr>
            </w:pPr>
            <w:r>
              <w:rPr>
                <w:rFonts w:ascii="Times New Roman" w:hAnsi="Times New Roman" w:cs="Times New Roman"/>
                <w:color w:val="000000"/>
                <w:sz w:val="21"/>
                <w:szCs w:val="21"/>
              </w:rPr>
              <w:t>与普通的动产抵押相同，</w:t>
            </w:r>
            <w:r>
              <w:rPr>
                <w:rFonts w:ascii="Times New Roman" w:hAnsi="Times New Roman" w:cs="Times New Roman"/>
                <w:b/>
                <w:bCs/>
                <w:color w:val="000000"/>
                <w:sz w:val="21"/>
                <w:szCs w:val="21"/>
                <w:u w:val="single"/>
              </w:rPr>
              <w:t>抵押权自抵押合同生效时设立，未登记不得对抗善意第三人</w:t>
            </w:r>
          </w:p>
        </w:tc>
      </w:tr>
      <w:tr w14:paraId="577EB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noWrap w:val="0"/>
            <w:vAlign w:val="center"/>
          </w:tcPr>
          <w:p w14:paraId="5F8F1FB5">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抵押财产确定的情形</w:t>
            </w:r>
          </w:p>
        </w:tc>
        <w:tc>
          <w:tcPr>
            <w:tcW w:w="7138" w:type="dxa"/>
            <w:noWrap w:val="0"/>
            <w:vAlign w:val="top"/>
          </w:tcPr>
          <w:p w14:paraId="00A851B4">
            <w:pPr>
              <w:rPr>
                <w:rFonts w:ascii="Times New Roman" w:hAnsi="Times New Roman" w:cs="Times New Roman"/>
                <w:color w:val="000000"/>
                <w:sz w:val="21"/>
                <w:szCs w:val="21"/>
              </w:rPr>
            </w:pPr>
            <w:r>
              <w:rPr>
                <w:rFonts w:ascii="Times New Roman" w:hAnsi="Times New Roman" w:cs="Times New Roman"/>
                <w:color w:val="000000"/>
                <w:sz w:val="21"/>
                <w:szCs w:val="21"/>
              </w:rPr>
              <w:t>（1）债务履行期限届满,债权未实现</w:t>
            </w:r>
          </w:p>
        </w:tc>
      </w:tr>
      <w:tr w14:paraId="00B10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top"/>
          </w:tcPr>
          <w:p w14:paraId="1CEA2AC6">
            <w:pPr>
              <w:rPr>
                <w:rFonts w:ascii="Times New Roman" w:hAnsi="Times New Roman" w:cs="Times New Roman"/>
                <w:b/>
                <w:color w:val="000000"/>
                <w:sz w:val="21"/>
                <w:szCs w:val="21"/>
              </w:rPr>
            </w:pPr>
          </w:p>
        </w:tc>
        <w:tc>
          <w:tcPr>
            <w:tcW w:w="7138" w:type="dxa"/>
            <w:noWrap w:val="0"/>
            <w:vAlign w:val="top"/>
          </w:tcPr>
          <w:p w14:paraId="2D776433">
            <w:pPr>
              <w:rPr>
                <w:rFonts w:ascii="Times New Roman" w:hAnsi="Times New Roman" w:cs="Times New Roman"/>
                <w:color w:val="000000"/>
                <w:sz w:val="21"/>
                <w:szCs w:val="21"/>
              </w:rPr>
            </w:pPr>
            <w:r>
              <w:rPr>
                <w:rFonts w:ascii="Times New Roman" w:hAnsi="Times New Roman" w:cs="Times New Roman"/>
                <w:color w:val="000000"/>
                <w:sz w:val="21"/>
                <w:szCs w:val="21"/>
              </w:rPr>
              <w:t>（2）抵押人被宣告破产或者解散清算</w:t>
            </w:r>
          </w:p>
        </w:tc>
      </w:tr>
      <w:tr w14:paraId="71F63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top"/>
          </w:tcPr>
          <w:p w14:paraId="59D5F201">
            <w:pPr>
              <w:rPr>
                <w:rFonts w:ascii="Times New Roman" w:hAnsi="Times New Roman" w:cs="Times New Roman"/>
                <w:b/>
                <w:color w:val="000000"/>
                <w:sz w:val="21"/>
                <w:szCs w:val="21"/>
              </w:rPr>
            </w:pPr>
          </w:p>
        </w:tc>
        <w:tc>
          <w:tcPr>
            <w:tcW w:w="7138" w:type="dxa"/>
            <w:noWrap w:val="0"/>
            <w:vAlign w:val="top"/>
          </w:tcPr>
          <w:p w14:paraId="27DAD38F">
            <w:pPr>
              <w:rPr>
                <w:rFonts w:ascii="Times New Roman" w:hAnsi="Times New Roman" w:cs="Times New Roman"/>
                <w:color w:val="000000"/>
                <w:sz w:val="21"/>
                <w:szCs w:val="21"/>
              </w:rPr>
            </w:pPr>
            <w:r>
              <w:rPr>
                <w:rFonts w:ascii="Times New Roman" w:hAnsi="Times New Roman" w:cs="Times New Roman"/>
                <w:color w:val="000000"/>
                <w:sz w:val="21"/>
                <w:szCs w:val="21"/>
              </w:rPr>
              <w:t>（3）当事人约定的实现抵押权的情形</w:t>
            </w:r>
          </w:p>
        </w:tc>
      </w:tr>
      <w:tr w14:paraId="14715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top"/>
          </w:tcPr>
          <w:p w14:paraId="145A3AFF">
            <w:pPr>
              <w:rPr>
                <w:rFonts w:ascii="Times New Roman" w:hAnsi="Times New Roman" w:cs="Times New Roman"/>
                <w:b/>
                <w:color w:val="000000"/>
                <w:sz w:val="21"/>
                <w:szCs w:val="21"/>
              </w:rPr>
            </w:pPr>
          </w:p>
        </w:tc>
        <w:tc>
          <w:tcPr>
            <w:tcW w:w="7138" w:type="dxa"/>
            <w:noWrap w:val="0"/>
            <w:vAlign w:val="top"/>
          </w:tcPr>
          <w:p w14:paraId="1765A3AF">
            <w:pPr>
              <w:rPr>
                <w:rFonts w:ascii="Times New Roman" w:hAnsi="Times New Roman" w:cs="Times New Roman"/>
                <w:color w:val="000000"/>
                <w:sz w:val="21"/>
                <w:szCs w:val="21"/>
              </w:rPr>
            </w:pPr>
            <w:r>
              <w:rPr>
                <w:rFonts w:ascii="Times New Roman" w:hAnsi="Times New Roman" w:cs="Times New Roman"/>
                <w:color w:val="000000"/>
                <w:sz w:val="21"/>
                <w:szCs w:val="21"/>
              </w:rPr>
              <w:t>（4）严重影响债权实现的其他情形</w:t>
            </w:r>
          </w:p>
        </w:tc>
      </w:tr>
    </w:tbl>
    <w:p w14:paraId="71FD08EA">
      <w:pPr>
        <w:ind w:firstLine="480"/>
        <w:rPr>
          <w:rFonts w:ascii="Times New Roman" w:hAnsi="Times New Roman" w:cs="Times New Roman"/>
          <w:color w:val="000000"/>
          <w:sz w:val="21"/>
          <w:szCs w:val="21"/>
        </w:rPr>
      </w:pPr>
    </w:p>
    <w:p w14:paraId="51414597">
      <w:pPr>
        <w:ind w:firstLine="480"/>
        <w:rPr>
          <w:rFonts w:ascii="Times New Roman" w:hAnsi="Times New Roman" w:cs="Times New Roman"/>
          <w:b/>
          <w:color w:val="000000"/>
          <w:sz w:val="21"/>
          <w:szCs w:val="21"/>
        </w:rPr>
      </w:pPr>
      <w:r>
        <w:rPr>
          <w:rFonts w:ascii="Times New Roman" w:hAnsi="Times New Roman" w:cs="Times New Roman"/>
          <w:b/>
          <w:color w:val="000000"/>
          <w:sz w:val="21"/>
          <w:szCs w:val="21"/>
        </w:rPr>
        <w:t>（二）最高额抵押权</w:t>
      </w:r>
    </w:p>
    <w:p w14:paraId="098A43F0">
      <w:pPr>
        <w:ind w:firstLine="480"/>
        <w:rPr>
          <w:rFonts w:ascii="Times New Roman" w:hAnsi="Times New Roman" w:cs="Times New Roman"/>
          <w:b/>
          <w:color w:val="000000"/>
          <w:sz w:val="21"/>
          <w:szCs w:val="21"/>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713"/>
      </w:tblGrid>
      <w:tr w14:paraId="06A30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center"/>
          </w:tcPr>
          <w:p w14:paraId="5CF5845F">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概念</w:t>
            </w:r>
          </w:p>
        </w:tc>
        <w:tc>
          <w:tcPr>
            <w:tcW w:w="6713" w:type="dxa"/>
            <w:noWrap w:val="0"/>
            <w:vAlign w:val="top"/>
          </w:tcPr>
          <w:p w14:paraId="789BB045">
            <w:pPr>
              <w:rPr>
                <w:rFonts w:ascii="Times New Roman" w:hAnsi="Times New Roman" w:cs="Times New Roman"/>
                <w:color w:val="000000"/>
                <w:sz w:val="21"/>
                <w:szCs w:val="21"/>
              </w:rPr>
            </w:pPr>
            <w:r>
              <w:rPr>
                <w:rFonts w:ascii="Times New Roman" w:hAnsi="Times New Roman" w:cs="Times New Roman"/>
                <w:color w:val="000000"/>
                <w:sz w:val="21"/>
                <w:szCs w:val="21"/>
              </w:rPr>
              <w:t>抵押人与抵押权人约定，在一最高债权限额内，以抵押物的价值对一定期间内连续发生的债权作担保而设立抵押</w:t>
            </w:r>
          </w:p>
        </w:tc>
      </w:tr>
      <w:tr w14:paraId="0D3EF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noWrap w:val="0"/>
            <w:vAlign w:val="center"/>
          </w:tcPr>
          <w:p w14:paraId="4CFCD501">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法律特征</w:t>
            </w:r>
          </w:p>
        </w:tc>
        <w:tc>
          <w:tcPr>
            <w:tcW w:w="6713" w:type="dxa"/>
            <w:noWrap w:val="0"/>
            <w:vAlign w:val="top"/>
          </w:tcPr>
          <w:p w14:paraId="4D422759">
            <w:pPr>
              <w:rPr>
                <w:rFonts w:ascii="Times New Roman" w:hAnsi="Times New Roman" w:cs="Times New Roman"/>
                <w:color w:val="000000"/>
                <w:sz w:val="21"/>
                <w:szCs w:val="21"/>
              </w:rPr>
            </w:pPr>
            <w:r>
              <w:rPr>
                <w:rFonts w:ascii="Times New Roman" w:hAnsi="Times New Roman" w:cs="Times New Roman"/>
                <w:color w:val="000000"/>
                <w:sz w:val="21"/>
                <w:szCs w:val="21"/>
              </w:rPr>
              <w:t>（1）</w:t>
            </w:r>
            <w:r>
              <w:rPr>
                <w:rFonts w:ascii="Times New Roman" w:hAnsi="Times New Roman" w:cs="Times New Roman"/>
                <w:b/>
                <w:bCs/>
                <w:color w:val="000000"/>
                <w:sz w:val="21"/>
                <w:szCs w:val="21"/>
                <w:u w:val="single"/>
              </w:rPr>
              <w:t>被担保的债权是一定期间内连续发生的债权</w:t>
            </w:r>
          </w:p>
        </w:tc>
      </w:tr>
      <w:tr w14:paraId="52B5D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noWrap w:val="0"/>
            <w:vAlign w:val="top"/>
          </w:tcPr>
          <w:p w14:paraId="441136CB">
            <w:pPr>
              <w:rPr>
                <w:rFonts w:ascii="Times New Roman" w:hAnsi="Times New Roman" w:cs="Times New Roman"/>
                <w:b/>
                <w:bCs/>
                <w:color w:val="000000"/>
                <w:sz w:val="21"/>
                <w:szCs w:val="21"/>
              </w:rPr>
            </w:pPr>
          </w:p>
        </w:tc>
        <w:tc>
          <w:tcPr>
            <w:tcW w:w="6713" w:type="dxa"/>
            <w:noWrap w:val="0"/>
            <w:vAlign w:val="top"/>
          </w:tcPr>
          <w:p w14:paraId="3159648B">
            <w:pPr>
              <w:rPr>
                <w:rFonts w:ascii="Times New Roman" w:hAnsi="Times New Roman" w:cs="Times New Roman"/>
                <w:color w:val="000000"/>
                <w:sz w:val="21"/>
                <w:szCs w:val="21"/>
              </w:rPr>
            </w:pPr>
            <w:r>
              <w:rPr>
                <w:rFonts w:ascii="Times New Roman" w:hAnsi="Times New Roman" w:cs="Times New Roman"/>
                <w:color w:val="000000"/>
                <w:sz w:val="21"/>
                <w:szCs w:val="21"/>
              </w:rPr>
              <w:t>（2）</w:t>
            </w:r>
            <w:r>
              <w:rPr>
                <w:rFonts w:ascii="Times New Roman" w:hAnsi="Times New Roman" w:cs="Times New Roman"/>
                <w:b/>
                <w:bCs/>
                <w:color w:val="000000"/>
                <w:sz w:val="21"/>
                <w:szCs w:val="21"/>
                <w:u w:val="single"/>
              </w:rPr>
              <w:t>存在最高债权额度与期限</w:t>
            </w:r>
          </w:p>
        </w:tc>
      </w:tr>
      <w:tr w14:paraId="771E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noWrap w:val="0"/>
            <w:vAlign w:val="top"/>
          </w:tcPr>
          <w:p w14:paraId="3CD91A2B">
            <w:pPr>
              <w:rPr>
                <w:rFonts w:ascii="Times New Roman" w:hAnsi="Times New Roman" w:cs="Times New Roman"/>
                <w:b/>
                <w:bCs/>
                <w:color w:val="000000"/>
                <w:sz w:val="21"/>
                <w:szCs w:val="21"/>
              </w:rPr>
            </w:pPr>
          </w:p>
        </w:tc>
        <w:tc>
          <w:tcPr>
            <w:tcW w:w="6713" w:type="dxa"/>
            <w:noWrap w:val="0"/>
            <w:vAlign w:val="top"/>
          </w:tcPr>
          <w:p w14:paraId="4CD267F1">
            <w:pPr>
              <w:rPr>
                <w:rFonts w:ascii="Times New Roman" w:hAnsi="Times New Roman" w:cs="Times New Roman"/>
                <w:color w:val="000000"/>
                <w:sz w:val="21"/>
                <w:szCs w:val="21"/>
              </w:rPr>
            </w:pPr>
            <w:r>
              <w:rPr>
                <w:rFonts w:ascii="Times New Roman" w:hAnsi="Times New Roman" w:cs="Times New Roman"/>
                <w:color w:val="000000"/>
                <w:sz w:val="21"/>
                <w:szCs w:val="21"/>
              </w:rPr>
              <w:t>（3）从属性有所松动，即</w:t>
            </w:r>
            <w:r>
              <w:rPr>
                <w:rFonts w:ascii="Times New Roman" w:hAnsi="Times New Roman" w:cs="Times New Roman"/>
                <w:b/>
                <w:bCs/>
                <w:color w:val="FF0000"/>
                <w:sz w:val="21"/>
                <w:szCs w:val="21"/>
                <w:u w:val="single"/>
              </w:rPr>
              <w:t>最高额抵押担保的债权确定前，部分债权转让的，最高额抵押权不得转让</w:t>
            </w:r>
            <w:r>
              <w:rPr>
                <w:rFonts w:ascii="Times New Roman" w:hAnsi="Times New Roman" w:cs="Times New Roman"/>
                <w:color w:val="FF0000"/>
                <w:sz w:val="21"/>
                <w:szCs w:val="21"/>
              </w:rPr>
              <w:t>，</w:t>
            </w:r>
            <w:r>
              <w:rPr>
                <w:rFonts w:ascii="Times New Roman" w:hAnsi="Times New Roman" w:cs="Times New Roman"/>
                <w:color w:val="000000"/>
                <w:sz w:val="21"/>
                <w:szCs w:val="21"/>
              </w:rPr>
              <w:t>但是当事人另有约定的除外</w:t>
            </w:r>
          </w:p>
        </w:tc>
      </w:tr>
      <w:tr w14:paraId="6F43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noWrap w:val="0"/>
            <w:vAlign w:val="center"/>
          </w:tcPr>
          <w:p w14:paraId="3D6DA864">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债权确定的事由</w:t>
            </w:r>
          </w:p>
        </w:tc>
        <w:tc>
          <w:tcPr>
            <w:tcW w:w="6713" w:type="dxa"/>
            <w:noWrap w:val="0"/>
            <w:vAlign w:val="top"/>
          </w:tcPr>
          <w:p w14:paraId="1CA24C02">
            <w:pPr>
              <w:rPr>
                <w:rFonts w:ascii="Times New Roman" w:hAnsi="Times New Roman" w:cs="Times New Roman"/>
                <w:color w:val="000000"/>
                <w:sz w:val="21"/>
                <w:szCs w:val="21"/>
              </w:rPr>
            </w:pPr>
            <w:r>
              <w:rPr>
                <w:rFonts w:ascii="Times New Roman" w:hAnsi="Times New Roman" w:cs="Times New Roman"/>
                <w:color w:val="000000"/>
                <w:sz w:val="21"/>
                <w:szCs w:val="21"/>
              </w:rPr>
              <w:t>（1）约定的债权确定期间届满</w:t>
            </w:r>
          </w:p>
        </w:tc>
      </w:tr>
      <w:tr w14:paraId="75B2B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noWrap w:val="0"/>
            <w:vAlign w:val="top"/>
          </w:tcPr>
          <w:p w14:paraId="48ECFC08">
            <w:pPr>
              <w:rPr>
                <w:rFonts w:ascii="Times New Roman" w:hAnsi="Times New Roman" w:cs="Times New Roman"/>
                <w:b/>
                <w:bCs/>
                <w:color w:val="000000"/>
                <w:sz w:val="21"/>
                <w:szCs w:val="21"/>
              </w:rPr>
            </w:pPr>
          </w:p>
        </w:tc>
        <w:tc>
          <w:tcPr>
            <w:tcW w:w="6713" w:type="dxa"/>
            <w:noWrap w:val="0"/>
            <w:vAlign w:val="top"/>
          </w:tcPr>
          <w:p w14:paraId="0A51ED45">
            <w:pPr>
              <w:rPr>
                <w:rFonts w:ascii="Times New Roman" w:hAnsi="Times New Roman" w:cs="Times New Roman"/>
                <w:color w:val="000000"/>
                <w:sz w:val="21"/>
                <w:szCs w:val="21"/>
              </w:rPr>
            </w:pPr>
            <w:r>
              <w:rPr>
                <w:rFonts w:ascii="Times New Roman" w:hAnsi="Times New Roman" w:cs="Times New Roman"/>
                <w:color w:val="000000"/>
                <w:sz w:val="21"/>
                <w:szCs w:val="21"/>
              </w:rPr>
              <w:t>（2）没有约定债权确定期间或者约定不明确，抵押权人或者抵押人自最高额抵押权设立之日起满二年后请求确定债权</w:t>
            </w:r>
          </w:p>
        </w:tc>
      </w:tr>
      <w:tr w14:paraId="73863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noWrap w:val="0"/>
            <w:vAlign w:val="top"/>
          </w:tcPr>
          <w:p w14:paraId="122AE6EC">
            <w:pPr>
              <w:rPr>
                <w:rFonts w:ascii="Times New Roman" w:hAnsi="Times New Roman" w:cs="Times New Roman"/>
                <w:b/>
                <w:bCs/>
                <w:color w:val="000000"/>
                <w:sz w:val="21"/>
                <w:szCs w:val="21"/>
              </w:rPr>
            </w:pPr>
          </w:p>
        </w:tc>
        <w:tc>
          <w:tcPr>
            <w:tcW w:w="6713" w:type="dxa"/>
            <w:noWrap w:val="0"/>
            <w:vAlign w:val="top"/>
          </w:tcPr>
          <w:p w14:paraId="0595E7B4">
            <w:pPr>
              <w:rPr>
                <w:rFonts w:ascii="Times New Roman" w:hAnsi="Times New Roman" w:cs="Times New Roman"/>
                <w:color w:val="000000"/>
                <w:sz w:val="21"/>
                <w:szCs w:val="21"/>
              </w:rPr>
            </w:pPr>
            <w:r>
              <w:rPr>
                <w:rFonts w:ascii="Times New Roman" w:hAnsi="Times New Roman" w:cs="Times New Roman"/>
                <w:color w:val="000000"/>
                <w:sz w:val="21"/>
                <w:szCs w:val="21"/>
              </w:rPr>
              <w:t>（3）新的债权不可能发生</w:t>
            </w:r>
          </w:p>
        </w:tc>
      </w:tr>
      <w:tr w14:paraId="55BA9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noWrap w:val="0"/>
            <w:vAlign w:val="top"/>
          </w:tcPr>
          <w:p w14:paraId="16A8D456">
            <w:pPr>
              <w:rPr>
                <w:rFonts w:ascii="Times New Roman" w:hAnsi="Times New Roman" w:cs="Times New Roman"/>
                <w:b/>
                <w:bCs/>
                <w:color w:val="000000"/>
                <w:sz w:val="21"/>
                <w:szCs w:val="21"/>
              </w:rPr>
            </w:pPr>
          </w:p>
        </w:tc>
        <w:tc>
          <w:tcPr>
            <w:tcW w:w="6713" w:type="dxa"/>
            <w:noWrap w:val="0"/>
            <w:vAlign w:val="top"/>
          </w:tcPr>
          <w:p w14:paraId="4EC0C068">
            <w:pPr>
              <w:rPr>
                <w:rFonts w:ascii="Times New Roman" w:hAnsi="Times New Roman" w:cs="Times New Roman"/>
                <w:color w:val="000000"/>
                <w:sz w:val="21"/>
                <w:szCs w:val="21"/>
              </w:rPr>
            </w:pPr>
            <w:r>
              <w:rPr>
                <w:rFonts w:ascii="Times New Roman" w:hAnsi="Times New Roman" w:cs="Times New Roman"/>
                <w:color w:val="000000"/>
                <w:sz w:val="21"/>
                <w:szCs w:val="21"/>
              </w:rPr>
              <w:t>（4）抵押权人知道或者应当知道抵押财产被查封、扣押</w:t>
            </w:r>
          </w:p>
        </w:tc>
      </w:tr>
      <w:tr w14:paraId="085C3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noWrap w:val="0"/>
            <w:vAlign w:val="top"/>
          </w:tcPr>
          <w:p w14:paraId="4C19BC64">
            <w:pPr>
              <w:rPr>
                <w:rFonts w:ascii="Times New Roman" w:hAnsi="Times New Roman" w:cs="Times New Roman"/>
                <w:b/>
                <w:bCs/>
                <w:color w:val="000000"/>
                <w:sz w:val="21"/>
                <w:szCs w:val="21"/>
              </w:rPr>
            </w:pPr>
          </w:p>
        </w:tc>
        <w:tc>
          <w:tcPr>
            <w:tcW w:w="6713" w:type="dxa"/>
            <w:noWrap w:val="0"/>
            <w:vAlign w:val="top"/>
          </w:tcPr>
          <w:p w14:paraId="7093C188">
            <w:pPr>
              <w:rPr>
                <w:rFonts w:ascii="Times New Roman" w:hAnsi="Times New Roman" w:cs="Times New Roman"/>
                <w:color w:val="000000"/>
                <w:sz w:val="21"/>
                <w:szCs w:val="21"/>
              </w:rPr>
            </w:pPr>
            <w:r>
              <w:rPr>
                <w:rFonts w:ascii="Times New Roman" w:hAnsi="Times New Roman" w:cs="Times New Roman"/>
                <w:color w:val="000000"/>
                <w:sz w:val="21"/>
                <w:szCs w:val="21"/>
              </w:rPr>
              <w:t>（5）债务人、抵押人被宣告破产或者被撤销</w:t>
            </w:r>
          </w:p>
        </w:tc>
      </w:tr>
    </w:tbl>
    <w:p w14:paraId="1EEE45DF">
      <w:pPr>
        <w:spacing w:line="276" w:lineRule="auto"/>
        <w:rPr>
          <w:rFonts w:ascii="Times New Roman" w:hAnsi="Times New Roman" w:cs="Times New Roman"/>
          <w:color w:val="000000"/>
          <w:sz w:val="21"/>
          <w:szCs w:val="21"/>
        </w:rPr>
      </w:pPr>
    </w:p>
    <w:p w14:paraId="79855F92">
      <w:pPr>
        <w:pStyle w:val="2"/>
        <w:spacing w:line="276" w:lineRule="auto"/>
        <w:jc w:val="center"/>
        <w:rPr>
          <w:rFonts w:ascii="Times New Roman" w:hAnsi="Times New Roman" w:cs="Times New Roman"/>
          <w:bCs w:val="0"/>
          <w:color w:val="000000"/>
          <w:sz w:val="24"/>
          <w:szCs w:val="24"/>
        </w:rPr>
      </w:pPr>
      <w:bookmarkStart w:id="3" w:name="_Toc18321"/>
      <w:r>
        <w:rPr>
          <w:rFonts w:ascii="Times New Roman" w:hAnsi="Times New Roman" w:cs="Times New Roman"/>
          <w:bCs w:val="0"/>
          <w:color w:val="000000"/>
          <w:sz w:val="24"/>
          <w:szCs w:val="24"/>
        </w:rPr>
        <w:t>考点13  动产质权与权利质权</w:t>
      </w:r>
      <w:bookmarkEnd w:id="3"/>
    </w:p>
    <w:p w14:paraId="66B063A8">
      <w:pPr>
        <w:spacing w:line="276" w:lineRule="auto"/>
        <w:ind w:firstLine="422" w:firstLineChars="200"/>
        <w:jc w:val="left"/>
        <w:outlineLvl w:val="1"/>
        <w:rPr>
          <w:rFonts w:ascii="Times New Roman" w:hAnsi="Times New Roman" w:cs="Times New Roman"/>
          <w:b/>
          <w:color w:val="000000"/>
          <w:sz w:val="21"/>
          <w:szCs w:val="21"/>
        </w:rPr>
      </w:pPr>
      <w:r>
        <w:rPr>
          <w:rFonts w:ascii="Times New Roman" w:hAnsi="Times New Roman" w:cs="Times New Roman"/>
          <w:b/>
          <w:color w:val="000000"/>
          <w:sz w:val="21"/>
          <w:szCs w:val="21"/>
        </w:rPr>
        <w:t>一、动产质权的设立</w:t>
      </w:r>
    </w:p>
    <w:p w14:paraId="29075D07">
      <w:pPr>
        <w:spacing w:line="276" w:lineRule="auto"/>
        <w:ind w:firstLine="422" w:firstLineChars="200"/>
        <w:jc w:val="left"/>
        <w:outlineLvl w:val="1"/>
        <w:rPr>
          <w:rFonts w:ascii="Times New Roman" w:hAnsi="Times New Roman" w:cs="Times New Roman"/>
          <w:b/>
          <w:color w:val="000000"/>
          <w:sz w:val="21"/>
          <w:szCs w:val="21"/>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4"/>
        <w:gridCol w:w="6287"/>
      </w:tblGrid>
      <w:tr w14:paraId="7EFCF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noWrap w:val="0"/>
            <w:vAlign w:val="center"/>
          </w:tcPr>
          <w:p w14:paraId="0F96B1B6">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质押合同</w:t>
            </w:r>
          </w:p>
        </w:tc>
        <w:tc>
          <w:tcPr>
            <w:tcW w:w="1134" w:type="dxa"/>
            <w:noWrap w:val="0"/>
            <w:vAlign w:val="top"/>
          </w:tcPr>
          <w:p w14:paraId="5A2F9303">
            <w:pPr>
              <w:rPr>
                <w:rFonts w:ascii="Times New Roman" w:hAnsi="Times New Roman" w:cs="Times New Roman"/>
                <w:b/>
                <w:bCs/>
                <w:color w:val="000000"/>
                <w:sz w:val="21"/>
                <w:szCs w:val="21"/>
              </w:rPr>
            </w:pPr>
            <w:r>
              <w:rPr>
                <w:rFonts w:ascii="Times New Roman" w:hAnsi="Times New Roman" w:cs="Times New Roman"/>
                <w:b/>
                <w:bCs/>
                <w:color w:val="000000"/>
                <w:sz w:val="21"/>
                <w:szCs w:val="21"/>
              </w:rPr>
              <w:t>生效时点</w:t>
            </w:r>
          </w:p>
        </w:tc>
        <w:tc>
          <w:tcPr>
            <w:tcW w:w="6287" w:type="dxa"/>
            <w:noWrap w:val="0"/>
            <w:vAlign w:val="top"/>
          </w:tcPr>
          <w:p w14:paraId="32576579">
            <w:pPr>
              <w:rPr>
                <w:rFonts w:ascii="Times New Roman" w:hAnsi="Times New Roman" w:cs="Times New Roman"/>
                <w:color w:val="000000"/>
                <w:sz w:val="21"/>
                <w:szCs w:val="21"/>
              </w:rPr>
            </w:pPr>
            <w:r>
              <w:rPr>
                <w:rFonts w:ascii="Times New Roman" w:hAnsi="Times New Roman" w:cs="Times New Roman"/>
                <w:color w:val="000000"/>
                <w:sz w:val="21"/>
                <w:szCs w:val="21"/>
              </w:rPr>
              <w:t>原则上自成立时生效，</w:t>
            </w:r>
            <w:r>
              <w:rPr>
                <w:rFonts w:ascii="Times New Roman" w:hAnsi="Times New Roman" w:cs="Times New Roman"/>
                <w:b/>
                <w:bCs/>
                <w:color w:val="000000"/>
                <w:sz w:val="21"/>
                <w:szCs w:val="21"/>
                <w:u w:val="single"/>
              </w:rPr>
              <w:t>是否交付不影响质押合同的效力</w:t>
            </w:r>
          </w:p>
        </w:tc>
      </w:tr>
      <w:tr w14:paraId="2E24F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center"/>
          </w:tcPr>
          <w:p w14:paraId="429356F9">
            <w:pPr>
              <w:jc w:val="center"/>
              <w:rPr>
                <w:rFonts w:ascii="Times New Roman" w:hAnsi="Times New Roman" w:cs="Times New Roman"/>
                <w:b/>
                <w:bCs/>
                <w:color w:val="000000"/>
                <w:sz w:val="21"/>
                <w:szCs w:val="21"/>
              </w:rPr>
            </w:pPr>
          </w:p>
        </w:tc>
        <w:tc>
          <w:tcPr>
            <w:tcW w:w="1134" w:type="dxa"/>
            <w:noWrap w:val="0"/>
            <w:vAlign w:val="top"/>
          </w:tcPr>
          <w:p w14:paraId="5B314E99">
            <w:pPr>
              <w:rPr>
                <w:rFonts w:ascii="Times New Roman" w:hAnsi="Times New Roman" w:cs="Times New Roman"/>
                <w:b/>
                <w:bCs/>
                <w:color w:val="000000"/>
                <w:sz w:val="21"/>
                <w:szCs w:val="21"/>
              </w:rPr>
            </w:pPr>
            <w:r>
              <w:rPr>
                <w:rFonts w:ascii="Times New Roman" w:hAnsi="Times New Roman" w:cs="Times New Roman"/>
                <w:b/>
                <w:bCs/>
                <w:color w:val="000000"/>
                <w:sz w:val="21"/>
                <w:szCs w:val="21"/>
              </w:rPr>
              <w:t>法律性质</w:t>
            </w:r>
          </w:p>
        </w:tc>
        <w:tc>
          <w:tcPr>
            <w:tcW w:w="6287" w:type="dxa"/>
            <w:noWrap w:val="0"/>
            <w:vAlign w:val="top"/>
          </w:tcPr>
          <w:p w14:paraId="1253E013">
            <w:pPr>
              <w:rPr>
                <w:rFonts w:ascii="Times New Roman" w:hAnsi="Times New Roman" w:cs="Times New Roman"/>
                <w:color w:val="000000"/>
                <w:sz w:val="21"/>
                <w:szCs w:val="21"/>
              </w:rPr>
            </w:pPr>
            <w:r>
              <w:rPr>
                <w:rFonts w:ascii="Times New Roman" w:hAnsi="Times New Roman" w:cs="Times New Roman"/>
                <w:b/>
                <w:bCs/>
                <w:color w:val="000000"/>
                <w:sz w:val="21"/>
                <w:szCs w:val="21"/>
                <w:u w:val="single"/>
              </w:rPr>
              <w:t>负担行为</w:t>
            </w:r>
            <w:r>
              <w:rPr>
                <w:rFonts w:ascii="Times New Roman" w:hAnsi="Times New Roman" w:cs="Times New Roman"/>
                <w:color w:val="000000"/>
                <w:sz w:val="21"/>
                <w:szCs w:val="21"/>
              </w:rPr>
              <w:t>，债权人有权基于该合同请求出质人交付质押财产</w:t>
            </w:r>
          </w:p>
        </w:tc>
      </w:tr>
      <w:tr w14:paraId="60DA9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2"/>
            <w:noWrap w:val="0"/>
            <w:vAlign w:val="center"/>
          </w:tcPr>
          <w:p w14:paraId="40ADEC78">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动产质权的设立时点</w:t>
            </w:r>
          </w:p>
        </w:tc>
        <w:tc>
          <w:tcPr>
            <w:tcW w:w="6287" w:type="dxa"/>
            <w:noWrap w:val="0"/>
            <w:vAlign w:val="top"/>
          </w:tcPr>
          <w:p w14:paraId="2472FE7B">
            <w:pPr>
              <w:rPr>
                <w:rFonts w:ascii="Times New Roman" w:hAnsi="Times New Roman" w:cs="Times New Roman"/>
                <w:color w:val="000000"/>
                <w:sz w:val="21"/>
                <w:szCs w:val="21"/>
              </w:rPr>
            </w:pPr>
            <w:r>
              <w:rPr>
                <w:rFonts w:ascii="Times New Roman" w:hAnsi="Times New Roman" w:cs="Times New Roman"/>
                <w:b/>
                <w:bCs/>
                <w:color w:val="000000"/>
                <w:sz w:val="21"/>
                <w:szCs w:val="21"/>
                <w:u w:val="single"/>
              </w:rPr>
              <w:t>自出质人交付质押财产时设立</w:t>
            </w:r>
            <w:r>
              <w:rPr>
                <w:rFonts w:ascii="Times New Roman" w:hAnsi="Times New Roman" w:cs="Times New Roman"/>
                <w:color w:val="000000"/>
                <w:sz w:val="21"/>
                <w:szCs w:val="21"/>
              </w:rPr>
              <w:t>，这里的交付包括现实交付、简易交付与指示交付，</w:t>
            </w:r>
            <w:r>
              <w:rPr>
                <w:rFonts w:ascii="Times New Roman" w:hAnsi="Times New Roman" w:cs="Times New Roman"/>
                <w:b/>
                <w:bCs/>
                <w:color w:val="FF0000"/>
                <w:sz w:val="21"/>
                <w:szCs w:val="21"/>
                <w:u w:val="single"/>
              </w:rPr>
              <w:t>不包括占有改定</w:t>
            </w:r>
            <w:r>
              <w:rPr>
                <w:rFonts w:ascii="Times New Roman" w:hAnsi="Times New Roman" w:cs="Times New Roman"/>
                <w:color w:val="000000"/>
                <w:sz w:val="21"/>
                <w:szCs w:val="21"/>
              </w:rPr>
              <w:t>，此外</w:t>
            </w:r>
            <w:r>
              <w:rPr>
                <w:rFonts w:ascii="Times New Roman" w:hAnsi="Times New Roman" w:cs="Times New Roman"/>
                <w:b/>
                <w:bCs/>
                <w:color w:val="000000"/>
                <w:sz w:val="21"/>
                <w:szCs w:val="21"/>
                <w:u w:val="single"/>
              </w:rPr>
              <w:t>与质权人形成共同占有也可设立质权</w:t>
            </w:r>
          </w:p>
        </w:tc>
      </w:tr>
    </w:tbl>
    <w:p w14:paraId="7127B5C6">
      <w:pPr>
        <w:ind w:firstLine="420"/>
        <w:rPr>
          <w:rFonts w:ascii="Times New Roman" w:hAnsi="Times New Roman" w:eastAsia="楷体" w:cs="Times New Roman"/>
          <w:color w:val="000000"/>
          <w:sz w:val="21"/>
          <w:szCs w:val="21"/>
        </w:rPr>
      </w:pPr>
    </w:p>
    <w:p w14:paraId="2A2C68B8">
      <w:pPr>
        <w:ind w:firstLine="420"/>
        <w:rPr>
          <w:rFonts w:ascii="Times New Roman" w:hAnsi="Times New Roman" w:eastAsia="楷体" w:cs="Times New Roman"/>
          <w:color w:val="000000"/>
          <w:sz w:val="21"/>
          <w:szCs w:val="21"/>
        </w:rPr>
      </w:pPr>
      <w:r>
        <w:rPr>
          <w:rFonts w:ascii="Times New Roman" w:hAnsi="Times New Roman" w:eastAsia="楷体" w:cs="Times New Roman"/>
          <w:color w:val="000000"/>
          <w:sz w:val="21"/>
          <w:szCs w:val="21"/>
        </w:rPr>
        <w:t>特别提醒：</w:t>
      </w:r>
    </w:p>
    <w:p w14:paraId="746E2744">
      <w:pPr>
        <w:ind w:firstLine="420"/>
        <w:rPr>
          <w:rFonts w:ascii="Times New Roman" w:hAnsi="Times New Roman" w:eastAsia="楷体" w:cs="Times New Roman"/>
          <w:color w:val="000000"/>
          <w:sz w:val="21"/>
          <w:szCs w:val="21"/>
        </w:rPr>
      </w:pPr>
      <w:r>
        <w:rPr>
          <w:rFonts w:ascii="Times New Roman" w:hAnsi="Times New Roman" w:eastAsia="楷体" w:cs="Times New Roman"/>
          <w:color w:val="000000"/>
          <w:sz w:val="21"/>
          <w:szCs w:val="21"/>
        </w:rPr>
        <w:t>关于近年实践中出现的动产流动质押，考生需要注意：</w:t>
      </w:r>
    </w:p>
    <w:p w14:paraId="609F2FD5">
      <w:pPr>
        <w:ind w:firstLine="420"/>
        <w:rPr>
          <w:rFonts w:ascii="Times New Roman" w:hAnsi="Times New Roman" w:eastAsia="楷体" w:cs="Times New Roman"/>
          <w:color w:val="000000"/>
          <w:sz w:val="21"/>
          <w:szCs w:val="21"/>
        </w:rPr>
      </w:pPr>
      <w:r>
        <w:rPr>
          <w:rFonts w:ascii="Times New Roman" w:hAnsi="Times New Roman" w:eastAsia="楷体" w:cs="Times New Roman"/>
          <w:color w:val="000000"/>
          <w:sz w:val="21"/>
          <w:szCs w:val="21"/>
        </w:rPr>
        <w:t>（1）债权人、出质人与监管人订立三方协议，出质人以通过一定数量、品种等概括描述能够确定范围的货物为债务的履行提供担保，当事人有证据证明监管人系受债权人的委托监管并实际控制该货物的，质权于监管人实际控制货物之日起设立。监管人违反约定向出质人或者其他人放货、因保管不善导致货物毁损灭失，监管人应承担违约责任；</w:t>
      </w:r>
    </w:p>
    <w:p w14:paraId="22CE807A">
      <w:pPr>
        <w:ind w:firstLine="420"/>
        <w:rPr>
          <w:rFonts w:ascii="Times New Roman" w:hAnsi="Times New Roman" w:eastAsia="楷体" w:cs="Times New Roman"/>
          <w:color w:val="000000"/>
          <w:sz w:val="21"/>
          <w:szCs w:val="21"/>
        </w:rPr>
      </w:pPr>
      <w:r>
        <w:rPr>
          <w:rFonts w:ascii="Times New Roman" w:hAnsi="Times New Roman" w:eastAsia="楷体" w:cs="Times New Roman"/>
          <w:color w:val="000000"/>
          <w:sz w:val="21"/>
          <w:szCs w:val="21"/>
        </w:rPr>
        <w:t>（2）在前款规定情形下，当事人有证据证明监管人系受出质人委托监管该货物，或者虽然受债权人委托但是未实际履行监管职责，导致货物仍由出质人实际控制的，质权不设立。债权人可以基于质押合同的约定请求出质人承担违约责任，但是不得超过质权有效设立时出质人应当承担的责任范围。</w:t>
      </w:r>
    </w:p>
    <w:p w14:paraId="18562464">
      <w:pPr>
        <w:ind w:firstLine="480"/>
        <w:rPr>
          <w:rFonts w:ascii="Times New Roman" w:hAnsi="Times New Roman" w:cs="Times New Roman"/>
          <w:b/>
          <w:color w:val="000000"/>
          <w:sz w:val="21"/>
          <w:szCs w:val="21"/>
        </w:rPr>
      </w:pPr>
    </w:p>
    <w:p w14:paraId="5DD64986">
      <w:pPr>
        <w:ind w:firstLine="480"/>
        <w:rPr>
          <w:rFonts w:ascii="Times New Roman" w:hAnsi="Times New Roman" w:cs="Times New Roman"/>
          <w:b/>
          <w:color w:val="000000"/>
          <w:sz w:val="21"/>
          <w:szCs w:val="21"/>
        </w:rPr>
      </w:pPr>
      <w:r>
        <w:rPr>
          <w:rFonts w:ascii="Times New Roman" w:hAnsi="Times New Roman" w:cs="Times New Roman"/>
          <w:b/>
          <w:color w:val="000000"/>
          <w:sz w:val="21"/>
          <w:szCs w:val="21"/>
        </w:rPr>
        <w:t>二、权利质权</w:t>
      </w:r>
    </w:p>
    <w:p w14:paraId="31711EDC">
      <w:pPr>
        <w:ind w:firstLine="480"/>
        <w:rPr>
          <w:rFonts w:ascii="Times New Roman" w:hAnsi="Times New Roman" w:cs="Times New Roman"/>
          <w:b/>
          <w:color w:val="000000"/>
          <w:sz w:val="21"/>
          <w:szCs w:val="21"/>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410"/>
        <w:gridCol w:w="4728"/>
      </w:tblGrid>
      <w:tr w14:paraId="68AAA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noWrap w:val="0"/>
            <w:vAlign w:val="center"/>
          </w:tcPr>
          <w:p w14:paraId="3DD9FDBB">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概念</w:t>
            </w:r>
          </w:p>
        </w:tc>
        <w:tc>
          <w:tcPr>
            <w:tcW w:w="4728" w:type="dxa"/>
            <w:noWrap w:val="0"/>
            <w:vAlign w:val="top"/>
          </w:tcPr>
          <w:p w14:paraId="675FA55A">
            <w:pPr>
              <w:rPr>
                <w:rFonts w:ascii="Times New Roman" w:hAnsi="Times New Roman" w:cs="Times New Roman"/>
                <w:b/>
                <w:color w:val="000000"/>
                <w:sz w:val="21"/>
                <w:szCs w:val="21"/>
              </w:rPr>
            </w:pPr>
            <w:r>
              <w:rPr>
                <w:rFonts w:ascii="Times New Roman" w:hAnsi="Times New Roman" w:cs="Times New Roman"/>
                <w:color w:val="000000"/>
                <w:sz w:val="21"/>
                <w:szCs w:val="21"/>
              </w:rPr>
              <w:t>以可转让的财产权为标的物而设立的质权</w:t>
            </w:r>
          </w:p>
        </w:tc>
      </w:tr>
      <w:tr w14:paraId="62A2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vMerge w:val="restart"/>
            <w:noWrap w:val="0"/>
            <w:vAlign w:val="center"/>
          </w:tcPr>
          <w:p w14:paraId="63AE89AD">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可质押的权利范围</w:t>
            </w:r>
          </w:p>
        </w:tc>
        <w:tc>
          <w:tcPr>
            <w:tcW w:w="4728" w:type="dxa"/>
            <w:noWrap w:val="0"/>
            <w:vAlign w:val="top"/>
          </w:tcPr>
          <w:p w14:paraId="45396B72">
            <w:pPr>
              <w:rPr>
                <w:rFonts w:ascii="Times New Roman" w:hAnsi="Times New Roman" w:cs="Times New Roman"/>
                <w:b/>
                <w:color w:val="000000"/>
                <w:sz w:val="21"/>
                <w:szCs w:val="21"/>
              </w:rPr>
            </w:pPr>
            <w:r>
              <w:rPr>
                <w:rFonts w:ascii="Times New Roman" w:hAnsi="Times New Roman" w:cs="Times New Roman"/>
                <w:color w:val="000000"/>
                <w:sz w:val="21"/>
                <w:szCs w:val="21"/>
              </w:rPr>
              <w:t>（1）汇票、支票、本票</w:t>
            </w:r>
          </w:p>
        </w:tc>
      </w:tr>
      <w:tr w14:paraId="5A708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vMerge w:val="continue"/>
            <w:noWrap w:val="0"/>
            <w:vAlign w:val="top"/>
          </w:tcPr>
          <w:p w14:paraId="5CC4D76E">
            <w:pPr>
              <w:rPr>
                <w:rFonts w:ascii="Times New Roman" w:hAnsi="Times New Roman" w:cs="Times New Roman"/>
                <w:b/>
                <w:color w:val="000000"/>
                <w:sz w:val="21"/>
                <w:szCs w:val="21"/>
              </w:rPr>
            </w:pPr>
          </w:p>
        </w:tc>
        <w:tc>
          <w:tcPr>
            <w:tcW w:w="4728" w:type="dxa"/>
            <w:noWrap w:val="0"/>
            <w:vAlign w:val="top"/>
          </w:tcPr>
          <w:p w14:paraId="2D7559AE">
            <w:pPr>
              <w:rPr>
                <w:rFonts w:ascii="Times New Roman" w:hAnsi="Times New Roman" w:cs="Times New Roman"/>
                <w:b/>
                <w:color w:val="000000"/>
                <w:sz w:val="21"/>
                <w:szCs w:val="21"/>
              </w:rPr>
            </w:pPr>
            <w:r>
              <w:rPr>
                <w:rFonts w:ascii="Times New Roman" w:hAnsi="Times New Roman" w:cs="Times New Roman"/>
                <w:color w:val="000000"/>
                <w:sz w:val="21"/>
                <w:szCs w:val="21"/>
              </w:rPr>
              <w:t>（2）债券、存款单</w:t>
            </w:r>
          </w:p>
        </w:tc>
      </w:tr>
      <w:tr w14:paraId="71F1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vMerge w:val="continue"/>
            <w:noWrap w:val="0"/>
            <w:vAlign w:val="top"/>
          </w:tcPr>
          <w:p w14:paraId="0FE5093A">
            <w:pPr>
              <w:rPr>
                <w:rFonts w:ascii="Times New Roman" w:hAnsi="Times New Roman" w:cs="Times New Roman"/>
                <w:b/>
                <w:color w:val="000000"/>
                <w:sz w:val="21"/>
                <w:szCs w:val="21"/>
              </w:rPr>
            </w:pPr>
          </w:p>
        </w:tc>
        <w:tc>
          <w:tcPr>
            <w:tcW w:w="4728" w:type="dxa"/>
            <w:noWrap w:val="0"/>
            <w:vAlign w:val="top"/>
          </w:tcPr>
          <w:p w14:paraId="259C5D7E">
            <w:pPr>
              <w:rPr>
                <w:rFonts w:ascii="Times New Roman" w:hAnsi="Times New Roman" w:cs="Times New Roman"/>
                <w:b/>
                <w:color w:val="000000"/>
                <w:sz w:val="21"/>
                <w:szCs w:val="21"/>
              </w:rPr>
            </w:pPr>
            <w:r>
              <w:rPr>
                <w:rFonts w:ascii="Times New Roman" w:hAnsi="Times New Roman" w:cs="Times New Roman"/>
                <w:color w:val="000000"/>
                <w:sz w:val="21"/>
                <w:szCs w:val="21"/>
              </w:rPr>
              <w:t>（3）仓单、提单</w:t>
            </w:r>
          </w:p>
        </w:tc>
      </w:tr>
      <w:tr w14:paraId="52BB2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vMerge w:val="continue"/>
            <w:noWrap w:val="0"/>
            <w:vAlign w:val="top"/>
          </w:tcPr>
          <w:p w14:paraId="73267032">
            <w:pPr>
              <w:rPr>
                <w:rFonts w:ascii="Times New Roman" w:hAnsi="Times New Roman" w:cs="Times New Roman"/>
                <w:b/>
                <w:color w:val="000000"/>
                <w:sz w:val="21"/>
                <w:szCs w:val="21"/>
              </w:rPr>
            </w:pPr>
          </w:p>
        </w:tc>
        <w:tc>
          <w:tcPr>
            <w:tcW w:w="4728" w:type="dxa"/>
            <w:noWrap w:val="0"/>
            <w:vAlign w:val="top"/>
          </w:tcPr>
          <w:p w14:paraId="74CE6B34">
            <w:pPr>
              <w:rPr>
                <w:rFonts w:ascii="Times New Roman" w:hAnsi="Times New Roman" w:cs="Times New Roman"/>
                <w:b/>
                <w:color w:val="000000"/>
                <w:sz w:val="21"/>
                <w:szCs w:val="21"/>
              </w:rPr>
            </w:pPr>
            <w:r>
              <w:rPr>
                <w:rFonts w:ascii="Times New Roman" w:hAnsi="Times New Roman" w:cs="Times New Roman"/>
                <w:color w:val="000000"/>
                <w:sz w:val="21"/>
                <w:szCs w:val="21"/>
              </w:rPr>
              <w:t>（4）可以转让的基金份额、股权</w:t>
            </w:r>
          </w:p>
        </w:tc>
      </w:tr>
      <w:tr w14:paraId="5C32C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vMerge w:val="continue"/>
            <w:noWrap w:val="0"/>
            <w:vAlign w:val="top"/>
          </w:tcPr>
          <w:p w14:paraId="0CFF95E7">
            <w:pPr>
              <w:rPr>
                <w:rFonts w:ascii="Times New Roman" w:hAnsi="Times New Roman" w:cs="Times New Roman"/>
                <w:b/>
                <w:color w:val="000000"/>
                <w:sz w:val="21"/>
                <w:szCs w:val="21"/>
              </w:rPr>
            </w:pPr>
          </w:p>
        </w:tc>
        <w:tc>
          <w:tcPr>
            <w:tcW w:w="4728" w:type="dxa"/>
            <w:noWrap w:val="0"/>
            <w:vAlign w:val="top"/>
          </w:tcPr>
          <w:p w14:paraId="30152525">
            <w:pPr>
              <w:rPr>
                <w:rFonts w:ascii="Times New Roman" w:hAnsi="Times New Roman" w:cs="Times New Roman"/>
                <w:b/>
                <w:color w:val="000000"/>
                <w:sz w:val="21"/>
                <w:szCs w:val="21"/>
              </w:rPr>
            </w:pPr>
            <w:r>
              <w:rPr>
                <w:rFonts w:ascii="Times New Roman" w:hAnsi="Times New Roman" w:cs="Times New Roman"/>
                <w:color w:val="000000"/>
                <w:sz w:val="21"/>
                <w:szCs w:val="21"/>
              </w:rPr>
              <w:t>（5）可以转让的注册商标专用权、专利权、著作权等知识产权中的财产权</w:t>
            </w:r>
          </w:p>
        </w:tc>
      </w:tr>
      <w:tr w14:paraId="6D5A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vMerge w:val="continue"/>
            <w:noWrap w:val="0"/>
            <w:vAlign w:val="top"/>
          </w:tcPr>
          <w:p w14:paraId="65888EFD">
            <w:pPr>
              <w:rPr>
                <w:rFonts w:ascii="Times New Roman" w:hAnsi="Times New Roman" w:cs="Times New Roman"/>
                <w:b/>
                <w:color w:val="000000"/>
                <w:sz w:val="21"/>
                <w:szCs w:val="21"/>
              </w:rPr>
            </w:pPr>
          </w:p>
        </w:tc>
        <w:tc>
          <w:tcPr>
            <w:tcW w:w="4728" w:type="dxa"/>
            <w:noWrap w:val="0"/>
            <w:vAlign w:val="top"/>
          </w:tcPr>
          <w:p w14:paraId="3BB95CE4">
            <w:pPr>
              <w:rPr>
                <w:rFonts w:ascii="Times New Roman" w:hAnsi="Times New Roman" w:cs="Times New Roman"/>
                <w:b/>
                <w:color w:val="000000"/>
                <w:sz w:val="21"/>
                <w:szCs w:val="21"/>
              </w:rPr>
            </w:pPr>
            <w:r>
              <w:rPr>
                <w:rFonts w:ascii="Times New Roman" w:hAnsi="Times New Roman" w:cs="Times New Roman"/>
                <w:color w:val="000000"/>
                <w:sz w:val="21"/>
                <w:szCs w:val="21"/>
              </w:rPr>
              <w:t>（6）现有的以及将来的应收账款</w:t>
            </w:r>
          </w:p>
        </w:tc>
      </w:tr>
      <w:tr w14:paraId="2A063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vMerge w:val="continue"/>
            <w:noWrap w:val="0"/>
            <w:vAlign w:val="top"/>
          </w:tcPr>
          <w:p w14:paraId="4B3B78B2">
            <w:pPr>
              <w:rPr>
                <w:rFonts w:ascii="Times New Roman" w:hAnsi="Times New Roman" w:cs="Times New Roman"/>
                <w:b/>
                <w:color w:val="000000"/>
                <w:sz w:val="21"/>
                <w:szCs w:val="21"/>
              </w:rPr>
            </w:pPr>
          </w:p>
        </w:tc>
        <w:tc>
          <w:tcPr>
            <w:tcW w:w="4728" w:type="dxa"/>
            <w:noWrap w:val="0"/>
            <w:vAlign w:val="top"/>
          </w:tcPr>
          <w:p w14:paraId="3C1C6ADA">
            <w:pPr>
              <w:rPr>
                <w:rFonts w:ascii="Times New Roman" w:hAnsi="Times New Roman" w:cs="Times New Roman"/>
                <w:b/>
                <w:color w:val="000000"/>
                <w:sz w:val="21"/>
                <w:szCs w:val="21"/>
              </w:rPr>
            </w:pPr>
            <w:r>
              <w:rPr>
                <w:rFonts w:ascii="Times New Roman" w:hAnsi="Times New Roman" w:cs="Times New Roman"/>
                <w:color w:val="000000"/>
                <w:sz w:val="21"/>
                <w:szCs w:val="21"/>
              </w:rPr>
              <w:t>（7）法律、行政法规规定可以出质的其他财产权利</w:t>
            </w:r>
          </w:p>
        </w:tc>
      </w:tr>
      <w:tr w14:paraId="60AF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noWrap w:val="0"/>
            <w:vAlign w:val="center"/>
          </w:tcPr>
          <w:p w14:paraId="26FD76E6">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权利质权的设立时点</w:t>
            </w:r>
          </w:p>
        </w:tc>
        <w:tc>
          <w:tcPr>
            <w:tcW w:w="2410" w:type="dxa"/>
            <w:noWrap w:val="0"/>
            <w:vAlign w:val="center"/>
          </w:tcPr>
          <w:p w14:paraId="3975F3B0">
            <w:pPr>
              <w:jc w:val="center"/>
              <w:rPr>
                <w:rFonts w:ascii="Times New Roman" w:hAnsi="Times New Roman" w:cs="Times New Roman"/>
                <w:b/>
                <w:color w:val="FF0000"/>
                <w:sz w:val="21"/>
                <w:szCs w:val="21"/>
              </w:rPr>
            </w:pPr>
            <w:r>
              <w:rPr>
                <w:rFonts w:ascii="Times New Roman" w:hAnsi="Times New Roman" w:cs="Times New Roman"/>
                <w:b/>
                <w:color w:val="FF0000"/>
                <w:sz w:val="21"/>
                <w:szCs w:val="21"/>
              </w:rPr>
              <w:t>自登记时设立</w:t>
            </w:r>
          </w:p>
        </w:tc>
        <w:tc>
          <w:tcPr>
            <w:tcW w:w="4728" w:type="dxa"/>
            <w:noWrap w:val="0"/>
            <w:vAlign w:val="top"/>
          </w:tcPr>
          <w:p w14:paraId="6BEC8564">
            <w:pPr>
              <w:rPr>
                <w:rFonts w:ascii="Times New Roman" w:hAnsi="Times New Roman" w:cs="Times New Roman"/>
                <w:color w:val="000000"/>
                <w:sz w:val="21"/>
                <w:szCs w:val="21"/>
              </w:rPr>
            </w:pPr>
            <w:r>
              <w:rPr>
                <w:rFonts w:ascii="Times New Roman" w:hAnsi="Times New Roman" w:cs="Times New Roman"/>
                <w:b/>
                <w:bCs/>
                <w:color w:val="000000"/>
                <w:sz w:val="21"/>
                <w:szCs w:val="21"/>
                <w:u w:val="single"/>
              </w:rPr>
              <w:t>没有权利凭证的权利</w:t>
            </w:r>
            <w:r>
              <w:rPr>
                <w:rFonts w:ascii="Times New Roman" w:hAnsi="Times New Roman" w:cs="Times New Roman"/>
                <w:color w:val="000000"/>
                <w:sz w:val="21"/>
                <w:szCs w:val="21"/>
              </w:rPr>
              <w:t>，包括汇票、本票、支票、债券、存款单、仓单、提单质权；基金份额、股权质权；知识产权质权；应收账款质权</w:t>
            </w:r>
          </w:p>
        </w:tc>
      </w:tr>
      <w:tr w14:paraId="35D2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center"/>
          </w:tcPr>
          <w:p w14:paraId="7B43571D">
            <w:pPr>
              <w:jc w:val="center"/>
              <w:rPr>
                <w:rFonts w:ascii="Times New Roman" w:hAnsi="Times New Roman" w:cs="Times New Roman"/>
                <w:b/>
                <w:color w:val="000000"/>
                <w:sz w:val="21"/>
                <w:szCs w:val="21"/>
              </w:rPr>
            </w:pPr>
          </w:p>
        </w:tc>
        <w:tc>
          <w:tcPr>
            <w:tcW w:w="2410" w:type="dxa"/>
            <w:noWrap w:val="0"/>
            <w:vAlign w:val="center"/>
          </w:tcPr>
          <w:p w14:paraId="37B34BB8">
            <w:pPr>
              <w:jc w:val="center"/>
              <w:rPr>
                <w:rFonts w:ascii="Times New Roman" w:hAnsi="Times New Roman" w:cs="Times New Roman"/>
                <w:b/>
                <w:color w:val="FF0000"/>
                <w:sz w:val="21"/>
                <w:szCs w:val="21"/>
              </w:rPr>
            </w:pPr>
            <w:r>
              <w:rPr>
                <w:rFonts w:ascii="Times New Roman" w:hAnsi="Times New Roman" w:cs="Times New Roman"/>
                <w:b/>
                <w:color w:val="FF0000"/>
                <w:sz w:val="21"/>
                <w:szCs w:val="21"/>
              </w:rPr>
              <w:t>自权利凭证交付时设立</w:t>
            </w:r>
          </w:p>
        </w:tc>
        <w:tc>
          <w:tcPr>
            <w:tcW w:w="4728" w:type="dxa"/>
            <w:noWrap w:val="0"/>
            <w:vAlign w:val="top"/>
          </w:tcPr>
          <w:p w14:paraId="489EB70E">
            <w:pPr>
              <w:rPr>
                <w:rFonts w:ascii="Times New Roman" w:hAnsi="Times New Roman" w:cs="Times New Roman"/>
                <w:color w:val="000000"/>
                <w:sz w:val="21"/>
                <w:szCs w:val="21"/>
              </w:rPr>
            </w:pPr>
            <w:r>
              <w:rPr>
                <w:rFonts w:ascii="Times New Roman" w:hAnsi="Times New Roman" w:cs="Times New Roman"/>
                <w:b/>
                <w:bCs/>
                <w:color w:val="000000"/>
                <w:sz w:val="21"/>
                <w:szCs w:val="21"/>
                <w:u w:val="single"/>
              </w:rPr>
              <w:t>有权利凭证权利</w:t>
            </w:r>
            <w:r>
              <w:rPr>
                <w:rFonts w:ascii="Times New Roman" w:hAnsi="Times New Roman" w:cs="Times New Roman"/>
                <w:color w:val="000000"/>
                <w:sz w:val="21"/>
                <w:szCs w:val="21"/>
              </w:rPr>
              <w:t>，包括汇票、本票、支票、债券、存款单、仓单、提单质权</w:t>
            </w:r>
          </w:p>
        </w:tc>
      </w:tr>
    </w:tbl>
    <w:p w14:paraId="78BB52A6">
      <w:pPr>
        <w:ind w:firstLine="420"/>
        <w:rPr>
          <w:rFonts w:ascii="Times New Roman" w:hAnsi="Times New Roman" w:eastAsia="楷体" w:cs="Times New Roman"/>
          <w:b/>
          <w:color w:val="000000"/>
          <w:sz w:val="21"/>
          <w:szCs w:val="21"/>
          <w:highlight w:val="none"/>
        </w:rPr>
      </w:pPr>
    </w:p>
    <w:p w14:paraId="63D89D21">
      <w:pPr>
        <w:ind w:firstLine="420"/>
        <w:rPr>
          <w:rFonts w:ascii="Times New Roman" w:hAnsi="Times New Roman" w:eastAsia="楷体" w:cs="Times New Roman"/>
          <w:bCs/>
          <w:color w:val="000000"/>
          <w:sz w:val="21"/>
          <w:szCs w:val="21"/>
          <w:highlight w:val="none"/>
        </w:rPr>
      </w:pPr>
      <w:r>
        <w:rPr>
          <w:rFonts w:ascii="Times New Roman" w:hAnsi="Times New Roman" w:eastAsia="楷体" w:cs="Times New Roman"/>
          <w:bCs/>
          <w:color w:val="000000"/>
          <w:sz w:val="21"/>
          <w:szCs w:val="21"/>
          <w:highlight w:val="none"/>
        </w:rPr>
        <w:t>特别提醒：</w:t>
      </w:r>
    </w:p>
    <w:p w14:paraId="6775795D">
      <w:pPr>
        <w:rPr>
          <w:rFonts w:hint="eastAsia" w:ascii="Times New Roman" w:hAnsi="Times New Roman" w:cs="Times New Roman"/>
          <w:bCs/>
          <w:color w:val="000000"/>
          <w:sz w:val="21"/>
          <w:szCs w:val="21"/>
          <w:highlight w:val="none"/>
        </w:rPr>
      </w:pPr>
      <w:r>
        <w:rPr>
          <w:rFonts w:ascii="Times New Roman" w:hAnsi="Times New Roman" w:eastAsia="楷体" w:cs="Times New Roman"/>
          <w:bCs/>
          <w:color w:val="000000"/>
          <w:sz w:val="21"/>
          <w:szCs w:val="21"/>
          <w:highlight w:val="none"/>
        </w:rPr>
        <w:t xml:space="preserve">    </w:t>
      </w:r>
      <w:r>
        <w:rPr>
          <w:rFonts w:hint="eastAsia" w:ascii="Times New Roman" w:hAnsi="Times New Roman" w:eastAsia="楷体" w:cs="Times New Roman"/>
          <w:bCs/>
          <w:color w:val="000000"/>
          <w:sz w:val="21"/>
          <w:szCs w:val="21"/>
          <w:highlight w:val="none"/>
        </w:rPr>
        <w:t>对于保证金账户质押，以债权人对账户的控制作为公示方式，与其他权利质权有所不同。保证金账户中的款项可能是浮动的，款项的浮动不影响债权人优先受偿的权利。</w:t>
      </w:r>
    </w:p>
    <w:p w14:paraId="22620422">
      <w:pPr>
        <w:pStyle w:val="2"/>
        <w:spacing w:line="276" w:lineRule="auto"/>
        <w:jc w:val="center"/>
        <w:rPr>
          <w:rFonts w:ascii="Times New Roman" w:hAnsi="Times New Roman" w:eastAsia="楷体" w:cs="Times New Roman"/>
          <w:bCs/>
        </w:rPr>
      </w:pPr>
      <w:bookmarkStart w:id="4" w:name="_Toc135757862"/>
      <w:bookmarkStart w:id="5" w:name="_Toc19446"/>
      <w:r>
        <w:rPr>
          <w:rFonts w:ascii="Times New Roman" w:hAnsi="Times New Roman" w:cs="Times New Roman"/>
          <w:bCs w:val="0"/>
          <w:color w:val="000000"/>
          <w:sz w:val="36"/>
          <w:szCs w:val="36"/>
          <w:highlight w:val="none"/>
        </w:rPr>
        <w:t>考点14  留置权</w:t>
      </w:r>
      <w:bookmarkEnd w:id="4"/>
    </w:p>
    <w:tbl>
      <w:tblPr>
        <w:tblStyle w:val="6"/>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fixed"/>
        <w:tblCellMar>
          <w:top w:w="0" w:type="dxa"/>
          <w:left w:w="108" w:type="dxa"/>
          <w:bottom w:w="0" w:type="dxa"/>
          <w:right w:w="108" w:type="dxa"/>
        </w:tblCellMar>
      </w:tblPr>
      <w:tblGrid>
        <w:gridCol w:w="416"/>
        <w:gridCol w:w="1091"/>
        <w:gridCol w:w="6998"/>
      </w:tblGrid>
      <w:tr w14:paraId="4149F61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507" w:type="dxa"/>
            <w:gridSpan w:val="2"/>
            <w:vMerge w:val="restart"/>
            <w:noWrap w:val="0"/>
            <w:vAlign w:val="center"/>
          </w:tcPr>
          <w:p w14:paraId="12CCD617">
            <w:pPr>
              <w:spacing w:before="21" w:beforeLines="5" w:after="42" w:afterLines="10" w:line="280" w:lineRule="exact"/>
              <w:jc w:val="center"/>
              <w:rPr>
                <w:rFonts w:ascii="汉仪书宋一简" w:hAnsi="Times New Roman" w:eastAsia="汉仪中黑简" w:cs="Times New Roman"/>
                <w:sz w:val="20"/>
                <w:szCs w:val="20"/>
              </w:rPr>
            </w:pPr>
            <w:r>
              <w:rPr>
                <w:rFonts w:hint="eastAsia" w:ascii="汉仪书宋一简" w:hAnsi="Times New Roman" w:eastAsia="汉仪中黑简" w:cs="Times New Roman"/>
                <w:sz w:val="20"/>
                <w:szCs w:val="20"/>
              </w:rPr>
              <w:t>法律特征</w:t>
            </w:r>
          </w:p>
        </w:tc>
        <w:tc>
          <w:tcPr>
            <w:tcW w:w="6998" w:type="dxa"/>
            <w:noWrap w:val="0"/>
            <w:vAlign w:val="top"/>
          </w:tcPr>
          <w:p w14:paraId="0B5A8E46">
            <w:pPr>
              <w:spacing w:before="21" w:beforeLines="5" w:after="84" w:afterLines="20" w:line="280" w:lineRule="exact"/>
              <w:rPr>
                <w:rFonts w:ascii="汉仪书宋一简" w:eastAsia="汉仪书宋一简" w:cs="汉仪书宋二简"/>
                <w:kern w:val="0"/>
                <w:sz w:val="20"/>
                <w:szCs w:val="20"/>
              </w:rPr>
            </w:pPr>
            <w:r>
              <w:rPr>
                <w:rFonts w:hint="eastAsia" w:ascii="汉仪书宋一简" w:eastAsia="汉仪书宋一简" w:cs="汉仪书宋二简"/>
                <w:kern w:val="0"/>
                <w:sz w:val="20"/>
                <w:szCs w:val="20"/>
              </w:rPr>
              <w:t>（1）属于</w:t>
            </w:r>
            <w:r>
              <w:rPr>
                <w:rFonts w:hint="eastAsia" w:ascii="汉仪书宋一简" w:eastAsia="汉仪书宋一简" w:cs="Times New Roman"/>
                <w:sz w:val="20"/>
                <w:szCs w:val="20"/>
              </w:rPr>
              <w:t>法定担保物权</w:t>
            </w:r>
          </w:p>
        </w:tc>
      </w:tr>
      <w:tr w14:paraId="272F86D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507" w:type="dxa"/>
            <w:gridSpan w:val="2"/>
            <w:vMerge w:val="continue"/>
            <w:noWrap w:val="0"/>
            <w:vAlign w:val="center"/>
          </w:tcPr>
          <w:p w14:paraId="11F35E03">
            <w:pPr>
              <w:spacing w:before="21" w:beforeLines="5" w:after="42" w:afterLines="10" w:line="280" w:lineRule="exact"/>
              <w:jc w:val="center"/>
              <w:rPr>
                <w:rFonts w:ascii="汉仪书宋一简" w:hAnsi="Times New Roman" w:eastAsia="汉仪中黑简" w:cs="Times New Roman"/>
                <w:sz w:val="20"/>
                <w:szCs w:val="20"/>
              </w:rPr>
            </w:pPr>
          </w:p>
        </w:tc>
        <w:tc>
          <w:tcPr>
            <w:tcW w:w="6998" w:type="dxa"/>
            <w:noWrap w:val="0"/>
            <w:vAlign w:val="top"/>
          </w:tcPr>
          <w:p w14:paraId="03B67DB0">
            <w:pPr>
              <w:spacing w:before="21" w:beforeLines="5" w:after="84" w:afterLines="20" w:line="280" w:lineRule="exact"/>
              <w:rPr>
                <w:rFonts w:ascii="汉仪书宋一简" w:eastAsia="汉仪书宋一简" w:cs="汉仪书宋二简"/>
                <w:kern w:val="0"/>
                <w:sz w:val="20"/>
                <w:szCs w:val="20"/>
              </w:rPr>
            </w:pPr>
            <w:r>
              <w:rPr>
                <w:rFonts w:hint="eastAsia" w:ascii="汉仪书宋一简" w:eastAsia="汉仪书宋一简" w:cs="汉仪书宋二简"/>
                <w:kern w:val="0"/>
                <w:sz w:val="20"/>
                <w:szCs w:val="20"/>
              </w:rPr>
              <w:t>（2）</w:t>
            </w:r>
            <w:r>
              <w:rPr>
                <w:rFonts w:hint="eastAsia" w:ascii="汉仪书宋一简" w:eastAsia="汉仪书宋一简" w:cs="Times New Roman"/>
                <w:sz w:val="20"/>
                <w:szCs w:val="20"/>
              </w:rPr>
              <w:t>客体仅限于</w:t>
            </w:r>
            <w:r>
              <w:rPr>
                <w:rFonts w:hint="eastAsia" w:ascii="汉仪书宋一简" w:eastAsia="汉仪书宋一简" w:cs="Times New Roman"/>
                <w:color w:val="0000FF"/>
                <w:sz w:val="20"/>
                <w:szCs w:val="20"/>
              </w:rPr>
              <w:t>动产</w:t>
            </w:r>
          </w:p>
        </w:tc>
      </w:tr>
      <w:tr w14:paraId="2D90936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507" w:type="dxa"/>
            <w:gridSpan w:val="2"/>
            <w:vMerge w:val="continue"/>
            <w:noWrap w:val="0"/>
            <w:vAlign w:val="center"/>
          </w:tcPr>
          <w:p w14:paraId="56B82749">
            <w:pPr>
              <w:spacing w:before="21" w:beforeLines="5" w:after="42" w:afterLines="10" w:line="280" w:lineRule="exact"/>
              <w:jc w:val="center"/>
              <w:rPr>
                <w:rFonts w:ascii="汉仪书宋一简" w:hAnsi="Times New Roman" w:eastAsia="汉仪中黑简" w:cs="Times New Roman"/>
                <w:sz w:val="20"/>
                <w:szCs w:val="20"/>
              </w:rPr>
            </w:pPr>
          </w:p>
        </w:tc>
        <w:tc>
          <w:tcPr>
            <w:tcW w:w="6998" w:type="dxa"/>
            <w:noWrap w:val="0"/>
            <w:vAlign w:val="top"/>
          </w:tcPr>
          <w:p w14:paraId="1A11EAA3">
            <w:pPr>
              <w:spacing w:before="21" w:beforeLines="5" w:after="84" w:afterLines="20" w:line="280" w:lineRule="exact"/>
              <w:rPr>
                <w:rFonts w:ascii="汉仪书宋一简" w:eastAsia="汉仪书宋一简" w:cs="汉仪书宋二简"/>
                <w:kern w:val="0"/>
                <w:sz w:val="20"/>
                <w:szCs w:val="20"/>
              </w:rPr>
            </w:pPr>
            <w:r>
              <w:rPr>
                <w:rFonts w:hint="eastAsia" w:ascii="汉仪书宋一简" w:eastAsia="汉仪书宋一简" w:cs="汉仪书宋二简"/>
                <w:kern w:val="0"/>
                <w:sz w:val="20"/>
                <w:szCs w:val="20"/>
              </w:rPr>
              <w:t>（3）</w:t>
            </w:r>
            <w:r>
              <w:rPr>
                <w:rFonts w:hint="eastAsia" w:ascii="汉仪书宋一简" w:eastAsia="汉仪书宋一简" w:cs="Times New Roman"/>
                <w:sz w:val="20"/>
                <w:szCs w:val="20"/>
              </w:rPr>
              <w:t>兼具留置效力与优先受偿力</w:t>
            </w:r>
          </w:p>
        </w:tc>
      </w:tr>
      <w:tr w14:paraId="08F2D8F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416" w:type="dxa"/>
            <w:vMerge w:val="restart"/>
            <w:noWrap w:val="0"/>
            <w:vAlign w:val="center"/>
          </w:tcPr>
          <w:p w14:paraId="40DE7033">
            <w:pPr>
              <w:spacing w:before="21" w:beforeLines="5" w:after="42" w:afterLines="10" w:line="280" w:lineRule="exact"/>
              <w:jc w:val="center"/>
              <w:rPr>
                <w:rFonts w:ascii="汉仪书宋一简" w:hAnsi="Times New Roman" w:eastAsia="汉仪中黑简" w:cs="Times New Roman"/>
                <w:sz w:val="20"/>
                <w:szCs w:val="20"/>
              </w:rPr>
            </w:pPr>
            <w:r>
              <w:rPr>
                <w:rFonts w:hint="eastAsia" w:ascii="汉仪书宋一简" w:hAnsi="Times New Roman" w:eastAsia="汉仪中黑简" w:cs="Times New Roman"/>
                <w:sz w:val="20"/>
                <w:szCs w:val="20"/>
              </w:rPr>
              <w:t>成立要件</w:t>
            </w:r>
          </w:p>
        </w:tc>
        <w:tc>
          <w:tcPr>
            <w:tcW w:w="1091" w:type="dxa"/>
            <w:vMerge w:val="restart"/>
            <w:noWrap w:val="0"/>
            <w:vAlign w:val="center"/>
          </w:tcPr>
          <w:p w14:paraId="1F073A92">
            <w:pPr>
              <w:spacing w:before="21" w:beforeLines="5" w:after="42" w:afterLines="10" w:line="280" w:lineRule="exact"/>
              <w:jc w:val="center"/>
              <w:rPr>
                <w:rFonts w:ascii="汉仪书宋一简" w:hAnsi="Times New Roman" w:eastAsia="汉仪中黑简" w:cs="Times New Roman"/>
                <w:sz w:val="20"/>
                <w:szCs w:val="20"/>
              </w:rPr>
            </w:pPr>
            <w:r>
              <w:rPr>
                <w:rFonts w:hint="eastAsia" w:ascii="汉仪书宋一简" w:hAnsi="Times New Roman" w:eastAsia="汉仪中黑简" w:cs="Times New Roman"/>
                <w:sz w:val="20"/>
                <w:szCs w:val="20"/>
              </w:rPr>
              <w:t>民事留置权的成立要件</w:t>
            </w:r>
          </w:p>
        </w:tc>
        <w:tc>
          <w:tcPr>
            <w:tcW w:w="6998" w:type="dxa"/>
            <w:noWrap w:val="0"/>
            <w:vAlign w:val="top"/>
          </w:tcPr>
          <w:p w14:paraId="5145C529">
            <w:pPr>
              <w:spacing w:before="21" w:beforeLines="5" w:after="84" w:afterLines="20" w:line="280" w:lineRule="exact"/>
              <w:rPr>
                <w:rFonts w:ascii="汉仪书宋一简" w:eastAsia="汉仪书宋一简" w:cs="汉仪书宋二简"/>
                <w:kern w:val="0"/>
                <w:sz w:val="20"/>
                <w:szCs w:val="20"/>
              </w:rPr>
            </w:pPr>
            <w:r>
              <w:rPr>
                <w:rFonts w:hint="eastAsia" w:ascii="汉仪书宋一简" w:eastAsia="汉仪书宋一简" w:cs="汉仪书宋二简"/>
                <w:kern w:val="0"/>
                <w:sz w:val="20"/>
                <w:szCs w:val="20"/>
              </w:rPr>
              <w:t>（1）</w:t>
            </w:r>
            <w:r>
              <w:rPr>
                <w:rFonts w:hint="eastAsia" w:ascii="汉仪书宋一简" w:eastAsia="汉仪书宋一简" w:cs="Times New Roman"/>
                <w:sz w:val="20"/>
                <w:szCs w:val="20"/>
              </w:rPr>
              <w:t>债权人</w:t>
            </w:r>
            <w:r>
              <w:rPr>
                <w:rFonts w:hint="eastAsia" w:ascii="汉仪书宋一简" w:eastAsia="汉仪书宋一简" w:cs="Times New Roman"/>
                <w:color w:val="0000FF"/>
                <w:sz w:val="20"/>
                <w:szCs w:val="20"/>
              </w:rPr>
              <w:t>合法占有</w:t>
            </w:r>
            <w:r>
              <w:rPr>
                <w:rFonts w:hint="eastAsia" w:ascii="汉仪书宋一简" w:eastAsia="汉仪书宋一简" w:cs="Times New Roman"/>
                <w:sz w:val="20"/>
                <w:szCs w:val="20"/>
              </w:rPr>
              <w:t>债务人的动产</w:t>
            </w:r>
          </w:p>
        </w:tc>
      </w:tr>
      <w:tr w14:paraId="02487F3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416" w:type="dxa"/>
            <w:vMerge w:val="continue"/>
            <w:noWrap w:val="0"/>
            <w:vAlign w:val="center"/>
          </w:tcPr>
          <w:p w14:paraId="3115F39E">
            <w:pPr>
              <w:spacing w:before="21" w:beforeLines="5" w:after="42" w:afterLines="10" w:line="280" w:lineRule="exact"/>
              <w:jc w:val="center"/>
              <w:rPr>
                <w:rFonts w:ascii="汉仪书宋一简" w:hAnsi="Times New Roman" w:eastAsia="汉仪中黑简" w:cs="Times New Roman"/>
                <w:sz w:val="20"/>
                <w:szCs w:val="20"/>
              </w:rPr>
            </w:pPr>
          </w:p>
        </w:tc>
        <w:tc>
          <w:tcPr>
            <w:tcW w:w="1091" w:type="dxa"/>
            <w:vMerge w:val="continue"/>
            <w:noWrap w:val="0"/>
            <w:vAlign w:val="center"/>
          </w:tcPr>
          <w:p w14:paraId="14844D63">
            <w:pPr>
              <w:spacing w:before="21" w:beforeLines="5" w:after="42" w:afterLines="10" w:line="280" w:lineRule="exact"/>
              <w:jc w:val="center"/>
              <w:rPr>
                <w:rFonts w:ascii="汉仪书宋一简" w:hAnsi="Times New Roman" w:eastAsia="汉仪中黑简" w:cs="Times New Roman"/>
                <w:sz w:val="20"/>
                <w:szCs w:val="20"/>
              </w:rPr>
            </w:pPr>
          </w:p>
        </w:tc>
        <w:tc>
          <w:tcPr>
            <w:tcW w:w="6998" w:type="dxa"/>
            <w:noWrap w:val="0"/>
            <w:vAlign w:val="top"/>
          </w:tcPr>
          <w:p w14:paraId="767FC541">
            <w:pPr>
              <w:spacing w:before="21" w:beforeLines="5" w:after="84" w:afterLines="20" w:line="280" w:lineRule="exact"/>
              <w:rPr>
                <w:rFonts w:hint="eastAsia" w:ascii="汉仪书宋一简" w:eastAsia="汉仪书宋一简" w:cs="汉仪书宋二简"/>
                <w:kern w:val="0"/>
                <w:sz w:val="20"/>
                <w:szCs w:val="20"/>
                <w:lang w:eastAsia="zh-CN"/>
              </w:rPr>
            </w:pPr>
            <w:r>
              <w:rPr>
                <w:rFonts w:hint="eastAsia" w:ascii="汉仪书宋一简" w:eastAsia="汉仪书宋一简" w:cs="汉仪书宋二简"/>
                <w:kern w:val="0"/>
                <w:sz w:val="20"/>
                <w:szCs w:val="20"/>
              </w:rPr>
              <w:t>（2）</w:t>
            </w:r>
            <w:r>
              <w:rPr>
                <w:rFonts w:hint="eastAsia" w:ascii="汉仪书宋一简" w:eastAsia="汉仪书宋一简" w:cs="Times New Roman"/>
                <w:sz w:val="20"/>
                <w:szCs w:val="20"/>
              </w:rPr>
              <w:t>债权人合法占有的动产与债权属于同一法律关系</w:t>
            </w:r>
            <w:r>
              <w:rPr>
                <w:rFonts w:hint="eastAsia" w:ascii="汉仪书宋一简" w:eastAsia="汉仪书宋一简" w:cs="Times New Roman"/>
                <w:sz w:val="20"/>
                <w:szCs w:val="20"/>
                <w:lang w:eastAsia="zh-CN"/>
              </w:rPr>
              <w:t>（</w:t>
            </w:r>
            <w:r>
              <w:rPr>
                <w:rFonts w:hint="eastAsia" w:ascii="汉仪书宋一简" w:eastAsia="汉仪书宋一简" w:cs="Times New Roman"/>
                <w:color w:val="0000FF"/>
                <w:sz w:val="20"/>
                <w:szCs w:val="20"/>
                <w:lang w:val="en-US" w:eastAsia="zh-CN"/>
              </w:rPr>
              <w:t>债权增加或维持了动产价值</w:t>
            </w:r>
            <w:r>
              <w:rPr>
                <w:rFonts w:hint="eastAsia" w:ascii="汉仪书宋一简" w:eastAsia="汉仪书宋一简" w:cs="Times New Roman"/>
                <w:sz w:val="20"/>
                <w:szCs w:val="20"/>
                <w:lang w:eastAsia="zh-CN"/>
              </w:rPr>
              <w:t>）</w:t>
            </w:r>
          </w:p>
        </w:tc>
      </w:tr>
      <w:tr w14:paraId="27AD131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416" w:type="dxa"/>
            <w:vMerge w:val="continue"/>
            <w:noWrap w:val="0"/>
            <w:vAlign w:val="center"/>
          </w:tcPr>
          <w:p w14:paraId="6933E454">
            <w:pPr>
              <w:spacing w:before="21" w:beforeLines="5" w:after="42" w:afterLines="10" w:line="280" w:lineRule="exact"/>
              <w:jc w:val="center"/>
              <w:rPr>
                <w:rFonts w:ascii="汉仪书宋一简" w:hAnsi="Times New Roman" w:eastAsia="汉仪中黑简" w:cs="Times New Roman"/>
                <w:sz w:val="20"/>
                <w:szCs w:val="20"/>
              </w:rPr>
            </w:pPr>
          </w:p>
        </w:tc>
        <w:tc>
          <w:tcPr>
            <w:tcW w:w="1091" w:type="dxa"/>
            <w:vMerge w:val="continue"/>
            <w:noWrap w:val="0"/>
            <w:vAlign w:val="center"/>
          </w:tcPr>
          <w:p w14:paraId="12078ADA">
            <w:pPr>
              <w:spacing w:before="21" w:beforeLines="5" w:after="42" w:afterLines="10" w:line="280" w:lineRule="exact"/>
              <w:jc w:val="center"/>
              <w:rPr>
                <w:rFonts w:ascii="汉仪书宋一简" w:hAnsi="Times New Roman" w:eastAsia="汉仪中黑简" w:cs="Times New Roman"/>
                <w:sz w:val="20"/>
                <w:szCs w:val="20"/>
              </w:rPr>
            </w:pPr>
          </w:p>
        </w:tc>
        <w:tc>
          <w:tcPr>
            <w:tcW w:w="6998" w:type="dxa"/>
            <w:noWrap w:val="0"/>
            <w:vAlign w:val="top"/>
          </w:tcPr>
          <w:p w14:paraId="04501A18">
            <w:pPr>
              <w:spacing w:before="21" w:beforeLines="5" w:after="84" w:afterLines="20" w:line="280" w:lineRule="exact"/>
              <w:rPr>
                <w:rFonts w:ascii="汉仪书宋一简" w:eastAsia="汉仪书宋一简" w:cs="汉仪书宋二简"/>
                <w:kern w:val="0"/>
                <w:sz w:val="20"/>
                <w:szCs w:val="20"/>
              </w:rPr>
            </w:pPr>
            <w:r>
              <w:rPr>
                <w:rFonts w:hint="eastAsia" w:ascii="汉仪书宋一简" w:eastAsia="汉仪书宋一简" w:cs="汉仪书宋二简"/>
                <w:kern w:val="0"/>
                <w:sz w:val="20"/>
                <w:szCs w:val="20"/>
              </w:rPr>
              <w:t>（3）</w:t>
            </w:r>
            <w:r>
              <w:rPr>
                <w:rFonts w:hint="eastAsia" w:ascii="汉仪书宋一简" w:eastAsia="汉仪书宋一简" w:cs="Times New Roman"/>
                <w:sz w:val="20"/>
                <w:szCs w:val="20"/>
              </w:rPr>
              <w:t>债务的履行期届满</w:t>
            </w:r>
          </w:p>
        </w:tc>
      </w:tr>
      <w:tr w14:paraId="1EDE01F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416" w:type="dxa"/>
            <w:vMerge w:val="continue"/>
            <w:noWrap w:val="0"/>
            <w:vAlign w:val="center"/>
          </w:tcPr>
          <w:p w14:paraId="7F19C4A4">
            <w:pPr>
              <w:spacing w:before="21" w:beforeLines="5" w:after="42" w:afterLines="10" w:line="280" w:lineRule="exact"/>
              <w:jc w:val="center"/>
              <w:rPr>
                <w:rFonts w:ascii="汉仪书宋一简" w:hAnsi="Times New Roman" w:eastAsia="汉仪中黑简" w:cs="Times New Roman"/>
                <w:sz w:val="20"/>
                <w:szCs w:val="20"/>
              </w:rPr>
            </w:pPr>
          </w:p>
        </w:tc>
        <w:tc>
          <w:tcPr>
            <w:tcW w:w="1091" w:type="dxa"/>
            <w:vMerge w:val="continue"/>
            <w:noWrap w:val="0"/>
            <w:vAlign w:val="center"/>
          </w:tcPr>
          <w:p w14:paraId="001D6D06">
            <w:pPr>
              <w:spacing w:before="21" w:beforeLines="5" w:after="42" w:afterLines="10" w:line="280" w:lineRule="exact"/>
              <w:jc w:val="center"/>
              <w:rPr>
                <w:rFonts w:ascii="汉仪书宋一简" w:hAnsi="Times New Roman" w:eastAsia="汉仪中黑简" w:cs="Times New Roman"/>
                <w:sz w:val="20"/>
                <w:szCs w:val="20"/>
              </w:rPr>
            </w:pPr>
          </w:p>
        </w:tc>
        <w:tc>
          <w:tcPr>
            <w:tcW w:w="6998" w:type="dxa"/>
            <w:noWrap w:val="0"/>
            <w:vAlign w:val="top"/>
          </w:tcPr>
          <w:p w14:paraId="78970CF7">
            <w:pPr>
              <w:spacing w:before="21" w:beforeLines="5" w:after="84" w:afterLines="20" w:line="280" w:lineRule="exact"/>
              <w:rPr>
                <w:rFonts w:ascii="汉仪书宋一简" w:eastAsia="汉仪书宋一简" w:cs="汉仪书宋二简"/>
                <w:kern w:val="0"/>
                <w:sz w:val="20"/>
                <w:szCs w:val="20"/>
              </w:rPr>
            </w:pPr>
            <w:r>
              <w:rPr>
                <w:rFonts w:hint="eastAsia" w:ascii="汉仪书宋一简" w:eastAsia="汉仪书宋一简" w:cs="汉仪书宋二简"/>
                <w:kern w:val="0"/>
                <w:sz w:val="20"/>
                <w:szCs w:val="20"/>
              </w:rPr>
              <w:t>（4）</w:t>
            </w:r>
            <w:r>
              <w:rPr>
                <w:rFonts w:hint="eastAsia" w:ascii="汉仪书宋一简" w:eastAsia="汉仪书宋一简" w:cs="Times New Roman"/>
                <w:sz w:val="20"/>
                <w:szCs w:val="20"/>
              </w:rPr>
              <w:t>法律规定或者当事人约定不得留置的动产，不得留置</w:t>
            </w:r>
          </w:p>
        </w:tc>
      </w:tr>
      <w:tr w14:paraId="4E14B80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416" w:type="dxa"/>
            <w:vMerge w:val="continue"/>
            <w:noWrap w:val="0"/>
            <w:vAlign w:val="center"/>
          </w:tcPr>
          <w:p w14:paraId="2D3C91C1">
            <w:pPr>
              <w:spacing w:before="21" w:beforeLines="5" w:after="42" w:afterLines="10" w:line="280" w:lineRule="exact"/>
              <w:jc w:val="center"/>
              <w:rPr>
                <w:rFonts w:ascii="汉仪书宋一简" w:hAnsi="Times New Roman" w:eastAsia="汉仪中黑简" w:cs="Times New Roman"/>
                <w:sz w:val="20"/>
                <w:szCs w:val="20"/>
              </w:rPr>
            </w:pPr>
          </w:p>
        </w:tc>
        <w:tc>
          <w:tcPr>
            <w:tcW w:w="1091" w:type="dxa"/>
            <w:vMerge w:val="continue"/>
            <w:noWrap w:val="0"/>
            <w:vAlign w:val="center"/>
          </w:tcPr>
          <w:p w14:paraId="21064881">
            <w:pPr>
              <w:spacing w:before="21" w:beforeLines="5" w:after="42" w:afterLines="10" w:line="280" w:lineRule="exact"/>
              <w:jc w:val="center"/>
              <w:rPr>
                <w:rFonts w:ascii="汉仪书宋一简" w:hAnsi="Times New Roman" w:eastAsia="汉仪中黑简" w:cs="Times New Roman"/>
                <w:sz w:val="20"/>
                <w:szCs w:val="20"/>
              </w:rPr>
            </w:pPr>
          </w:p>
        </w:tc>
        <w:tc>
          <w:tcPr>
            <w:tcW w:w="6998" w:type="dxa"/>
            <w:noWrap w:val="0"/>
            <w:vAlign w:val="top"/>
          </w:tcPr>
          <w:p w14:paraId="39ACC330">
            <w:pPr>
              <w:spacing w:before="21" w:beforeLines="5" w:after="84" w:afterLines="20" w:line="280" w:lineRule="exact"/>
              <w:rPr>
                <w:rFonts w:ascii="汉仪书宋一简" w:eastAsia="汉仪书宋一简" w:cs="汉仪书宋二简"/>
                <w:kern w:val="0"/>
                <w:sz w:val="20"/>
                <w:szCs w:val="20"/>
              </w:rPr>
            </w:pPr>
            <w:r>
              <w:rPr>
                <w:rFonts w:hint="eastAsia" w:ascii="汉仪书宋一简" w:eastAsia="汉仪书宋一简" w:cs="汉仪书宋二简"/>
                <w:kern w:val="0"/>
                <w:sz w:val="20"/>
                <w:szCs w:val="20"/>
              </w:rPr>
              <w:t>（5）</w:t>
            </w:r>
            <w:r>
              <w:rPr>
                <w:rFonts w:hint="eastAsia" w:ascii="汉仪书宋一简" w:eastAsia="汉仪书宋一简" w:cs="Times New Roman"/>
                <w:sz w:val="20"/>
                <w:szCs w:val="20"/>
              </w:rPr>
              <w:t>留置财产为可分物的，留置财产的价值应当相当于债务的金额</w:t>
            </w:r>
          </w:p>
        </w:tc>
      </w:tr>
      <w:tr w14:paraId="1751A9B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416" w:type="dxa"/>
            <w:vMerge w:val="continue"/>
            <w:noWrap w:val="0"/>
            <w:vAlign w:val="center"/>
          </w:tcPr>
          <w:p w14:paraId="0F4EAD54">
            <w:pPr>
              <w:spacing w:before="21" w:beforeLines="5" w:after="42" w:afterLines="10" w:line="280" w:lineRule="exact"/>
              <w:jc w:val="center"/>
              <w:rPr>
                <w:rFonts w:ascii="汉仪书宋一简" w:hAnsi="Times New Roman" w:eastAsia="汉仪中黑简" w:cs="Times New Roman"/>
                <w:sz w:val="20"/>
                <w:szCs w:val="20"/>
              </w:rPr>
            </w:pPr>
          </w:p>
        </w:tc>
        <w:tc>
          <w:tcPr>
            <w:tcW w:w="1091" w:type="dxa"/>
            <w:vMerge w:val="restart"/>
            <w:noWrap w:val="0"/>
            <w:vAlign w:val="center"/>
          </w:tcPr>
          <w:p w14:paraId="4A932B65">
            <w:pPr>
              <w:spacing w:before="21" w:beforeLines="5" w:after="42" w:afterLines="10" w:line="280" w:lineRule="exact"/>
              <w:jc w:val="center"/>
              <w:rPr>
                <w:rFonts w:ascii="汉仪书宋一简" w:hAnsi="Times New Roman" w:eastAsia="汉仪中黑简" w:cs="Times New Roman"/>
                <w:sz w:val="20"/>
                <w:szCs w:val="20"/>
              </w:rPr>
            </w:pPr>
            <w:r>
              <w:rPr>
                <w:rFonts w:hint="eastAsia" w:ascii="汉仪书宋一简" w:hAnsi="Times New Roman" w:eastAsia="汉仪中黑简" w:cs="Times New Roman"/>
                <w:sz w:val="20"/>
                <w:szCs w:val="20"/>
              </w:rPr>
              <w:t>商事留置权的成立要件</w:t>
            </w:r>
          </w:p>
        </w:tc>
        <w:tc>
          <w:tcPr>
            <w:tcW w:w="6998" w:type="dxa"/>
            <w:noWrap w:val="0"/>
            <w:vAlign w:val="top"/>
          </w:tcPr>
          <w:p w14:paraId="0B314FAB">
            <w:pPr>
              <w:spacing w:before="21" w:beforeLines="5" w:after="84" w:afterLines="20" w:line="280" w:lineRule="exact"/>
              <w:rPr>
                <w:rFonts w:ascii="汉仪书宋一简" w:eastAsia="汉仪书宋一简" w:cs="汉仪书宋二简"/>
                <w:kern w:val="0"/>
                <w:sz w:val="20"/>
                <w:szCs w:val="20"/>
              </w:rPr>
            </w:pPr>
            <w:r>
              <w:rPr>
                <w:rFonts w:hint="eastAsia" w:ascii="汉仪书宋一简" w:eastAsia="汉仪书宋一简" w:cs="汉仪书宋二简"/>
                <w:kern w:val="0"/>
                <w:sz w:val="20"/>
                <w:szCs w:val="20"/>
              </w:rPr>
              <w:t>（1）</w:t>
            </w:r>
            <w:r>
              <w:rPr>
                <w:rFonts w:hint="eastAsia" w:ascii="汉仪书宋一简" w:eastAsia="汉仪书宋一简" w:cs="Times New Roman"/>
                <w:sz w:val="20"/>
                <w:szCs w:val="20"/>
              </w:rPr>
              <w:t>留置发生于</w:t>
            </w:r>
            <w:r>
              <w:rPr>
                <w:rFonts w:hint="eastAsia" w:ascii="汉仪书宋一简" w:eastAsia="汉仪书宋一简" w:cs="Times New Roman"/>
                <w:color w:val="0000FF"/>
                <w:sz w:val="20"/>
                <w:szCs w:val="20"/>
              </w:rPr>
              <w:t>企业之间</w:t>
            </w:r>
          </w:p>
        </w:tc>
      </w:tr>
      <w:tr w14:paraId="0AA796C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416" w:type="dxa"/>
            <w:vMerge w:val="continue"/>
            <w:noWrap w:val="0"/>
            <w:vAlign w:val="center"/>
          </w:tcPr>
          <w:p w14:paraId="27D8FC8C">
            <w:pPr>
              <w:spacing w:before="21" w:beforeLines="5" w:after="42" w:afterLines="10" w:line="280" w:lineRule="exact"/>
              <w:jc w:val="center"/>
              <w:rPr>
                <w:rFonts w:ascii="汉仪书宋一简" w:hAnsi="Times New Roman" w:eastAsia="汉仪中黑简" w:cs="Times New Roman"/>
                <w:sz w:val="20"/>
                <w:szCs w:val="20"/>
              </w:rPr>
            </w:pPr>
          </w:p>
        </w:tc>
        <w:tc>
          <w:tcPr>
            <w:tcW w:w="1091" w:type="dxa"/>
            <w:vMerge w:val="continue"/>
            <w:noWrap w:val="0"/>
            <w:vAlign w:val="center"/>
          </w:tcPr>
          <w:p w14:paraId="7B7318FA">
            <w:pPr>
              <w:spacing w:before="21" w:beforeLines="5" w:after="42" w:afterLines="10" w:line="280" w:lineRule="exact"/>
              <w:jc w:val="center"/>
              <w:rPr>
                <w:rFonts w:ascii="汉仪书宋一简" w:hAnsi="Times New Roman" w:eastAsia="汉仪中黑简" w:cs="Times New Roman"/>
                <w:sz w:val="20"/>
                <w:szCs w:val="20"/>
              </w:rPr>
            </w:pPr>
          </w:p>
        </w:tc>
        <w:tc>
          <w:tcPr>
            <w:tcW w:w="6998" w:type="dxa"/>
            <w:noWrap w:val="0"/>
            <w:vAlign w:val="top"/>
          </w:tcPr>
          <w:p w14:paraId="41716303">
            <w:pPr>
              <w:spacing w:before="21" w:beforeLines="5" w:after="84" w:afterLines="20" w:line="280" w:lineRule="exact"/>
              <w:rPr>
                <w:rFonts w:hint="eastAsia" w:ascii="汉仪书宋一简" w:eastAsia="汉仪书宋一简" w:cs="汉仪书宋二简"/>
                <w:kern w:val="0"/>
                <w:sz w:val="20"/>
                <w:szCs w:val="20"/>
                <w:lang w:eastAsia="zh-CN"/>
              </w:rPr>
            </w:pPr>
            <w:r>
              <w:rPr>
                <w:rFonts w:hint="eastAsia" w:ascii="汉仪书宋一简" w:eastAsia="汉仪书宋一简" w:cs="汉仪书宋二简"/>
                <w:kern w:val="0"/>
                <w:sz w:val="20"/>
                <w:szCs w:val="20"/>
              </w:rPr>
              <w:t>（2）</w:t>
            </w:r>
            <w:r>
              <w:rPr>
                <w:rFonts w:hint="eastAsia" w:ascii="汉仪书宋一简" w:eastAsia="汉仪书宋一简" w:cs="Times New Roman"/>
                <w:sz w:val="20"/>
                <w:szCs w:val="20"/>
              </w:rPr>
              <w:t>被担保的债权是</w:t>
            </w:r>
            <w:r>
              <w:rPr>
                <w:rFonts w:hint="eastAsia" w:ascii="汉仪书宋一简" w:eastAsia="汉仪书宋一简" w:cs="Times New Roman"/>
                <w:color w:val="0000FF"/>
                <w:sz w:val="20"/>
                <w:szCs w:val="20"/>
              </w:rPr>
              <w:t>企业持续经营</w:t>
            </w:r>
            <w:r>
              <w:rPr>
                <w:rFonts w:hint="eastAsia" w:ascii="汉仪书宋一简" w:eastAsia="汉仪书宋一简" w:cs="Times New Roman"/>
                <w:sz w:val="20"/>
                <w:szCs w:val="20"/>
              </w:rPr>
              <w:t>中发生的债权</w:t>
            </w:r>
            <w:r>
              <w:rPr>
                <w:rFonts w:hint="eastAsia" w:ascii="汉仪书宋一简" w:eastAsia="汉仪书宋一简" w:cs="Times New Roman"/>
                <w:sz w:val="20"/>
                <w:szCs w:val="20"/>
                <w:lang w:eastAsia="zh-CN"/>
              </w:rPr>
              <w:t>（</w:t>
            </w:r>
            <w:r>
              <w:rPr>
                <w:rFonts w:hint="eastAsia" w:ascii="汉仪书宋一简" w:eastAsia="汉仪书宋一简" w:cs="Times New Roman"/>
                <w:color w:val="0000FF"/>
                <w:sz w:val="20"/>
                <w:szCs w:val="20"/>
                <w:lang w:val="en-US" w:eastAsia="zh-CN"/>
              </w:rPr>
              <w:t>受让的债权不属于持续经营的债权</w:t>
            </w:r>
            <w:r>
              <w:rPr>
                <w:rFonts w:hint="eastAsia" w:ascii="汉仪书宋一简" w:eastAsia="汉仪书宋一简" w:cs="Times New Roman"/>
                <w:sz w:val="20"/>
                <w:szCs w:val="20"/>
                <w:lang w:eastAsia="zh-CN"/>
              </w:rPr>
              <w:t>）</w:t>
            </w:r>
          </w:p>
        </w:tc>
      </w:tr>
      <w:tr w14:paraId="6DE13E5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416" w:type="dxa"/>
            <w:vMerge w:val="continue"/>
            <w:noWrap w:val="0"/>
            <w:vAlign w:val="center"/>
          </w:tcPr>
          <w:p w14:paraId="7B35C075">
            <w:pPr>
              <w:spacing w:before="21" w:beforeLines="5" w:after="42" w:afterLines="10" w:line="280" w:lineRule="exact"/>
              <w:jc w:val="center"/>
              <w:rPr>
                <w:rFonts w:ascii="汉仪书宋一简" w:hAnsi="Times New Roman" w:eastAsia="汉仪中黑简" w:cs="Times New Roman"/>
                <w:sz w:val="20"/>
                <w:szCs w:val="20"/>
              </w:rPr>
            </w:pPr>
          </w:p>
        </w:tc>
        <w:tc>
          <w:tcPr>
            <w:tcW w:w="1091" w:type="dxa"/>
            <w:vMerge w:val="continue"/>
            <w:noWrap w:val="0"/>
            <w:vAlign w:val="center"/>
          </w:tcPr>
          <w:p w14:paraId="0846C734">
            <w:pPr>
              <w:spacing w:before="21" w:beforeLines="5" w:after="42" w:afterLines="10" w:line="280" w:lineRule="exact"/>
              <w:jc w:val="center"/>
              <w:rPr>
                <w:rFonts w:ascii="汉仪书宋一简" w:hAnsi="Times New Roman" w:eastAsia="汉仪中黑简" w:cs="Times New Roman"/>
                <w:sz w:val="20"/>
                <w:szCs w:val="20"/>
              </w:rPr>
            </w:pPr>
          </w:p>
        </w:tc>
        <w:tc>
          <w:tcPr>
            <w:tcW w:w="6998" w:type="dxa"/>
            <w:noWrap w:val="0"/>
            <w:vAlign w:val="top"/>
          </w:tcPr>
          <w:p w14:paraId="1122CA19">
            <w:pPr>
              <w:spacing w:before="21" w:beforeLines="5" w:after="84" w:afterLines="20" w:line="280" w:lineRule="exact"/>
              <w:rPr>
                <w:rFonts w:ascii="汉仪书宋一简" w:eastAsia="汉仪书宋一简" w:cs="汉仪书宋二简"/>
                <w:kern w:val="0"/>
                <w:sz w:val="20"/>
                <w:szCs w:val="20"/>
              </w:rPr>
            </w:pPr>
            <w:r>
              <w:rPr>
                <w:rFonts w:hint="eastAsia" w:ascii="汉仪书宋一简" w:eastAsia="汉仪书宋一简" w:cs="汉仪书宋二简"/>
                <w:kern w:val="0"/>
                <w:sz w:val="20"/>
                <w:szCs w:val="20"/>
              </w:rPr>
              <w:t>（3）</w:t>
            </w:r>
            <w:r>
              <w:rPr>
                <w:rFonts w:hint="eastAsia" w:ascii="汉仪书宋一简" w:eastAsia="汉仪书宋一简" w:cs="Times New Roman"/>
                <w:sz w:val="20"/>
                <w:szCs w:val="20"/>
              </w:rPr>
              <w:t>债权人</w:t>
            </w:r>
            <w:r>
              <w:rPr>
                <w:rFonts w:hint="eastAsia" w:ascii="汉仪书宋一简" w:eastAsia="汉仪书宋一简" w:cs="Times New Roman"/>
                <w:color w:val="0000FF"/>
                <w:sz w:val="20"/>
                <w:szCs w:val="20"/>
              </w:rPr>
              <w:t>合法占有债务人</w:t>
            </w:r>
            <w:r>
              <w:rPr>
                <w:rFonts w:hint="eastAsia" w:ascii="汉仪书宋一简" w:eastAsia="汉仪书宋一简" w:cs="Times New Roman"/>
                <w:sz w:val="20"/>
                <w:szCs w:val="20"/>
              </w:rPr>
              <w:t>所有的动产</w:t>
            </w:r>
          </w:p>
        </w:tc>
      </w:tr>
      <w:tr w14:paraId="54F4783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416" w:type="dxa"/>
            <w:vMerge w:val="continue"/>
            <w:noWrap w:val="0"/>
            <w:vAlign w:val="center"/>
          </w:tcPr>
          <w:p w14:paraId="42C1738D">
            <w:pPr>
              <w:spacing w:before="21" w:beforeLines="5" w:after="42" w:afterLines="10" w:line="280" w:lineRule="exact"/>
              <w:jc w:val="center"/>
              <w:rPr>
                <w:rFonts w:ascii="汉仪书宋一简" w:hAnsi="Times New Roman" w:eastAsia="汉仪中黑简" w:cs="Times New Roman"/>
                <w:sz w:val="20"/>
                <w:szCs w:val="20"/>
              </w:rPr>
            </w:pPr>
          </w:p>
        </w:tc>
        <w:tc>
          <w:tcPr>
            <w:tcW w:w="1091" w:type="dxa"/>
            <w:vMerge w:val="continue"/>
            <w:noWrap w:val="0"/>
            <w:vAlign w:val="center"/>
          </w:tcPr>
          <w:p w14:paraId="62F43F49">
            <w:pPr>
              <w:spacing w:before="21" w:beforeLines="5" w:after="42" w:afterLines="10" w:line="280" w:lineRule="exact"/>
              <w:jc w:val="center"/>
              <w:rPr>
                <w:rFonts w:ascii="汉仪书宋一简" w:hAnsi="Times New Roman" w:eastAsia="汉仪中黑简" w:cs="Times New Roman"/>
                <w:sz w:val="20"/>
                <w:szCs w:val="20"/>
              </w:rPr>
            </w:pPr>
          </w:p>
        </w:tc>
        <w:tc>
          <w:tcPr>
            <w:tcW w:w="6998" w:type="dxa"/>
            <w:noWrap w:val="0"/>
            <w:vAlign w:val="top"/>
          </w:tcPr>
          <w:p w14:paraId="5653D7E9">
            <w:pPr>
              <w:spacing w:before="21" w:beforeLines="5" w:after="84" w:afterLines="20" w:line="280" w:lineRule="exact"/>
              <w:rPr>
                <w:rFonts w:ascii="汉仪书宋一简" w:eastAsia="汉仪书宋一简" w:cs="Times New Roman"/>
                <w:sz w:val="20"/>
                <w:szCs w:val="20"/>
              </w:rPr>
            </w:pPr>
            <w:r>
              <w:rPr>
                <w:rFonts w:hint="eastAsia" w:ascii="汉仪书宋一简" w:eastAsia="汉仪书宋一简" w:cs="汉仪书宋二简"/>
                <w:kern w:val="0"/>
                <w:sz w:val="20"/>
                <w:szCs w:val="20"/>
              </w:rPr>
              <w:t>（4）</w:t>
            </w:r>
            <w:r>
              <w:rPr>
                <w:rFonts w:hint="eastAsia" w:ascii="汉仪书宋一简" w:eastAsia="汉仪书宋一简" w:cs="Times New Roman"/>
                <w:sz w:val="20"/>
                <w:szCs w:val="20"/>
              </w:rPr>
              <w:t>债权人留置的动产与债权不属于同一法律关系</w:t>
            </w:r>
          </w:p>
          <w:p w14:paraId="6ACC7422">
            <w:pPr>
              <w:spacing w:before="21" w:beforeLines="5" w:after="84" w:afterLines="20" w:line="280" w:lineRule="exact"/>
              <w:ind w:left="420" w:leftChars="200"/>
              <w:rPr>
                <w:rFonts w:ascii="汉仪书宋一简" w:eastAsia="汉仪书宋一简" w:cs="汉仪书宋二简"/>
                <w:kern w:val="0"/>
                <w:sz w:val="20"/>
                <w:szCs w:val="20"/>
              </w:rPr>
            </w:pPr>
            <w:r>
              <w:rPr>
                <w:rFonts w:hint="eastAsia" w:ascii="汉仪书宋一简" w:eastAsia="汉仪书宋一简" w:cs="Times New Roman"/>
                <w:sz w:val="20"/>
                <w:szCs w:val="20"/>
              </w:rPr>
              <w:t>若债权人留置的动产与债权属于同一法律关系，则直接适用民事留置权的相关规则即可，无须适用商事留置权的规则</w:t>
            </w:r>
          </w:p>
        </w:tc>
      </w:tr>
      <w:tr w14:paraId="73AF6C8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416" w:type="dxa"/>
            <w:vMerge w:val="continue"/>
            <w:noWrap w:val="0"/>
            <w:vAlign w:val="center"/>
          </w:tcPr>
          <w:p w14:paraId="71B22FC0">
            <w:pPr>
              <w:spacing w:before="21" w:beforeLines="5" w:after="42" w:afterLines="10" w:line="280" w:lineRule="exact"/>
              <w:jc w:val="center"/>
              <w:rPr>
                <w:rFonts w:ascii="汉仪书宋一简" w:hAnsi="Times New Roman" w:eastAsia="汉仪中黑简" w:cs="Times New Roman"/>
                <w:sz w:val="20"/>
                <w:szCs w:val="20"/>
              </w:rPr>
            </w:pPr>
          </w:p>
        </w:tc>
        <w:tc>
          <w:tcPr>
            <w:tcW w:w="1091" w:type="dxa"/>
            <w:vMerge w:val="continue"/>
            <w:noWrap w:val="0"/>
            <w:vAlign w:val="center"/>
          </w:tcPr>
          <w:p w14:paraId="0DDB7714">
            <w:pPr>
              <w:spacing w:before="21" w:beforeLines="5" w:after="42" w:afterLines="10" w:line="280" w:lineRule="exact"/>
              <w:jc w:val="center"/>
              <w:rPr>
                <w:rFonts w:ascii="汉仪书宋一简" w:hAnsi="Times New Roman" w:eastAsia="汉仪中黑简" w:cs="Times New Roman"/>
                <w:sz w:val="20"/>
                <w:szCs w:val="20"/>
              </w:rPr>
            </w:pPr>
          </w:p>
        </w:tc>
        <w:tc>
          <w:tcPr>
            <w:tcW w:w="6998" w:type="dxa"/>
            <w:noWrap w:val="0"/>
            <w:vAlign w:val="top"/>
          </w:tcPr>
          <w:p w14:paraId="087556DC">
            <w:pPr>
              <w:spacing w:before="21" w:beforeLines="5" w:after="84" w:afterLines="20" w:line="280" w:lineRule="exact"/>
              <w:rPr>
                <w:rFonts w:ascii="汉仪书宋一简" w:eastAsia="汉仪书宋一简" w:cs="汉仪书宋二简"/>
                <w:kern w:val="0"/>
                <w:sz w:val="20"/>
                <w:szCs w:val="20"/>
              </w:rPr>
            </w:pPr>
            <w:r>
              <w:rPr>
                <w:rFonts w:hint="eastAsia" w:ascii="汉仪书宋一简" w:eastAsia="汉仪书宋一简" w:cs="汉仪书宋二简"/>
                <w:kern w:val="0"/>
                <w:sz w:val="20"/>
                <w:szCs w:val="20"/>
              </w:rPr>
              <w:t>（5）</w:t>
            </w:r>
            <w:r>
              <w:rPr>
                <w:rFonts w:hint="eastAsia" w:ascii="汉仪书宋一简" w:eastAsia="汉仪书宋一简" w:cs="Times New Roman"/>
                <w:sz w:val="20"/>
                <w:szCs w:val="20"/>
              </w:rPr>
              <w:t>债务履行期届满</w:t>
            </w:r>
          </w:p>
        </w:tc>
      </w:tr>
      <w:tr w14:paraId="1BE4635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416" w:type="dxa"/>
            <w:vMerge w:val="continue"/>
            <w:noWrap w:val="0"/>
            <w:vAlign w:val="center"/>
          </w:tcPr>
          <w:p w14:paraId="6A1F78B7">
            <w:pPr>
              <w:spacing w:before="21" w:beforeLines="5" w:after="42" w:afterLines="10" w:line="280" w:lineRule="exact"/>
              <w:jc w:val="center"/>
              <w:rPr>
                <w:rFonts w:ascii="汉仪书宋一简" w:hAnsi="Times New Roman" w:eastAsia="汉仪中黑简" w:cs="Times New Roman"/>
                <w:sz w:val="20"/>
                <w:szCs w:val="20"/>
              </w:rPr>
            </w:pPr>
          </w:p>
        </w:tc>
        <w:tc>
          <w:tcPr>
            <w:tcW w:w="1091" w:type="dxa"/>
            <w:vMerge w:val="continue"/>
            <w:noWrap w:val="0"/>
            <w:vAlign w:val="center"/>
          </w:tcPr>
          <w:p w14:paraId="0EC63A89">
            <w:pPr>
              <w:spacing w:before="21" w:beforeLines="5" w:after="42" w:afterLines="10" w:line="280" w:lineRule="exact"/>
              <w:jc w:val="center"/>
              <w:rPr>
                <w:rFonts w:ascii="汉仪书宋一简" w:hAnsi="Times New Roman" w:eastAsia="汉仪中黑简" w:cs="Times New Roman"/>
                <w:sz w:val="20"/>
                <w:szCs w:val="20"/>
              </w:rPr>
            </w:pPr>
          </w:p>
        </w:tc>
        <w:tc>
          <w:tcPr>
            <w:tcW w:w="6998" w:type="dxa"/>
            <w:noWrap w:val="0"/>
            <w:vAlign w:val="top"/>
          </w:tcPr>
          <w:p w14:paraId="31C581B5">
            <w:pPr>
              <w:spacing w:before="21" w:beforeLines="5" w:after="84" w:afterLines="20" w:line="280" w:lineRule="exact"/>
              <w:rPr>
                <w:rFonts w:ascii="汉仪书宋一简" w:eastAsia="汉仪书宋一简" w:cs="汉仪书宋二简"/>
                <w:kern w:val="0"/>
                <w:sz w:val="20"/>
                <w:szCs w:val="20"/>
              </w:rPr>
            </w:pPr>
            <w:r>
              <w:rPr>
                <w:rFonts w:hint="eastAsia" w:ascii="汉仪书宋一简" w:eastAsia="汉仪书宋一简" w:cs="汉仪书宋二简"/>
                <w:kern w:val="0"/>
                <w:sz w:val="20"/>
                <w:szCs w:val="20"/>
              </w:rPr>
              <w:t>（6）</w:t>
            </w:r>
            <w:r>
              <w:rPr>
                <w:rFonts w:hint="eastAsia" w:ascii="汉仪书宋一简" w:eastAsia="汉仪书宋一简" w:cs="Times New Roman"/>
                <w:sz w:val="20"/>
                <w:szCs w:val="20"/>
              </w:rPr>
              <w:t>法律规定或者当事人约定不得留置的动产，不得留置（与民事留置权相同）</w:t>
            </w:r>
          </w:p>
        </w:tc>
      </w:tr>
      <w:tr w14:paraId="2BFDF58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80" w:hRule="atLeast"/>
          <w:jc w:val="center"/>
        </w:trPr>
        <w:tc>
          <w:tcPr>
            <w:tcW w:w="416" w:type="dxa"/>
            <w:vMerge w:val="continue"/>
            <w:noWrap w:val="0"/>
            <w:vAlign w:val="center"/>
          </w:tcPr>
          <w:p w14:paraId="727E5076">
            <w:pPr>
              <w:spacing w:before="21" w:beforeLines="5" w:after="42" w:afterLines="10" w:line="280" w:lineRule="exact"/>
              <w:jc w:val="center"/>
              <w:rPr>
                <w:rFonts w:ascii="汉仪书宋一简" w:hAnsi="Times New Roman" w:eastAsia="汉仪中黑简" w:cs="Times New Roman"/>
                <w:sz w:val="20"/>
                <w:szCs w:val="20"/>
              </w:rPr>
            </w:pPr>
          </w:p>
        </w:tc>
        <w:tc>
          <w:tcPr>
            <w:tcW w:w="1091" w:type="dxa"/>
            <w:vMerge w:val="continue"/>
            <w:noWrap w:val="0"/>
            <w:vAlign w:val="center"/>
          </w:tcPr>
          <w:p w14:paraId="259570BF">
            <w:pPr>
              <w:spacing w:before="21" w:beforeLines="5" w:after="42" w:afterLines="10" w:line="280" w:lineRule="exact"/>
              <w:jc w:val="center"/>
              <w:rPr>
                <w:rFonts w:ascii="汉仪书宋一简" w:hAnsi="Times New Roman" w:eastAsia="汉仪中黑简" w:cs="Times New Roman"/>
                <w:sz w:val="20"/>
                <w:szCs w:val="20"/>
              </w:rPr>
            </w:pPr>
          </w:p>
        </w:tc>
        <w:tc>
          <w:tcPr>
            <w:tcW w:w="6998" w:type="dxa"/>
            <w:noWrap w:val="0"/>
            <w:vAlign w:val="top"/>
          </w:tcPr>
          <w:p w14:paraId="13AD4368">
            <w:pPr>
              <w:spacing w:before="21" w:beforeLines="5" w:after="84" w:afterLines="20" w:line="280" w:lineRule="exact"/>
              <w:rPr>
                <w:rFonts w:ascii="汉仪书宋一简" w:eastAsia="汉仪书宋一简" w:cs="汉仪书宋二简"/>
                <w:kern w:val="0"/>
                <w:sz w:val="20"/>
                <w:szCs w:val="20"/>
              </w:rPr>
            </w:pPr>
            <w:r>
              <w:rPr>
                <w:rFonts w:hint="eastAsia" w:ascii="汉仪书宋一简" w:eastAsia="汉仪书宋一简" w:cs="汉仪书宋二简"/>
                <w:kern w:val="0"/>
                <w:sz w:val="20"/>
                <w:szCs w:val="20"/>
              </w:rPr>
              <w:t>（7）</w:t>
            </w:r>
            <w:r>
              <w:rPr>
                <w:rFonts w:hint="eastAsia" w:ascii="汉仪书宋一简" w:eastAsia="汉仪书宋一简" w:cs="Times New Roman"/>
                <w:sz w:val="20"/>
                <w:szCs w:val="20"/>
              </w:rPr>
              <w:t>留置财产为可分物的，留置财产的价值应当相当于债务的金额（与民事留置权相同）</w:t>
            </w:r>
          </w:p>
        </w:tc>
      </w:tr>
      <w:tr w14:paraId="4B19CEA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507" w:type="dxa"/>
            <w:gridSpan w:val="2"/>
            <w:vMerge w:val="restart"/>
            <w:noWrap w:val="0"/>
            <w:vAlign w:val="center"/>
          </w:tcPr>
          <w:p w14:paraId="2A54DE9A">
            <w:pPr>
              <w:spacing w:before="21" w:beforeLines="5" w:after="42" w:afterLines="10" w:line="280" w:lineRule="exact"/>
              <w:jc w:val="center"/>
              <w:rPr>
                <w:rFonts w:ascii="汉仪书宋一简" w:hAnsi="Times New Roman" w:eastAsia="汉仪中黑简" w:cs="Times New Roman"/>
                <w:sz w:val="20"/>
                <w:szCs w:val="20"/>
              </w:rPr>
            </w:pPr>
            <w:r>
              <w:rPr>
                <w:rFonts w:hint="eastAsia" w:ascii="汉仪书宋一简" w:hAnsi="Times New Roman" w:eastAsia="汉仪中黑简" w:cs="Times New Roman"/>
                <w:sz w:val="20"/>
                <w:szCs w:val="20"/>
              </w:rPr>
              <w:t>法律效力</w:t>
            </w:r>
          </w:p>
        </w:tc>
        <w:tc>
          <w:tcPr>
            <w:tcW w:w="6998" w:type="dxa"/>
            <w:noWrap w:val="0"/>
            <w:vAlign w:val="top"/>
          </w:tcPr>
          <w:p w14:paraId="0D552BEF">
            <w:pPr>
              <w:spacing w:before="21" w:beforeLines="5" w:after="84" w:afterLines="20" w:line="280" w:lineRule="exact"/>
              <w:rPr>
                <w:rFonts w:ascii="汉仪书宋一简" w:eastAsia="汉仪书宋一简" w:cs="汉仪书宋二简"/>
                <w:kern w:val="0"/>
                <w:sz w:val="20"/>
                <w:szCs w:val="20"/>
              </w:rPr>
            </w:pPr>
            <w:r>
              <w:rPr>
                <w:rFonts w:hint="eastAsia" w:ascii="汉仪书宋一简" w:eastAsia="汉仪书宋一简" w:cs="汉仪书宋二简"/>
                <w:kern w:val="0"/>
                <w:sz w:val="20"/>
                <w:szCs w:val="20"/>
              </w:rPr>
              <w:t>（1）</w:t>
            </w:r>
            <w:r>
              <w:rPr>
                <w:rFonts w:hint="eastAsia" w:ascii="汉仪书宋一简" w:eastAsia="汉仪书宋一简" w:cs="Times New Roman"/>
                <w:sz w:val="20"/>
                <w:szCs w:val="20"/>
              </w:rPr>
              <w:t>留置权人有权留置标的物。债务人不清偿到期债务的，债权人可留置标的物以对抗债务人的返还请求权。</w:t>
            </w:r>
          </w:p>
        </w:tc>
      </w:tr>
      <w:tr w14:paraId="67DEC6B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507" w:type="dxa"/>
            <w:gridSpan w:val="2"/>
            <w:vMerge w:val="continue"/>
            <w:noWrap w:val="0"/>
            <w:vAlign w:val="top"/>
          </w:tcPr>
          <w:p w14:paraId="49812BA1">
            <w:pPr>
              <w:spacing w:before="21" w:beforeLines="5" w:after="42" w:afterLines="10" w:line="280" w:lineRule="exact"/>
              <w:jc w:val="center"/>
              <w:rPr>
                <w:rFonts w:ascii="汉仪书宋一简" w:hAnsi="Times New Roman" w:eastAsia="汉仪中黑简" w:cs="Times New Roman"/>
                <w:sz w:val="20"/>
                <w:szCs w:val="20"/>
              </w:rPr>
            </w:pPr>
          </w:p>
        </w:tc>
        <w:tc>
          <w:tcPr>
            <w:tcW w:w="6998" w:type="dxa"/>
            <w:noWrap w:val="0"/>
            <w:vAlign w:val="top"/>
          </w:tcPr>
          <w:p w14:paraId="40163E13">
            <w:pPr>
              <w:spacing w:before="21" w:beforeLines="5" w:after="84" w:afterLines="20" w:line="280" w:lineRule="exact"/>
              <w:rPr>
                <w:rFonts w:ascii="汉仪书宋一简" w:eastAsia="汉仪书宋一简" w:cs="汉仪书宋二简"/>
                <w:kern w:val="0"/>
                <w:sz w:val="20"/>
                <w:szCs w:val="20"/>
              </w:rPr>
            </w:pPr>
            <w:r>
              <w:rPr>
                <w:rFonts w:hint="eastAsia" w:ascii="汉仪书宋一简" w:eastAsia="汉仪书宋一简" w:cs="汉仪书宋二简"/>
                <w:kern w:val="0"/>
                <w:sz w:val="20"/>
                <w:szCs w:val="20"/>
              </w:rPr>
              <w:t>（2）</w:t>
            </w:r>
            <w:r>
              <w:rPr>
                <w:rFonts w:hint="eastAsia" w:ascii="汉仪书宋一简" w:eastAsia="汉仪书宋一简" w:cs="Times New Roman"/>
                <w:sz w:val="20"/>
                <w:szCs w:val="20"/>
              </w:rPr>
              <w:t>留置权人有权收取留置财产的孳息，包括天然孳息与法定孳息，收取的孳息应当先充抵收取孳息的费用</w:t>
            </w:r>
          </w:p>
        </w:tc>
      </w:tr>
      <w:tr w14:paraId="1F1652E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507" w:type="dxa"/>
            <w:gridSpan w:val="2"/>
            <w:vMerge w:val="continue"/>
            <w:noWrap w:val="0"/>
            <w:vAlign w:val="top"/>
          </w:tcPr>
          <w:p w14:paraId="3EB3EA57">
            <w:pPr>
              <w:spacing w:before="21" w:beforeLines="5" w:after="42" w:afterLines="10" w:line="280" w:lineRule="exact"/>
              <w:jc w:val="center"/>
              <w:rPr>
                <w:rFonts w:ascii="汉仪书宋一简" w:hAnsi="Times New Roman" w:eastAsia="汉仪中黑简" w:cs="Times New Roman"/>
                <w:sz w:val="20"/>
                <w:szCs w:val="20"/>
              </w:rPr>
            </w:pPr>
          </w:p>
        </w:tc>
        <w:tc>
          <w:tcPr>
            <w:tcW w:w="6998" w:type="dxa"/>
            <w:noWrap w:val="0"/>
            <w:vAlign w:val="top"/>
          </w:tcPr>
          <w:p w14:paraId="3815FA63">
            <w:pPr>
              <w:spacing w:before="21" w:beforeLines="5" w:after="84" w:afterLines="20" w:line="280" w:lineRule="exact"/>
              <w:rPr>
                <w:rFonts w:hint="default" w:ascii="汉仪书宋一简" w:eastAsia="汉仪书宋一简" w:cs="汉仪书宋二简"/>
                <w:kern w:val="0"/>
                <w:sz w:val="20"/>
                <w:szCs w:val="20"/>
                <w:lang w:val="en-US" w:eastAsia="zh-CN"/>
              </w:rPr>
            </w:pPr>
            <w:r>
              <w:rPr>
                <w:rFonts w:hint="eastAsia" w:ascii="汉仪书宋一简" w:eastAsia="汉仪书宋一简" w:cs="汉仪书宋二简"/>
                <w:kern w:val="0"/>
                <w:sz w:val="20"/>
                <w:szCs w:val="20"/>
              </w:rPr>
              <w:t>（3）</w:t>
            </w:r>
            <w:r>
              <w:rPr>
                <w:rFonts w:hint="eastAsia" w:ascii="汉仪书宋一简" w:eastAsia="汉仪书宋一简" w:cs="Times New Roman"/>
                <w:sz w:val="20"/>
                <w:szCs w:val="20"/>
              </w:rPr>
              <w:t>留置权人的变价与优先受偿权</w:t>
            </w:r>
            <w:r>
              <w:rPr>
                <w:rFonts w:hint="eastAsia" w:ascii="汉仪书宋一简" w:eastAsia="汉仪书宋一简" w:cs="Times New Roman"/>
                <w:sz w:val="20"/>
                <w:szCs w:val="20"/>
                <w:lang w:val="en-US" w:eastAsia="zh-CN"/>
              </w:rPr>
              <w:t xml:space="preserve"> </w:t>
            </w:r>
            <w:r>
              <w:rPr>
                <w:rFonts w:hint="eastAsia" w:ascii="汉仪书宋一简" w:eastAsia="汉仪书宋一简" w:cs="Times New Roman"/>
                <w:color w:val="0000FF"/>
                <w:sz w:val="20"/>
                <w:szCs w:val="20"/>
                <w:lang w:val="en-US" w:eastAsia="zh-CN"/>
              </w:rPr>
              <w:t xml:space="preserve"> 60天以上宽限期  鲜活易腐除外</w:t>
            </w:r>
          </w:p>
        </w:tc>
      </w:tr>
    </w:tbl>
    <w:p w14:paraId="6C282895">
      <w:pPr>
        <w:pStyle w:val="2"/>
        <w:spacing w:line="276" w:lineRule="auto"/>
        <w:jc w:val="center"/>
        <w:rPr>
          <w:rFonts w:ascii="Times New Roman" w:hAnsi="Times New Roman" w:cs="Times New Roman"/>
          <w:bCs w:val="0"/>
          <w:color w:val="000000"/>
          <w:sz w:val="36"/>
          <w:szCs w:val="36"/>
          <w:highlight w:val="none"/>
        </w:rPr>
      </w:pPr>
      <w:r>
        <w:rPr>
          <w:rFonts w:ascii="Times New Roman" w:hAnsi="Times New Roman" w:cs="Times New Roman"/>
          <w:bCs w:val="0"/>
          <w:color w:val="000000"/>
          <w:sz w:val="36"/>
          <w:szCs w:val="36"/>
        </w:rPr>
        <w:t>考点</w:t>
      </w:r>
      <w:r>
        <w:rPr>
          <w:rFonts w:ascii="Times New Roman" w:hAnsi="Times New Roman" w:cs="Times New Roman"/>
          <w:bCs w:val="0"/>
          <w:color w:val="000000"/>
          <w:sz w:val="36"/>
          <w:szCs w:val="36"/>
          <w:highlight w:val="none"/>
        </w:rPr>
        <w:t>15  共同担保、担保竞合</w:t>
      </w:r>
      <w:bookmarkEnd w:id="5"/>
    </w:p>
    <w:p w14:paraId="51C929E2">
      <w:pPr>
        <w:spacing w:line="276" w:lineRule="auto"/>
        <w:jc w:val="left"/>
        <w:outlineLvl w:val="1"/>
        <w:rPr>
          <w:rFonts w:ascii="Times New Roman" w:hAnsi="Times New Roman" w:cs="Times New Roman"/>
          <w:b/>
          <w:color w:val="000000"/>
          <w:szCs w:val="21"/>
          <w:highlight w:val="none"/>
        </w:rPr>
      </w:pPr>
      <w:r>
        <w:rPr>
          <w:rFonts w:ascii="Times New Roman" w:hAnsi="Times New Roman" w:cs="Times New Roman"/>
          <w:b/>
          <w:color w:val="000000"/>
          <w:szCs w:val="21"/>
          <w:highlight w:val="none"/>
        </w:rPr>
        <w:t>一、共同担保</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5579"/>
      </w:tblGrid>
      <w:tr w14:paraId="419E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gridSpan w:val="2"/>
            <w:vMerge w:val="restart"/>
            <w:noWrap w:val="0"/>
            <w:vAlign w:val="center"/>
          </w:tcPr>
          <w:p w14:paraId="2968C52C">
            <w:pPr>
              <w:jc w:val="center"/>
              <w:rPr>
                <w:rFonts w:ascii="Times New Roman" w:hAnsi="Times New Roman" w:cs="Times New Roman"/>
                <w:b/>
                <w:color w:val="000000"/>
                <w:szCs w:val="21"/>
                <w:highlight w:val="none"/>
              </w:rPr>
            </w:pPr>
            <w:r>
              <w:rPr>
                <w:rFonts w:ascii="Times New Roman" w:hAnsi="Times New Roman" w:cs="Times New Roman"/>
                <w:b/>
                <w:color w:val="000000"/>
                <w:szCs w:val="21"/>
                <w:highlight w:val="none"/>
              </w:rPr>
              <w:t>共同担保的类型</w:t>
            </w:r>
          </w:p>
        </w:tc>
        <w:tc>
          <w:tcPr>
            <w:tcW w:w="5579" w:type="dxa"/>
            <w:noWrap w:val="0"/>
            <w:vAlign w:val="top"/>
          </w:tcPr>
          <w:p w14:paraId="0EE91287">
            <w:pPr>
              <w:rPr>
                <w:rFonts w:ascii="Times New Roman" w:hAnsi="Times New Roman" w:cs="Times New Roman"/>
                <w:bCs/>
                <w:color w:val="000000"/>
                <w:szCs w:val="21"/>
                <w:highlight w:val="none"/>
              </w:rPr>
            </w:pPr>
            <w:r>
              <w:rPr>
                <w:rFonts w:ascii="Times New Roman" w:hAnsi="Times New Roman" w:cs="Times New Roman"/>
                <w:bCs/>
                <w:color w:val="000000"/>
                <w:szCs w:val="21"/>
                <w:highlight w:val="none"/>
              </w:rPr>
              <w:t>（1）人保+人保（</w:t>
            </w:r>
            <w:r>
              <w:rPr>
                <w:rFonts w:hint="eastAsia" w:ascii="Times New Roman" w:hAnsi="Times New Roman" w:cs="Times New Roman"/>
                <w:bCs/>
                <w:color w:val="000000"/>
                <w:szCs w:val="21"/>
                <w:highlight w:val="none"/>
              </w:rPr>
              <w:t>如</w:t>
            </w:r>
            <w:r>
              <w:rPr>
                <w:rFonts w:ascii="Times New Roman" w:hAnsi="Times New Roman" w:cs="Times New Roman"/>
                <w:bCs/>
                <w:color w:val="000000"/>
                <w:szCs w:val="21"/>
                <w:highlight w:val="none"/>
              </w:rPr>
              <w:t>共同保证）</w:t>
            </w:r>
          </w:p>
        </w:tc>
      </w:tr>
      <w:tr w14:paraId="6B34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gridSpan w:val="2"/>
            <w:vMerge w:val="continue"/>
            <w:noWrap w:val="0"/>
            <w:vAlign w:val="center"/>
          </w:tcPr>
          <w:p w14:paraId="3443C715">
            <w:pPr>
              <w:jc w:val="center"/>
              <w:rPr>
                <w:rFonts w:ascii="Times New Roman" w:hAnsi="Times New Roman" w:cs="Times New Roman"/>
                <w:b/>
                <w:color w:val="000000"/>
                <w:szCs w:val="21"/>
                <w:highlight w:val="none"/>
              </w:rPr>
            </w:pPr>
          </w:p>
        </w:tc>
        <w:tc>
          <w:tcPr>
            <w:tcW w:w="5579" w:type="dxa"/>
            <w:noWrap w:val="0"/>
            <w:vAlign w:val="top"/>
          </w:tcPr>
          <w:p w14:paraId="3781A9F6">
            <w:pPr>
              <w:rPr>
                <w:rFonts w:ascii="Times New Roman" w:hAnsi="Times New Roman" w:cs="Times New Roman"/>
                <w:bCs/>
                <w:color w:val="000000"/>
                <w:szCs w:val="21"/>
                <w:highlight w:val="none"/>
              </w:rPr>
            </w:pPr>
            <w:r>
              <w:rPr>
                <w:rFonts w:ascii="Times New Roman" w:hAnsi="Times New Roman" w:cs="Times New Roman"/>
                <w:bCs/>
                <w:color w:val="000000"/>
                <w:szCs w:val="21"/>
                <w:highlight w:val="none"/>
              </w:rPr>
              <w:t>（2）物保+物保（</w:t>
            </w:r>
            <w:r>
              <w:rPr>
                <w:rFonts w:hint="eastAsia" w:ascii="Times New Roman" w:hAnsi="Times New Roman" w:cs="Times New Roman"/>
                <w:bCs/>
                <w:color w:val="000000"/>
                <w:szCs w:val="21"/>
                <w:highlight w:val="none"/>
              </w:rPr>
              <w:t>如</w:t>
            </w:r>
            <w:r>
              <w:rPr>
                <w:rFonts w:ascii="Times New Roman" w:hAnsi="Times New Roman" w:cs="Times New Roman"/>
                <w:bCs/>
                <w:color w:val="000000"/>
                <w:szCs w:val="21"/>
                <w:highlight w:val="none"/>
              </w:rPr>
              <w:t>共同抵押）</w:t>
            </w:r>
          </w:p>
        </w:tc>
      </w:tr>
      <w:tr w14:paraId="2BBA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gridSpan w:val="2"/>
            <w:vMerge w:val="continue"/>
            <w:noWrap w:val="0"/>
            <w:vAlign w:val="center"/>
          </w:tcPr>
          <w:p w14:paraId="5BE67D4C">
            <w:pPr>
              <w:jc w:val="center"/>
              <w:rPr>
                <w:rFonts w:ascii="Times New Roman" w:hAnsi="Times New Roman" w:cs="Times New Roman"/>
                <w:b/>
                <w:color w:val="000000"/>
                <w:szCs w:val="21"/>
                <w:highlight w:val="none"/>
              </w:rPr>
            </w:pPr>
          </w:p>
        </w:tc>
        <w:tc>
          <w:tcPr>
            <w:tcW w:w="5579" w:type="dxa"/>
            <w:noWrap w:val="0"/>
            <w:vAlign w:val="top"/>
          </w:tcPr>
          <w:p w14:paraId="6CCD12A6">
            <w:pPr>
              <w:rPr>
                <w:rFonts w:ascii="Times New Roman" w:hAnsi="Times New Roman" w:cs="Times New Roman"/>
                <w:bCs/>
                <w:color w:val="000000"/>
                <w:szCs w:val="21"/>
                <w:highlight w:val="none"/>
              </w:rPr>
            </w:pPr>
            <w:r>
              <w:rPr>
                <w:rFonts w:ascii="Times New Roman" w:hAnsi="Times New Roman" w:cs="Times New Roman"/>
                <w:bCs/>
                <w:color w:val="000000"/>
                <w:szCs w:val="21"/>
                <w:highlight w:val="none"/>
              </w:rPr>
              <w:t>（3）物保+人保（</w:t>
            </w:r>
            <w:r>
              <w:rPr>
                <w:rFonts w:hint="eastAsia" w:ascii="Times New Roman" w:hAnsi="Times New Roman" w:cs="Times New Roman"/>
                <w:bCs/>
                <w:color w:val="000000"/>
                <w:szCs w:val="21"/>
                <w:highlight w:val="none"/>
              </w:rPr>
              <w:t>如混</w:t>
            </w:r>
            <w:r>
              <w:rPr>
                <w:rFonts w:ascii="Times New Roman" w:hAnsi="Times New Roman" w:cs="Times New Roman"/>
                <w:bCs/>
                <w:color w:val="000000"/>
                <w:szCs w:val="21"/>
                <w:highlight w:val="none"/>
              </w:rPr>
              <w:t>合共同担保）</w:t>
            </w:r>
          </w:p>
        </w:tc>
      </w:tr>
      <w:tr w14:paraId="04B20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gridSpan w:val="2"/>
            <w:noWrap w:val="0"/>
            <w:vAlign w:val="center"/>
          </w:tcPr>
          <w:p w14:paraId="0B963F1F">
            <w:pPr>
              <w:jc w:val="center"/>
              <w:rPr>
                <w:rFonts w:ascii="Times New Roman" w:hAnsi="Times New Roman" w:cs="Times New Roman"/>
                <w:b/>
                <w:color w:val="000000"/>
                <w:szCs w:val="21"/>
                <w:highlight w:val="none"/>
              </w:rPr>
            </w:pPr>
            <w:r>
              <w:rPr>
                <w:rFonts w:ascii="Times New Roman" w:hAnsi="Times New Roman" w:cs="Times New Roman"/>
                <w:b/>
                <w:color w:val="000000"/>
                <w:szCs w:val="21"/>
                <w:highlight w:val="none"/>
              </w:rPr>
              <w:t>共同担保中的意思自治</w:t>
            </w:r>
          </w:p>
        </w:tc>
        <w:tc>
          <w:tcPr>
            <w:tcW w:w="5579" w:type="dxa"/>
            <w:noWrap w:val="0"/>
            <w:vAlign w:val="top"/>
          </w:tcPr>
          <w:p w14:paraId="0A2924A6">
            <w:pPr>
              <w:rPr>
                <w:rFonts w:ascii="Times New Roman" w:hAnsi="Times New Roman" w:cs="Times New Roman"/>
                <w:bCs/>
                <w:color w:val="000000"/>
                <w:szCs w:val="21"/>
                <w:highlight w:val="none"/>
              </w:rPr>
            </w:pPr>
            <w:r>
              <w:rPr>
                <w:rFonts w:ascii="Times New Roman" w:hAnsi="Times New Roman" w:cs="Times New Roman"/>
                <w:bCs/>
                <w:color w:val="000000"/>
                <w:szCs w:val="21"/>
                <w:highlight w:val="none"/>
              </w:rPr>
              <w:t>担保人与债权人可以约定各自的担保范围、担保责任的承担顺序、担保人之间的追偿比例等</w:t>
            </w:r>
          </w:p>
        </w:tc>
      </w:tr>
      <w:tr w14:paraId="6089E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noWrap w:val="0"/>
            <w:vAlign w:val="center"/>
          </w:tcPr>
          <w:p w14:paraId="1D69107F">
            <w:pPr>
              <w:jc w:val="center"/>
              <w:rPr>
                <w:rFonts w:ascii="Times New Roman" w:hAnsi="Times New Roman" w:cs="Times New Roman"/>
                <w:b/>
                <w:color w:val="000000"/>
                <w:szCs w:val="21"/>
                <w:highlight w:val="none"/>
              </w:rPr>
            </w:pPr>
            <w:r>
              <w:rPr>
                <w:rFonts w:ascii="Times New Roman" w:hAnsi="Times New Roman" w:cs="Times New Roman"/>
                <w:b/>
                <w:color w:val="000000"/>
                <w:szCs w:val="21"/>
                <w:highlight w:val="none"/>
              </w:rPr>
              <w:t>欠缺约定时的推定规则</w:t>
            </w:r>
          </w:p>
        </w:tc>
        <w:tc>
          <w:tcPr>
            <w:tcW w:w="1559" w:type="dxa"/>
            <w:vMerge w:val="restart"/>
            <w:noWrap w:val="0"/>
            <w:vAlign w:val="center"/>
          </w:tcPr>
          <w:p w14:paraId="15692FF7">
            <w:pPr>
              <w:jc w:val="center"/>
              <w:rPr>
                <w:rFonts w:ascii="Times New Roman" w:hAnsi="Times New Roman" w:cs="Times New Roman"/>
                <w:b/>
                <w:color w:val="000000"/>
                <w:szCs w:val="21"/>
                <w:highlight w:val="none"/>
              </w:rPr>
            </w:pPr>
            <w:r>
              <w:rPr>
                <w:rFonts w:ascii="Times New Roman" w:hAnsi="Times New Roman" w:cs="Times New Roman"/>
                <w:b/>
                <w:color w:val="000000"/>
                <w:szCs w:val="21"/>
                <w:highlight w:val="none"/>
              </w:rPr>
              <w:t>担保权的实现顺序</w:t>
            </w:r>
          </w:p>
        </w:tc>
        <w:tc>
          <w:tcPr>
            <w:tcW w:w="5579" w:type="dxa"/>
            <w:noWrap w:val="0"/>
            <w:vAlign w:val="top"/>
          </w:tcPr>
          <w:p w14:paraId="3829FB73">
            <w:pPr>
              <w:rPr>
                <w:rFonts w:ascii="Times New Roman" w:hAnsi="Times New Roman" w:cs="Times New Roman"/>
                <w:bCs/>
                <w:color w:val="000000"/>
                <w:szCs w:val="21"/>
                <w:highlight w:val="none"/>
              </w:rPr>
            </w:pPr>
            <w:r>
              <w:rPr>
                <w:rFonts w:ascii="Times New Roman" w:hAnsi="Times New Roman" w:cs="Times New Roman"/>
                <w:bCs/>
                <w:color w:val="000000"/>
                <w:szCs w:val="21"/>
                <w:highlight w:val="none"/>
              </w:rPr>
              <w:t>（1）有债务人提供的物保时，</w:t>
            </w:r>
            <w:r>
              <w:rPr>
                <w:rFonts w:ascii="Times New Roman" w:hAnsi="Times New Roman" w:cs="Times New Roman"/>
                <w:b/>
                <w:color w:val="000000"/>
                <w:szCs w:val="21"/>
                <w:highlight w:val="none"/>
                <w:u w:val="single"/>
              </w:rPr>
              <w:t>债务人提供的物保优先</w:t>
            </w:r>
          </w:p>
        </w:tc>
      </w:tr>
      <w:tr w14:paraId="055EF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center"/>
          </w:tcPr>
          <w:p w14:paraId="41E5C2A3">
            <w:pPr>
              <w:jc w:val="center"/>
              <w:rPr>
                <w:rFonts w:ascii="Times New Roman" w:hAnsi="Times New Roman" w:cs="Times New Roman"/>
                <w:b/>
                <w:color w:val="000000"/>
                <w:szCs w:val="21"/>
                <w:highlight w:val="none"/>
              </w:rPr>
            </w:pPr>
          </w:p>
        </w:tc>
        <w:tc>
          <w:tcPr>
            <w:tcW w:w="1559" w:type="dxa"/>
            <w:vMerge w:val="continue"/>
            <w:noWrap w:val="0"/>
            <w:vAlign w:val="center"/>
          </w:tcPr>
          <w:p w14:paraId="0ACBD5D5">
            <w:pPr>
              <w:jc w:val="center"/>
              <w:rPr>
                <w:rFonts w:ascii="Times New Roman" w:hAnsi="Times New Roman" w:cs="Times New Roman"/>
                <w:b/>
                <w:color w:val="000000"/>
                <w:szCs w:val="21"/>
                <w:highlight w:val="none"/>
              </w:rPr>
            </w:pPr>
          </w:p>
        </w:tc>
        <w:tc>
          <w:tcPr>
            <w:tcW w:w="5579" w:type="dxa"/>
            <w:noWrap w:val="0"/>
            <w:vAlign w:val="top"/>
          </w:tcPr>
          <w:p w14:paraId="3C62E63C">
            <w:pPr>
              <w:rPr>
                <w:rFonts w:ascii="Times New Roman" w:hAnsi="Times New Roman" w:cs="Times New Roman"/>
                <w:bCs/>
                <w:color w:val="000000"/>
                <w:szCs w:val="21"/>
                <w:highlight w:val="none"/>
              </w:rPr>
            </w:pPr>
            <w:r>
              <w:rPr>
                <w:rFonts w:ascii="Times New Roman" w:hAnsi="Times New Roman" w:cs="Times New Roman"/>
                <w:bCs/>
                <w:color w:val="000000"/>
                <w:szCs w:val="21"/>
                <w:highlight w:val="none"/>
              </w:rPr>
              <w:t>（2）</w:t>
            </w:r>
            <w:r>
              <w:rPr>
                <w:rFonts w:ascii="Times New Roman" w:hAnsi="Times New Roman" w:cs="Times New Roman"/>
                <w:b/>
                <w:color w:val="000000"/>
                <w:szCs w:val="21"/>
                <w:highlight w:val="none"/>
                <w:u w:val="single"/>
              </w:rPr>
              <w:t>第三人提供担保（不论人保物保）债权人可自由选择</w:t>
            </w:r>
          </w:p>
        </w:tc>
      </w:tr>
      <w:tr w14:paraId="4C5A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center"/>
          </w:tcPr>
          <w:p w14:paraId="5B4F0332">
            <w:pPr>
              <w:jc w:val="center"/>
              <w:rPr>
                <w:rFonts w:ascii="Times New Roman" w:hAnsi="Times New Roman" w:cs="Times New Roman"/>
                <w:b/>
                <w:color w:val="000000"/>
                <w:szCs w:val="21"/>
                <w:highlight w:val="none"/>
              </w:rPr>
            </w:pPr>
          </w:p>
        </w:tc>
        <w:tc>
          <w:tcPr>
            <w:tcW w:w="1559" w:type="dxa"/>
            <w:noWrap w:val="0"/>
            <w:vAlign w:val="center"/>
          </w:tcPr>
          <w:p w14:paraId="7CA36F9C">
            <w:pPr>
              <w:jc w:val="center"/>
              <w:rPr>
                <w:rFonts w:ascii="Times New Roman" w:hAnsi="Times New Roman" w:cs="Times New Roman"/>
                <w:b/>
                <w:color w:val="000000"/>
                <w:szCs w:val="21"/>
                <w:highlight w:val="none"/>
              </w:rPr>
            </w:pPr>
            <w:r>
              <w:rPr>
                <w:rFonts w:ascii="Times New Roman" w:hAnsi="Times New Roman" w:cs="Times New Roman"/>
                <w:b/>
                <w:color w:val="000000"/>
                <w:szCs w:val="21"/>
                <w:highlight w:val="none"/>
              </w:rPr>
              <w:t>担保人对债务人的追偿权</w:t>
            </w:r>
          </w:p>
        </w:tc>
        <w:tc>
          <w:tcPr>
            <w:tcW w:w="5579" w:type="dxa"/>
            <w:noWrap w:val="0"/>
            <w:vAlign w:val="top"/>
          </w:tcPr>
          <w:p w14:paraId="1194D495">
            <w:pPr>
              <w:rPr>
                <w:rFonts w:ascii="Times New Roman" w:hAnsi="Times New Roman" w:cs="Times New Roman"/>
                <w:b/>
                <w:color w:val="000000"/>
                <w:szCs w:val="21"/>
                <w:highlight w:val="none"/>
                <w:u w:val="single"/>
              </w:rPr>
            </w:pPr>
            <w:r>
              <w:rPr>
                <w:rFonts w:ascii="Times New Roman" w:hAnsi="Times New Roman" w:cs="Times New Roman"/>
                <w:b/>
                <w:color w:val="000000"/>
                <w:szCs w:val="21"/>
                <w:highlight w:val="none"/>
                <w:u w:val="single"/>
              </w:rPr>
              <w:t>担保人承担担保责任后有权向债务人追偿，并享有债权人对债务人的权利</w:t>
            </w:r>
          </w:p>
        </w:tc>
      </w:tr>
      <w:tr w14:paraId="74DC0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center"/>
          </w:tcPr>
          <w:p w14:paraId="62619EB4">
            <w:pPr>
              <w:jc w:val="center"/>
              <w:rPr>
                <w:rFonts w:ascii="Times New Roman" w:hAnsi="Times New Roman" w:cs="Times New Roman"/>
                <w:b/>
                <w:color w:val="000000"/>
                <w:szCs w:val="21"/>
                <w:highlight w:val="none"/>
              </w:rPr>
            </w:pPr>
          </w:p>
        </w:tc>
        <w:tc>
          <w:tcPr>
            <w:tcW w:w="1559" w:type="dxa"/>
            <w:noWrap w:val="0"/>
            <w:vAlign w:val="center"/>
          </w:tcPr>
          <w:p w14:paraId="2C4A1A62">
            <w:pPr>
              <w:jc w:val="center"/>
              <w:rPr>
                <w:rFonts w:ascii="Times New Roman" w:hAnsi="Times New Roman" w:cs="Times New Roman"/>
                <w:b/>
                <w:color w:val="000000"/>
                <w:szCs w:val="21"/>
                <w:highlight w:val="none"/>
              </w:rPr>
            </w:pPr>
            <w:r>
              <w:rPr>
                <w:rFonts w:ascii="Times New Roman" w:hAnsi="Times New Roman" w:cs="Times New Roman"/>
                <w:b/>
                <w:color w:val="000000"/>
                <w:szCs w:val="21"/>
                <w:highlight w:val="none"/>
              </w:rPr>
              <w:t>担保人之间的追偿权</w:t>
            </w:r>
          </w:p>
        </w:tc>
        <w:tc>
          <w:tcPr>
            <w:tcW w:w="5579" w:type="dxa"/>
            <w:noWrap w:val="0"/>
            <w:vAlign w:val="top"/>
          </w:tcPr>
          <w:p w14:paraId="1513AFF2">
            <w:pPr>
              <w:rPr>
                <w:rFonts w:ascii="Times New Roman" w:hAnsi="Times New Roman" w:cs="Times New Roman"/>
                <w:bCs/>
                <w:color w:val="000000"/>
                <w:szCs w:val="21"/>
                <w:highlight w:val="none"/>
              </w:rPr>
            </w:pPr>
            <w:r>
              <w:rPr>
                <w:rFonts w:ascii="Times New Roman" w:hAnsi="Times New Roman" w:cs="Times New Roman"/>
                <w:b/>
                <w:color w:val="000000"/>
                <w:szCs w:val="21"/>
                <w:highlight w:val="none"/>
                <w:u w:val="single"/>
              </w:rPr>
              <w:t>原则上担保人之间不得互相追偿</w:t>
            </w:r>
            <w:r>
              <w:rPr>
                <w:rFonts w:ascii="Times New Roman" w:hAnsi="Times New Roman" w:cs="Times New Roman"/>
                <w:bCs/>
                <w:color w:val="000000"/>
                <w:szCs w:val="21"/>
                <w:highlight w:val="none"/>
              </w:rPr>
              <w:t>，除非满足下列情形之一：</w:t>
            </w:r>
          </w:p>
          <w:p w14:paraId="212C40A9">
            <w:pPr>
              <w:rPr>
                <w:rFonts w:ascii="Times New Roman" w:hAnsi="Times New Roman" w:cs="Times New Roman"/>
                <w:bCs/>
                <w:color w:val="000000"/>
                <w:szCs w:val="21"/>
                <w:highlight w:val="none"/>
              </w:rPr>
            </w:pPr>
            <w:r>
              <w:rPr>
                <w:rFonts w:ascii="Times New Roman" w:hAnsi="Times New Roman" w:cs="Times New Roman"/>
                <w:bCs/>
                <w:color w:val="000000"/>
                <w:szCs w:val="21"/>
                <w:highlight w:val="none"/>
              </w:rPr>
              <w:t>（1）担保人之间约定相互追偿</w:t>
            </w:r>
          </w:p>
          <w:p w14:paraId="27C4D54B">
            <w:pPr>
              <w:rPr>
                <w:rFonts w:ascii="Times New Roman" w:hAnsi="Times New Roman" w:cs="Times New Roman"/>
                <w:bCs/>
                <w:color w:val="000000"/>
                <w:szCs w:val="21"/>
                <w:highlight w:val="none"/>
              </w:rPr>
            </w:pPr>
            <w:r>
              <w:rPr>
                <w:rFonts w:ascii="Times New Roman" w:hAnsi="Times New Roman" w:cs="Times New Roman"/>
                <w:bCs/>
                <w:color w:val="000000"/>
                <w:szCs w:val="21"/>
                <w:highlight w:val="none"/>
              </w:rPr>
              <w:t>（2）担保人之间约定承担连带共同担保</w:t>
            </w:r>
          </w:p>
          <w:p w14:paraId="29E19551">
            <w:pPr>
              <w:rPr>
                <w:rFonts w:ascii="Times New Roman" w:hAnsi="Times New Roman" w:cs="Times New Roman"/>
                <w:bCs/>
                <w:color w:val="000000"/>
                <w:szCs w:val="21"/>
                <w:highlight w:val="none"/>
              </w:rPr>
            </w:pPr>
            <w:r>
              <w:rPr>
                <w:rFonts w:ascii="Times New Roman" w:hAnsi="Times New Roman" w:cs="Times New Roman"/>
                <w:bCs/>
                <w:color w:val="000000"/>
                <w:szCs w:val="21"/>
                <w:highlight w:val="none"/>
              </w:rPr>
              <w:t>（3）各担保人在同一份合同书上签字、盖章或者按指印</w:t>
            </w:r>
          </w:p>
        </w:tc>
      </w:tr>
    </w:tbl>
    <w:p w14:paraId="088F3EF4">
      <w:pPr>
        <w:spacing w:line="276" w:lineRule="auto"/>
        <w:ind w:firstLine="420"/>
        <w:rPr>
          <w:rFonts w:ascii="Times New Roman" w:hAnsi="Times New Roman" w:eastAsia="楷体" w:cs="Times New Roman"/>
          <w:color w:val="000000"/>
          <w:szCs w:val="21"/>
          <w:highlight w:val="none"/>
        </w:rPr>
      </w:pPr>
    </w:p>
    <w:p w14:paraId="00FBD4DA">
      <w:pPr>
        <w:spacing w:line="276" w:lineRule="auto"/>
        <w:ind w:firstLine="422" w:firstLineChars="200"/>
        <w:jc w:val="left"/>
        <w:outlineLvl w:val="1"/>
        <w:rPr>
          <w:rFonts w:ascii="Times New Roman" w:hAnsi="Times New Roman" w:cs="Times New Roman"/>
          <w:b/>
          <w:color w:val="000000"/>
          <w:szCs w:val="21"/>
        </w:rPr>
      </w:pPr>
      <w:r>
        <w:rPr>
          <w:rFonts w:ascii="Times New Roman" w:hAnsi="Times New Roman" w:cs="Times New Roman"/>
          <w:b/>
          <w:color w:val="000000"/>
          <w:szCs w:val="21"/>
        </w:rPr>
        <w:t>二、担保物权的竞合</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409"/>
        <w:gridCol w:w="5012"/>
      </w:tblGrid>
      <w:tr w14:paraId="6EB27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vMerge w:val="restart"/>
            <w:noWrap w:val="0"/>
            <w:vAlign w:val="center"/>
          </w:tcPr>
          <w:p w14:paraId="0B3EAF0B">
            <w:pPr>
              <w:jc w:val="center"/>
              <w:rPr>
                <w:rFonts w:ascii="Times New Roman" w:hAnsi="Times New Roman" w:cs="Times New Roman"/>
                <w:b/>
                <w:color w:val="000000"/>
                <w:szCs w:val="21"/>
              </w:rPr>
            </w:pPr>
            <w:r>
              <w:rPr>
                <w:rFonts w:ascii="Times New Roman" w:hAnsi="Times New Roman" w:cs="Times New Roman"/>
                <w:b/>
                <w:color w:val="000000"/>
                <w:szCs w:val="21"/>
              </w:rPr>
              <w:t>法定担保物权优先于意定担保物权</w:t>
            </w:r>
          </w:p>
        </w:tc>
        <w:tc>
          <w:tcPr>
            <w:tcW w:w="5012" w:type="dxa"/>
            <w:noWrap w:val="0"/>
            <w:vAlign w:val="top"/>
          </w:tcPr>
          <w:p w14:paraId="384EE193">
            <w:pPr>
              <w:rPr>
                <w:rFonts w:ascii="Times New Roman" w:hAnsi="Times New Roman" w:cs="Times New Roman"/>
                <w:bCs/>
                <w:color w:val="000000"/>
                <w:szCs w:val="21"/>
              </w:rPr>
            </w:pPr>
            <w:r>
              <w:rPr>
                <w:rFonts w:ascii="Times New Roman" w:hAnsi="Times New Roman" w:cs="Times New Roman"/>
                <w:bCs/>
                <w:color w:val="000000"/>
                <w:szCs w:val="21"/>
              </w:rPr>
              <w:t>（1）留置权优先于在先设立的抵押权与质权</w:t>
            </w:r>
          </w:p>
        </w:tc>
      </w:tr>
      <w:tr w14:paraId="01B2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vMerge w:val="continue"/>
            <w:noWrap w:val="0"/>
            <w:vAlign w:val="center"/>
          </w:tcPr>
          <w:p w14:paraId="6E888404">
            <w:pPr>
              <w:jc w:val="center"/>
              <w:rPr>
                <w:rFonts w:ascii="Times New Roman" w:hAnsi="Times New Roman" w:cs="Times New Roman"/>
                <w:b/>
                <w:color w:val="000000"/>
                <w:szCs w:val="21"/>
              </w:rPr>
            </w:pPr>
          </w:p>
        </w:tc>
        <w:tc>
          <w:tcPr>
            <w:tcW w:w="5012" w:type="dxa"/>
            <w:noWrap w:val="0"/>
            <w:vAlign w:val="top"/>
          </w:tcPr>
          <w:p w14:paraId="70BB559C">
            <w:pPr>
              <w:rPr>
                <w:rFonts w:ascii="Times New Roman" w:hAnsi="Times New Roman" w:cs="Times New Roman"/>
                <w:bCs/>
                <w:color w:val="000000"/>
                <w:szCs w:val="21"/>
              </w:rPr>
            </w:pPr>
            <w:r>
              <w:rPr>
                <w:rFonts w:ascii="Times New Roman" w:hAnsi="Times New Roman" w:cs="Times New Roman"/>
                <w:bCs/>
                <w:color w:val="000000"/>
                <w:szCs w:val="21"/>
              </w:rPr>
              <w:t>（2）建设工程价款优先权优先于抵押权</w:t>
            </w:r>
          </w:p>
        </w:tc>
      </w:tr>
      <w:tr w14:paraId="08ECA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noWrap w:val="0"/>
            <w:vAlign w:val="center"/>
          </w:tcPr>
          <w:p w14:paraId="4DE7A88C">
            <w:pPr>
              <w:jc w:val="center"/>
              <w:rPr>
                <w:rFonts w:ascii="Times New Roman" w:hAnsi="Times New Roman" w:cs="Times New Roman"/>
                <w:b/>
                <w:color w:val="000000"/>
                <w:szCs w:val="21"/>
              </w:rPr>
            </w:pPr>
            <w:r>
              <w:rPr>
                <w:rFonts w:ascii="Times New Roman" w:hAnsi="Times New Roman" w:cs="Times New Roman"/>
                <w:b/>
                <w:color w:val="000000"/>
                <w:szCs w:val="21"/>
              </w:rPr>
              <w:t>意定担保物权竞合</w:t>
            </w:r>
          </w:p>
        </w:tc>
        <w:tc>
          <w:tcPr>
            <w:tcW w:w="2409" w:type="dxa"/>
            <w:vMerge w:val="restart"/>
            <w:noWrap w:val="0"/>
            <w:vAlign w:val="center"/>
          </w:tcPr>
          <w:p w14:paraId="1D28EA50">
            <w:pPr>
              <w:jc w:val="center"/>
              <w:rPr>
                <w:rFonts w:ascii="Times New Roman" w:hAnsi="Times New Roman" w:cs="Times New Roman"/>
                <w:b/>
                <w:color w:val="000000"/>
                <w:szCs w:val="21"/>
              </w:rPr>
            </w:pPr>
            <w:r>
              <w:rPr>
                <w:rFonts w:ascii="Times New Roman" w:hAnsi="Times New Roman" w:cs="Times New Roman"/>
                <w:b/>
                <w:color w:val="000000"/>
                <w:szCs w:val="21"/>
              </w:rPr>
              <w:t>一般规则</w:t>
            </w:r>
          </w:p>
        </w:tc>
        <w:tc>
          <w:tcPr>
            <w:tcW w:w="5012" w:type="dxa"/>
            <w:noWrap w:val="0"/>
            <w:vAlign w:val="top"/>
          </w:tcPr>
          <w:p w14:paraId="0CDD9EC8">
            <w:pPr>
              <w:rPr>
                <w:rFonts w:ascii="Times New Roman" w:hAnsi="Times New Roman" w:cs="Times New Roman"/>
                <w:bCs/>
                <w:color w:val="000000"/>
                <w:szCs w:val="21"/>
              </w:rPr>
            </w:pPr>
            <w:r>
              <w:rPr>
                <w:rFonts w:ascii="Times New Roman" w:hAnsi="Times New Roman" w:cs="Times New Roman"/>
                <w:bCs/>
                <w:color w:val="000000"/>
                <w:szCs w:val="21"/>
              </w:rPr>
              <w:t>（1）均公示的，先公示的担保物权优先于后公示的担保物权</w:t>
            </w:r>
          </w:p>
        </w:tc>
      </w:tr>
      <w:tr w14:paraId="73C80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top"/>
          </w:tcPr>
          <w:p w14:paraId="5F24614D">
            <w:pPr>
              <w:rPr>
                <w:rFonts w:ascii="Times New Roman" w:hAnsi="Times New Roman" w:cs="Times New Roman"/>
                <w:b/>
                <w:color w:val="000000"/>
                <w:szCs w:val="21"/>
              </w:rPr>
            </w:pPr>
          </w:p>
        </w:tc>
        <w:tc>
          <w:tcPr>
            <w:tcW w:w="2409" w:type="dxa"/>
            <w:vMerge w:val="continue"/>
            <w:noWrap w:val="0"/>
            <w:vAlign w:val="center"/>
          </w:tcPr>
          <w:p w14:paraId="7AA221B2">
            <w:pPr>
              <w:jc w:val="center"/>
              <w:rPr>
                <w:rFonts w:ascii="Times New Roman" w:hAnsi="Times New Roman" w:cs="Times New Roman"/>
                <w:b/>
                <w:color w:val="000000"/>
                <w:szCs w:val="21"/>
              </w:rPr>
            </w:pPr>
          </w:p>
        </w:tc>
        <w:tc>
          <w:tcPr>
            <w:tcW w:w="5012" w:type="dxa"/>
            <w:noWrap w:val="0"/>
            <w:vAlign w:val="top"/>
          </w:tcPr>
          <w:p w14:paraId="5AE0A391">
            <w:pPr>
              <w:rPr>
                <w:rFonts w:hint="eastAsia" w:ascii="Times New Roman" w:hAnsi="Times New Roman" w:eastAsia="宋体" w:cs="Times New Roman"/>
                <w:bCs/>
                <w:color w:val="000000"/>
                <w:szCs w:val="21"/>
                <w:lang w:eastAsia="zh-CN"/>
              </w:rPr>
            </w:pPr>
            <w:r>
              <w:rPr>
                <w:rFonts w:ascii="Times New Roman" w:hAnsi="Times New Roman" w:cs="Times New Roman"/>
                <w:bCs/>
                <w:color w:val="000000"/>
                <w:szCs w:val="21"/>
              </w:rPr>
              <w:t>（2）有的公示，有的未公示，已经公示的担保物权优先于未公示的担保物权</w:t>
            </w:r>
            <w:r>
              <w:rPr>
                <w:rFonts w:hint="eastAsia" w:ascii="Times New Roman" w:hAnsi="Times New Roman" w:cs="Times New Roman"/>
                <w:bCs/>
                <w:color w:val="000000"/>
                <w:szCs w:val="21"/>
                <w:lang w:eastAsia="zh-CN"/>
              </w:rPr>
              <w:t>（</w:t>
            </w:r>
            <w:r>
              <w:rPr>
                <w:rFonts w:hint="eastAsia" w:ascii="Times New Roman" w:hAnsi="Times New Roman" w:cs="Times New Roman"/>
                <w:bCs/>
                <w:color w:val="0000FF"/>
                <w:szCs w:val="21"/>
                <w:lang w:val="en-US" w:eastAsia="zh-CN"/>
              </w:rPr>
              <w:t>不考虑善意恶意</w:t>
            </w:r>
            <w:r>
              <w:rPr>
                <w:rFonts w:hint="eastAsia" w:ascii="Times New Roman" w:hAnsi="Times New Roman" w:cs="Times New Roman"/>
                <w:bCs/>
                <w:color w:val="000000"/>
                <w:szCs w:val="21"/>
                <w:lang w:eastAsia="zh-CN"/>
              </w:rPr>
              <w:t>）</w:t>
            </w:r>
          </w:p>
        </w:tc>
      </w:tr>
      <w:tr w14:paraId="6C48B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top"/>
          </w:tcPr>
          <w:p w14:paraId="55299379">
            <w:pPr>
              <w:rPr>
                <w:rFonts w:ascii="Times New Roman" w:hAnsi="Times New Roman" w:cs="Times New Roman"/>
                <w:b/>
                <w:color w:val="000000"/>
                <w:szCs w:val="21"/>
              </w:rPr>
            </w:pPr>
          </w:p>
        </w:tc>
        <w:tc>
          <w:tcPr>
            <w:tcW w:w="2409" w:type="dxa"/>
            <w:vMerge w:val="continue"/>
            <w:noWrap w:val="0"/>
            <w:vAlign w:val="center"/>
          </w:tcPr>
          <w:p w14:paraId="1393E18F">
            <w:pPr>
              <w:jc w:val="center"/>
              <w:rPr>
                <w:rFonts w:ascii="Times New Roman" w:hAnsi="Times New Roman" w:cs="Times New Roman"/>
                <w:b/>
                <w:color w:val="000000"/>
                <w:szCs w:val="21"/>
              </w:rPr>
            </w:pPr>
          </w:p>
        </w:tc>
        <w:tc>
          <w:tcPr>
            <w:tcW w:w="5012" w:type="dxa"/>
            <w:noWrap w:val="0"/>
            <w:vAlign w:val="top"/>
          </w:tcPr>
          <w:p w14:paraId="4C574FAB">
            <w:pPr>
              <w:rPr>
                <w:rFonts w:ascii="Times New Roman" w:hAnsi="Times New Roman" w:cs="Times New Roman"/>
                <w:bCs/>
                <w:color w:val="000000"/>
                <w:szCs w:val="21"/>
              </w:rPr>
            </w:pPr>
            <w:r>
              <w:rPr>
                <w:rFonts w:ascii="Times New Roman" w:hAnsi="Times New Roman" w:cs="Times New Roman"/>
                <w:bCs/>
                <w:color w:val="000000"/>
                <w:szCs w:val="21"/>
              </w:rPr>
              <w:t>（3）都未公示，顺位相同，按照债权比例清偿</w:t>
            </w:r>
          </w:p>
        </w:tc>
      </w:tr>
      <w:tr w14:paraId="27499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top"/>
          </w:tcPr>
          <w:p w14:paraId="7DD54177">
            <w:pPr>
              <w:rPr>
                <w:rFonts w:ascii="Times New Roman" w:hAnsi="Times New Roman" w:cs="Times New Roman"/>
                <w:b/>
                <w:color w:val="000000"/>
                <w:szCs w:val="21"/>
              </w:rPr>
            </w:pPr>
          </w:p>
        </w:tc>
        <w:tc>
          <w:tcPr>
            <w:tcW w:w="2409" w:type="dxa"/>
            <w:vMerge w:val="continue"/>
            <w:noWrap w:val="0"/>
            <w:vAlign w:val="center"/>
          </w:tcPr>
          <w:p w14:paraId="163E5023">
            <w:pPr>
              <w:jc w:val="center"/>
              <w:rPr>
                <w:rFonts w:ascii="Times New Roman" w:hAnsi="Times New Roman" w:cs="Times New Roman"/>
                <w:b/>
                <w:color w:val="000000"/>
                <w:szCs w:val="21"/>
              </w:rPr>
            </w:pPr>
          </w:p>
        </w:tc>
        <w:tc>
          <w:tcPr>
            <w:tcW w:w="5012" w:type="dxa"/>
            <w:noWrap w:val="0"/>
            <w:vAlign w:val="top"/>
          </w:tcPr>
          <w:p w14:paraId="70491862">
            <w:pPr>
              <w:rPr>
                <w:rFonts w:ascii="Times New Roman" w:hAnsi="Times New Roman" w:cs="Times New Roman"/>
                <w:bCs/>
                <w:color w:val="000000"/>
                <w:szCs w:val="21"/>
              </w:rPr>
            </w:pPr>
            <w:r>
              <w:rPr>
                <w:rFonts w:ascii="Times New Roman" w:hAnsi="Times New Roman" w:cs="Times New Roman"/>
                <w:bCs/>
                <w:color w:val="000000"/>
                <w:szCs w:val="21"/>
              </w:rPr>
              <w:t>【注意】这里的公示包括占有与登记，且不再区分二者公示功能的强弱</w:t>
            </w:r>
          </w:p>
        </w:tc>
      </w:tr>
      <w:tr w14:paraId="2A7BD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top"/>
          </w:tcPr>
          <w:p w14:paraId="7977E36A">
            <w:pPr>
              <w:rPr>
                <w:rFonts w:ascii="Times New Roman" w:hAnsi="Times New Roman" w:cs="Times New Roman"/>
                <w:b/>
                <w:color w:val="000000"/>
                <w:szCs w:val="21"/>
              </w:rPr>
            </w:pPr>
          </w:p>
        </w:tc>
        <w:tc>
          <w:tcPr>
            <w:tcW w:w="2409" w:type="dxa"/>
            <w:noWrap w:val="0"/>
            <w:vAlign w:val="center"/>
          </w:tcPr>
          <w:p w14:paraId="5C42225C">
            <w:pPr>
              <w:jc w:val="center"/>
              <w:rPr>
                <w:rFonts w:ascii="Times New Roman" w:hAnsi="Times New Roman" w:cs="Times New Roman"/>
                <w:b/>
                <w:color w:val="000000"/>
                <w:szCs w:val="21"/>
              </w:rPr>
            </w:pPr>
            <w:r>
              <w:rPr>
                <w:rFonts w:ascii="Times New Roman" w:hAnsi="Times New Roman" w:cs="Times New Roman"/>
                <w:b/>
                <w:color w:val="000000"/>
                <w:szCs w:val="21"/>
              </w:rPr>
              <w:t>特别规则：</w:t>
            </w:r>
            <w:r>
              <w:rPr>
                <w:rFonts w:ascii="Times New Roman" w:hAnsi="Times New Roman" w:cs="Times New Roman"/>
                <w:b/>
                <w:bCs/>
                <w:color w:val="000000"/>
                <w:szCs w:val="21"/>
              </w:rPr>
              <w:t>价款担保权的超级优先规则</w:t>
            </w:r>
          </w:p>
        </w:tc>
        <w:tc>
          <w:tcPr>
            <w:tcW w:w="5012" w:type="dxa"/>
            <w:noWrap w:val="0"/>
            <w:vAlign w:val="top"/>
          </w:tcPr>
          <w:p w14:paraId="0E9E6446">
            <w:pPr>
              <w:rPr>
                <w:rFonts w:hint="default" w:ascii="Times New Roman" w:hAnsi="Times New Roman" w:eastAsia="宋体" w:cs="Times New Roman"/>
                <w:bCs/>
                <w:color w:val="000000"/>
                <w:szCs w:val="21"/>
                <w:lang w:val="en-US" w:eastAsia="zh-CN"/>
              </w:rPr>
            </w:pPr>
            <w:r>
              <w:rPr>
                <w:rFonts w:ascii="Times New Roman" w:hAnsi="Times New Roman" w:cs="Times New Roman"/>
                <w:bCs/>
                <w:color w:val="000000"/>
                <w:szCs w:val="21"/>
              </w:rPr>
              <w:t>价款担保权优先于同一债务人在先为他人设立的担保物权</w:t>
            </w:r>
            <w:r>
              <w:rPr>
                <w:rFonts w:hint="eastAsia" w:ascii="Times New Roman" w:hAnsi="Times New Roman" w:cs="Times New Roman"/>
                <w:bCs/>
                <w:color w:val="000000"/>
                <w:szCs w:val="21"/>
                <w:lang w:val="en-US" w:eastAsia="zh-CN"/>
              </w:rPr>
              <w:t xml:space="preserve">  </w:t>
            </w:r>
            <w:r>
              <w:rPr>
                <w:rFonts w:hint="eastAsia" w:ascii="Times New Roman" w:hAnsi="Times New Roman" w:cs="Times New Roman"/>
                <w:bCs/>
                <w:color w:val="0000FF"/>
                <w:szCs w:val="21"/>
                <w:lang w:val="en-US" w:eastAsia="zh-CN"/>
              </w:rPr>
              <w:t>10天内办理登记  可以适用于所有权保留和融资租赁</w:t>
            </w:r>
          </w:p>
        </w:tc>
      </w:tr>
    </w:tbl>
    <w:p w14:paraId="23828F32">
      <w:pPr>
        <w:pStyle w:val="2"/>
        <w:spacing w:line="276" w:lineRule="auto"/>
        <w:jc w:val="center"/>
        <w:rPr>
          <w:rFonts w:ascii="Times New Roman" w:hAnsi="Times New Roman" w:cs="Times New Roman"/>
          <w:bCs w:val="0"/>
          <w:color w:val="000000"/>
          <w:sz w:val="36"/>
          <w:szCs w:val="36"/>
        </w:rPr>
      </w:pPr>
      <w:bookmarkStart w:id="6" w:name="_Toc22597"/>
      <w:r>
        <w:rPr>
          <w:rFonts w:ascii="Times New Roman" w:hAnsi="Times New Roman" w:cs="Times New Roman"/>
          <w:bCs w:val="0"/>
          <w:color w:val="000000"/>
          <w:sz w:val="36"/>
          <w:szCs w:val="36"/>
        </w:rPr>
        <w:t>考点16  债与合同的概述</w:t>
      </w:r>
      <w:bookmarkEnd w:id="6"/>
    </w:p>
    <w:p w14:paraId="61FFF166">
      <w:pPr>
        <w:spacing w:line="276" w:lineRule="auto"/>
        <w:jc w:val="left"/>
        <w:outlineLvl w:val="1"/>
        <w:rPr>
          <w:rFonts w:hint="eastAsia" w:ascii="宋体" w:hAnsi="宋体" w:eastAsia="宋体" w:cs="宋体"/>
          <w:b/>
          <w:szCs w:val="21"/>
        </w:rPr>
      </w:pPr>
      <w:r>
        <w:rPr>
          <w:rFonts w:hint="eastAsia" w:ascii="宋体" w:hAnsi="宋体" w:eastAsia="宋体" w:cs="宋体"/>
          <w:b/>
          <w:szCs w:val="28"/>
        </w:rPr>
        <w:t xml:space="preserve"> 一、债的概念及其相对性</w:t>
      </w:r>
    </w:p>
    <w:p w14:paraId="4C713257">
      <w:pPr>
        <w:spacing w:line="276" w:lineRule="auto"/>
        <w:ind w:firstLine="422" w:firstLineChars="200"/>
        <w:rPr>
          <w:rFonts w:hint="eastAsia" w:ascii="宋体" w:hAnsi="宋体" w:eastAsia="宋体" w:cs="宋体"/>
          <w:b/>
          <w:szCs w:val="21"/>
        </w:rPr>
      </w:pPr>
      <w:r>
        <w:rPr>
          <w:rFonts w:hint="eastAsia" w:ascii="宋体" w:hAnsi="宋体" w:eastAsia="宋体" w:cs="宋体"/>
          <w:b/>
          <w:szCs w:val="21"/>
        </w:rPr>
        <w:t>（一）债的概念</w:t>
      </w:r>
    </w:p>
    <w:p w14:paraId="4A663C30">
      <w:pPr>
        <w:spacing w:line="276" w:lineRule="auto"/>
        <w:ind w:firstLine="480"/>
        <w:rPr>
          <w:rFonts w:hint="eastAsia" w:ascii="宋体" w:hAnsi="宋体" w:eastAsia="宋体" w:cs="宋体"/>
          <w:szCs w:val="21"/>
        </w:rPr>
      </w:pPr>
      <w:r>
        <w:rPr>
          <w:rFonts w:hint="eastAsia" w:ascii="宋体" w:hAnsi="宋体" w:eastAsia="宋体" w:cs="宋体"/>
          <w:szCs w:val="21"/>
        </w:rPr>
        <w:t>债指的是特定人间可以请求为特定行为的法律关系。债为特定人得请求特定人为特定行为的法律关系。</w:t>
      </w:r>
    </w:p>
    <w:p w14:paraId="08850C97">
      <w:pPr>
        <w:spacing w:line="276" w:lineRule="auto"/>
        <w:ind w:firstLine="480"/>
        <w:rPr>
          <w:rFonts w:hint="eastAsia" w:ascii="宋体" w:hAnsi="宋体" w:eastAsia="宋体" w:cs="宋体"/>
          <w:szCs w:val="21"/>
        </w:rPr>
      </w:pPr>
      <w:r>
        <w:rPr>
          <w:rFonts w:hint="eastAsia" w:ascii="汉仪书宋二简" w:cs="Times New Roman"/>
          <w:color w:val="000000"/>
        </w:rPr>
        <w:t>作为债之客体的特定行为称为“给付”，包括作为与不作为两种形态。“作为”系积极的给付，要求债务人积极地做出一定行为以满足债权人的利益；“不作为”系消极的给付，主要存在于意定之债中，例如，在雇佣合同中，基于双方的合意，受雇人承担不利用业余时间在外兼职的不作为义务。</w:t>
      </w:r>
    </w:p>
    <w:p w14:paraId="4343D7C7">
      <w:pPr>
        <w:numPr>
          <w:ilvl w:val="0"/>
          <w:numId w:val="2"/>
        </w:numPr>
        <w:spacing w:line="264" w:lineRule="auto"/>
        <w:ind w:firstLine="482"/>
        <w:rPr>
          <w:rFonts w:hint="eastAsia" w:ascii="宋体" w:hAnsi="宋体" w:eastAsia="宋体" w:cs="宋体"/>
          <w:b/>
          <w:szCs w:val="21"/>
        </w:rPr>
      </w:pPr>
      <w:r>
        <w:rPr>
          <w:rFonts w:hint="eastAsia" w:ascii="宋体" w:hAnsi="宋体" w:eastAsia="宋体" w:cs="宋体"/>
          <w:b/>
          <w:szCs w:val="21"/>
        </w:rPr>
        <w:t>债的</w:t>
      </w:r>
      <w:r>
        <w:rPr>
          <w:rFonts w:hint="eastAsia" w:cs="宋体"/>
          <w:b/>
          <w:szCs w:val="21"/>
          <w:lang w:val="en-US" w:eastAsia="zh-CN"/>
        </w:rPr>
        <w:t>发生原因</w:t>
      </w:r>
    </w:p>
    <w:tbl>
      <w:tblPr>
        <w:tblStyle w:val="6"/>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550"/>
        <w:gridCol w:w="1275"/>
        <w:gridCol w:w="5680"/>
      </w:tblGrid>
      <w:tr w14:paraId="33A5F7E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550" w:type="dxa"/>
            <w:vMerge w:val="restart"/>
            <w:vAlign w:val="center"/>
          </w:tcPr>
          <w:p w14:paraId="4CCBC6B8">
            <w:pPr>
              <w:spacing w:before="42" w:beforeLines="10" w:after="42" w:afterLines="10" w:line="280" w:lineRule="exact"/>
              <w:jc w:val="center"/>
              <w:rPr>
                <w:rFonts w:ascii="汉仪书宋一简" w:hAnsi="Times New Roman" w:eastAsia="汉仪中黑简" w:cs="Times New Roman"/>
                <w:sz w:val="20"/>
                <w:szCs w:val="20"/>
              </w:rPr>
            </w:pPr>
            <w:r>
              <w:rPr>
                <w:rFonts w:hint="eastAsia" w:ascii="汉仪书宋一简" w:hAnsi="Times New Roman" w:eastAsia="汉仪中黑简" w:cs="Times New Roman"/>
                <w:sz w:val="20"/>
                <w:szCs w:val="20"/>
              </w:rPr>
              <w:t>债的发生原因</w:t>
            </w:r>
          </w:p>
        </w:tc>
        <w:tc>
          <w:tcPr>
            <w:tcW w:w="1275" w:type="dxa"/>
            <w:vMerge w:val="restart"/>
            <w:vAlign w:val="center"/>
          </w:tcPr>
          <w:p w14:paraId="4093627A">
            <w:pPr>
              <w:spacing w:before="42" w:beforeLines="10"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1．意定之债</w:t>
            </w:r>
          </w:p>
        </w:tc>
        <w:tc>
          <w:tcPr>
            <w:tcW w:w="5680" w:type="dxa"/>
            <w:vAlign w:val="center"/>
          </w:tcPr>
          <w:p w14:paraId="7135AFCB">
            <w:pPr>
              <w:spacing w:before="42" w:beforeLines="10"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（1）合同之债</w:t>
            </w:r>
          </w:p>
        </w:tc>
      </w:tr>
      <w:tr w14:paraId="488A7F1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550" w:type="dxa"/>
            <w:vMerge w:val="continue"/>
            <w:vAlign w:val="center"/>
          </w:tcPr>
          <w:p w14:paraId="01244E2F">
            <w:pPr>
              <w:spacing w:before="42" w:beforeLines="10" w:after="42" w:afterLines="10" w:line="280" w:lineRule="exact"/>
              <w:jc w:val="center"/>
              <w:rPr>
                <w:rFonts w:ascii="汉仪书宋一简" w:hAnsi="Times New Roman" w:eastAsia="汉仪书宋一简" w:cs="Times New Roman"/>
                <w:sz w:val="20"/>
                <w:szCs w:val="20"/>
              </w:rPr>
            </w:pPr>
          </w:p>
        </w:tc>
        <w:tc>
          <w:tcPr>
            <w:tcW w:w="1275" w:type="dxa"/>
            <w:vMerge w:val="continue"/>
            <w:vAlign w:val="center"/>
          </w:tcPr>
          <w:p w14:paraId="68D81ED0">
            <w:pPr>
              <w:spacing w:before="42" w:beforeLines="10" w:after="42" w:afterLines="10" w:line="280" w:lineRule="exact"/>
              <w:rPr>
                <w:rFonts w:ascii="汉仪书宋一简" w:hAnsi="Times New Roman" w:eastAsia="汉仪书宋一简" w:cs="Times New Roman"/>
                <w:sz w:val="20"/>
                <w:szCs w:val="20"/>
              </w:rPr>
            </w:pPr>
          </w:p>
        </w:tc>
        <w:tc>
          <w:tcPr>
            <w:tcW w:w="5680" w:type="dxa"/>
            <w:vAlign w:val="center"/>
          </w:tcPr>
          <w:p w14:paraId="4623052E">
            <w:pPr>
              <w:spacing w:before="42" w:beforeLines="10"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（2）单方允诺之债</w:t>
            </w:r>
          </w:p>
        </w:tc>
      </w:tr>
      <w:tr w14:paraId="571C26A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550" w:type="dxa"/>
            <w:vMerge w:val="continue"/>
            <w:vAlign w:val="center"/>
          </w:tcPr>
          <w:p w14:paraId="0439825A">
            <w:pPr>
              <w:spacing w:before="42" w:beforeLines="10" w:after="42" w:afterLines="10" w:line="280" w:lineRule="exact"/>
              <w:jc w:val="center"/>
              <w:rPr>
                <w:rFonts w:ascii="汉仪书宋一简" w:hAnsi="Times New Roman" w:eastAsia="汉仪书宋一简" w:cs="Times New Roman"/>
                <w:sz w:val="20"/>
                <w:szCs w:val="20"/>
              </w:rPr>
            </w:pPr>
          </w:p>
        </w:tc>
        <w:tc>
          <w:tcPr>
            <w:tcW w:w="1275" w:type="dxa"/>
            <w:vMerge w:val="restart"/>
            <w:vAlign w:val="center"/>
          </w:tcPr>
          <w:p w14:paraId="2D4A5BA3">
            <w:pPr>
              <w:spacing w:before="42" w:beforeLines="10"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2．法定之债</w:t>
            </w:r>
          </w:p>
        </w:tc>
        <w:tc>
          <w:tcPr>
            <w:tcW w:w="5680" w:type="dxa"/>
            <w:vAlign w:val="center"/>
          </w:tcPr>
          <w:p w14:paraId="18AA44C0">
            <w:pPr>
              <w:spacing w:before="42" w:beforeLines="10"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（1）缔约过失之债</w:t>
            </w:r>
          </w:p>
        </w:tc>
      </w:tr>
      <w:tr w14:paraId="0180687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550" w:type="dxa"/>
            <w:vMerge w:val="continue"/>
            <w:vAlign w:val="center"/>
          </w:tcPr>
          <w:p w14:paraId="6E02E71F">
            <w:pPr>
              <w:spacing w:before="42" w:beforeLines="10" w:after="42" w:afterLines="10" w:line="280" w:lineRule="exact"/>
              <w:jc w:val="center"/>
              <w:rPr>
                <w:rFonts w:ascii="汉仪书宋一简" w:hAnsi="Times New Roman" w:eastAsia="汉仪书宋一简" w:cs="Times New Roman"/>
                <w:sz w:val="20"/>
                <w:szCs w:val="20"/>
              </w:rPr>
            </w:pPr>
          </w:p>
        </w:tc>
        <w:tc>
          <w:tcPr>
            <w:tcW w:w="1275" w:type="dxa"/>
            <w:vMerge w:val="continue"/>
            <w:vAlign w:val="center"/>
          </w:tcPr>
          <w:p w14:paraId="00697B0A">
            <w:pPr>
              <w:spacing w:before="42" w:beforeLines="10" w:after="42" w:afterLines="10" w:line="280" w:lineRule="exact"/>
              <w:rPr>
                <w:rFonts w:ascii="汉仪书宋一简" w:hAnsi="Times New Roman" w:eastAsia="汉仪书宋一简" w:cs="Times New Roman"/>
                <w:sz w:val="20"/>
                <w:szCs w:val="20"/>
              </w:rPr>
            </w:pPr>
          </w:p>
        </w:tc>
        <w:tc>
          <w:tcPr>
            <w:tcW w:w="5680" w:type="dxa"/>
            <w:vAlign w:val="center"/>
          </w:tcPr>
          <w:p w14:paraId="69A1DBF6">
            <w:pPr>
              <w:spacing w:before="42" w:beforeLines="10"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（2）无因管理之债</w:t>
            </w:r>
          </w:p>
        </w:tc>
      </w:tr>
      <w:tr w14:paraId="1F815DE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550" w:type="dxa"/>
            <w:vMerge w:val="continue"/>
            <w:vAlign w:val="center"/>
          </w:tcPr>
          <w:p w14:paraId="3633E436">
            <w:pPr>
              <w:spacing w:before="42" w:beforeLines="10" w:after="42" w:afterLines="10" w:line="280" w:lineRule="exact"/>
              <w:jc w:val="center"/>
              <w:rPr>
                <w:rFonts w:ascii="汉仪书宋一简" w:hAnsi="Times New Roman" w:eastAsia="汉仪书宋一简" w:cs="Times New Roman"/>
                <w:sz w:val="20"/>
                <w:szCs w:val="20"/>
              </w:rPr>
            </w:pPr>
          </w:p>
        </w:tc>
        <w:tc>
          <w:tcPr>
            <w:tcW w:w="1275" w:type="dxa"/>
            <w:vMerge w:val="continue"/>
            <w:vAlign w:val="center"/>
          </w:tcPr>
          <w:p w14:paraId="7FC6BCB0">
            <w:pPr>
              <w:spacing w:before="42" w:beforeLines="10" w:after="42" w:afterLines="10" w:line="280" w:lineRule="exact"/>
              <w:rPr>
                <w:rFonts w:ascii="汉仪书宋一简" w:hAnsi="Times New Roman" w:eastAsia="汉仪书宋一简" w:cs="Times New Roman"/>
                <w:sz w:val="20"/>
                <w:szCs w:val="20"/>
              </w:rPr>
            </w:pPr>
          </w:p>
        </w:tc>
        <w:tc>
          <w:tcPr>
            <w:tcW w:w="5680" w:type="dxa"/>
            <w:vAlign w:val="center"/>
          </w:tcPr>
          <w:p w14:paraId="0641A5C6">
            <w:pPr>
              <w:spacing w:before="42" w:beforeLines="10"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（3）不当得利之债</w:t>
            </w:r>
          </w:p>
        </w:tc>
      </w:tr>
      <w:tr w14:paraId="0A583A0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550" w:type="dxa"/>
            <w:vMerge w:val="continue"/>
            <w:vAlign w:val="center"/>
          </w:tcPr>
          <w:p w14:paraId="40FBE02D">
            <w:pPr>
              <w:spacing w:before="42" w:beforeLines="10" w:after="42" w:afterLines="10" w:line="280" w:lineRule="exact"/>
              <w:jc w:val="center"/>
              <w:rPr>
                <w:rFonts w:ascii="汉仪书宋一简" w:hAnsi="Times New Roman" w:eastAsia="汉仪书宋一简" w:cs="Times New Roman"/>
                <w:sz w:val="20"/>
                <w:szCs w:val="20"/>
              </w:rPr>
            </w:pPr>
          </w:p>
        </w:tc>
        <w:tc>
          <w:tcPr>
            <w:tcW w:w="1275" w:type="dxa"/>
            <w:vMerge w:val="continue"/>
            <w:vAlign w:val="center"/>
          </w:tcPr>
          <w:p w14:paraId="19D3EADA">
            <w:pPr>
              <w:spacing w:before="42" w:beforeLines="10" w:after="42" w:afterLines="10" w:line="280" w:lineRule="exact"/>
              <w:rPr>
                <w:rFonts w:ascii="汉仪书宋一简" w:hAnsi="Times New Roman" w:eastAsia="汉仪书宋一简" w:cs="Times New Roman"/>
                <w:sz w:val="20"/>
                <w:szCs w:val="20"/>
              </w:rPr>
            </w:pPr>
          </w:p>
        </w:tc>
        <w:tc>
          <w:tcPr>
            <w:tcW w:w="5680" w:type="dxa"/>
            <w:vAlign w:val="center"/>
          </w:tcPr>
          <w:p w14:paraId="71E57220">
            <w:pPr>
              <w:spacing w:before="42" w:beforeLines="10"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（4）侵权之债</w:t>
            </w:r>
          </w:p>
        </w:tc>
      </w:tr>
    </w:tbl>
    <w:p w14:paraId="1B73AA7F">
      <w:pPr>
        <w:pStyle w:val="3"/>
        <w:tabs>
          <w:tab w:val="left" w:pos="420"/>
        </w:tabs>
        <w:spacing w:before="0" w:after="0" w:line="384" w:lineRule="exact"/>
        <w:rPr>
          <w:rFonts w:hint="eastAsia" w:eastAsia="汉仪大宋简"/>
          <w:b w:val="0"/>
          <w:sz w:val="26"/>
        </w:rPr>
      </w:pPr>
      <w:bookmarkStart w:id="7" w:name="_Toc197608938"/>
      <w:r>
        <w:rPr>
          <w:rFonts w:eastAsia="汉仪大宋简"/>
          <w:b w:val="0"/>
          <w:sz w:val="26"/>
        </w:rPr>
        <w:t>二、</w:t>
      </w:r>
      <w:r>
        <w:rPr>
          <w:rFonts w:hint="eastAsia" w:eastAsia="汉仪大宋简"/>
          <w:b w:val="0"/>
          <w:sz w:val="26"/>
        </w:rPr>
        <w:t>债的分类</w:t>
      </w:r>
      <w:bookmarkEnd w:id="7"/>
    </w:p>
    <w:p w14:paraId="3F608122">
      <w:pPr>
        <w:spacing w:line="300" w:lineRule="exact"/>
        <w:ind w:firstLine="420" w:firstLineChars="200"/>
        <w:rPr>
          <w:rFonts w:hint="eastAsia" w:ascii="汉仪书宋二简" w:hAnsi="汉仪书宋二简" w:eastAsia="汉仪书宋二简" w:cs="汉仪书宋二简"/>
          <w:color w:val="auto"/>
          <w:kern w:val="0"/>
        </w:rPr>
      </w:pPr>
    </w:p>
    <w:p w14:paraId="7446DBA0">
      <w:pPr>
        <w:pStyle w:val="4"/>
        <w:tabs>
          <w:tab w:val="left" w:pos="420"/>
        </w:tabs>
        <w:spacing w:before="0" w:after="0" w:line="384" w:lineRule="exact"/>
        <w:ind w:firstLine="288" w:firstLineChars="120"/>
        <w:jc w:val="left"/>
        <w:rPr>
          <w:rFonts w:hint="eastAsia" w:eastAsia="汉仪大宋简" w:asciiTheme="majorHAnsi" w:hAnsiTheme="majorHAnsi" w:cstheme="majorBidi"/>
          <w:b w:val="0"/>
          <w:color w:val="000000" w:themeColor="text1"/>
          <w:sz w:val="24"/>
          <w14:textFill>
            <w14:solidFill>
              <w14:schemeClr w14:val="tx1"/>
            </w14:solidFill>
          </w14:textFill>
        </w:rPr>
      </w:pPr>
      <w:r>
        <w:rPr>
          <w:rFonts w:hint="eastAsia" w:eastAsia="汉仪大宋简" w:asciiTheme="majorHAnsi" w:hAnsiTheme="majorHAnsi" w:cstheme="majorBidi"/>
          <w:b w:val="0"/>
          <w:color w:val="000000" w:themeColor="text1"/>
          <w:sz w:val="24"/>
          <w14:textFill>
            <w14:solidFill>
              <w14:schemeClr w14:val="tx1"/>
            </w14:solidFill>
          </w14:textFill>
        </w:rPr>
        <w:t>（一）实物之债、金钱之债与劳务之债</w:t>
      </w:r>
    </w:p>
    <w:p w14:paraId="5D648701">
      <w:pPr>
        <w:spacing w:line="300" w:lineRule="exact"/>
        <w:ind w:firstLine="420" w:firstLineChars="200"/>
        <w:rPr>
          <w:rFonts w:hint="eastAsia" w:ascii="汉仪书宋二简" w:hAnsi="汉仪书宋二简" w:eastAsia="汉仪书宋二简" w:cs="汉仪书宋二简"/>
          <w:color w:val="auto"/>
          <w:kern w:val="0"/>
        </w:rPr>
      </w:pPr>
    </w:p>
    <w:tbl>
      <w:tblPr>
        <w:tblStyle w:val="6"/>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101"/>
        <w:gridCol w:w="1244"/>
        <w:gridCol w:w="6160"/>
      </w:tblGrid>
      <w:tr w14:paraId="6E6BD41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9" w:type="dxa"/>
            <w:vAlign w:val="center"/>
          </w:tcPr>
          <w:p w14:paraId="749C1132">
            <w:pPr>
              <w:spacing w:before="42" w:beforeLines="10" w:after="42" w:afterLines="10" w:line="280" w:lineRule="exact"/>
              <w:jc w:val="center"/>
              <w:rPr>
                <w:rFonts w:ascii="汉仪中黑简" w:hAnsi="Times New Roman" w:eastAsia="汉仪中黑简"/>
                <w:kern w:val="24"/>
                <w:sz w:val="20"/>
                <w:szCs w:val="20"/>
              </w:rPr>
            </w:pPr>
            <w:r>
              <w:rPr>
                <w:rFonts w:hint="eastAsia" w:ascii="汉仪中黑简" w:hAnsi="Times New Roman" w:eastAsia="汉仪中黑简"/>
                <w:kern w:val="24"/>
                <w:sz w:val="20"/>
                <w:szCs w:val="20"/>
              </w:rPr>
              <w:t>区分标准</w:t>
            </w:r>
          </w:p>
        </w:tc>
        <w:tc>
          <w:tcPr>
            <w:tcW w:w="7655" w:type="dxa"/>
            <w:gridSpan w:val="2"/>
            <w:vAlign w:val="center"/>
          </w:tcPr>
          <w:p w14:paraId="224C9138">
            <w:pPr>
              <w:spacing w:before="42" w:beforeLines="10"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给付内容</w:t>
            </w:r>
          </w:p>
        </w:tc>
      </w:tr>
      <w:tr w14:paraId="7A78EF5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9" w:type="dxa"/>
            <w:vMerge w:val="restart"/>
            <w:vAlign w:val="center"/>
          </w:tcPr>
          <w:p w14:paraId="39B4E394">
            <w:pPr>
              <w:spacing w:before="42" w:beforeLines="10" w:after="42" w:afterLines="10" w:line="280" w:lineRule="exact"/>
              <w:jc w:val="center"/>
              <w:rPr>
                <w:rFonts w:ascii="汉仪中黑简" w:hAnsi="Times New Roman" w:eastAsia="汉仪中黑简"/>
                <w:kern w:val="24"/>
                <w:sz w:val="20"/>
                <w:szCs w:val="20"/>
              </w:rPr>
            </w:pPr>
            <w:r>
              <w:rPr>
                <w:rFonts w:hint="eastAsia" w:ascii="汉仪中黑简" w:hAnsi="Times New Roman" w:eastAsia="汉仪中黑简"/>
                <w:kern w:val="24"/>
                <w:sz w:val="20"/>
                <w:szCs w:val="20"/>
              </w:rPr>
              <w:t>实物之债</w:t>
            </w:r>
          </w:p>
        </w:tc>
        <w:tc>
          <w:tcPr>
            <w:tcW w:w="1276" w:type="dxa"/>
            <w:vAlign w:val="center"/>
          </w:tcPr>
          <w:p w14:paraId="6B8B8199">
            <w:pPr>
              <w:spacing w:before="42" w:beforeLines="10"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1．概念</w:t>
            </w:r>
          </w:p>
        </w:tc>
        <w:tc>
          <w:tcPr>
            <w:tcW w:w="6379" w:type="dxa"/>
            <w:vAlign w:val="center"/>
          </w:tcPr>
          <w:p w14:paraId="61F7CCCE">
            <w:pPr>
              <w:spacing w:before="42" w:beforeLines="10"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以实物的给付为内容的债</w:t>
            </w:r>
          </w:p>
        </w:tc>
      </w:tr>
      <w:tr w14:paraId="72E3DE1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9" w:type="dxa"/>
            <w:vMerge w:val="continue"/>
            <w:vAlign w:val="center"/>
          </w:tcPr>
          <w:p w14:paraId="0C83147C">
            <w:pPr>
              <w:spacing w:before="42" w:beforeLines="10" w:after="42" w:afterLines="10" w:line="280" w:lineRule="exact"/>
              <w:jc w:val="center"/>
              <w:rPr>
                <w:rFonts w:ascii="汉仪中黑简" w:hAnsi="Times New Roman" w:eastAsia="汉仪中黑简"/>
                <w:kern w:val="24"/>
                <w:sz w:val="20"/>
                <w:szCs w:val="20"/>
              </w:rPr>
            </w:pPr>
          </w:p>
        </w:tc>
        <w:tc>
          <w:tcPr>
            <w:tcW w:w="1276" w:type="dxa"/>
            <w:vAlign w:val="center"/>
          </w:tcPr>
          <w:p w14:paraId="1BB582EF">
            <w:pPr>
              <w:spacing w:before="42" w:beforeLines="10"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2．典型例证</w:t>
            </w:r>
          </w:p>
        </w:tc>
        <w:tc>
          <w:tcPr>
            <w:tcW w:w="6379" w:type="dxa"/>
            <w:vAlign w:val="center"/>
          </w:tcPr>
          <w:p w14:paraId="1D6CD2E8">
            <w:pPr>
              <w:spacing w:before="42" w:beforeLines="10"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买卖合同中出卖人的债务，即交付标的物与转移标的物的所有权</w:t>
            </w:r>
          </w:p>
        </w:tc>
      </w:tr>
      <w:tr w14:paraId="21F88D9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9" w:type="dxa"/>
            <w:vMerge w:val="restart"/>
            <w:vAlign w:val="center"/>
          </w:tcPr>
          <w:p w14:paraId="2ACB9044">
            <w:pPr>
              <w:spacing w:before="42" w:beforeLines="10" w:after="42" w:afterLines="10" w:line="280" w:lineRule="exact"/>
              <w:jc w:val="center"/>
              <w:rPr>
                <w:rFonts w:ascii="汉仪中黑简" w:hAnsi="Times New Roman" w:eastAsia="汉仪中黑简"/>
                <w:kern w:val="24"/>
                <w:sz w:val="20"/>
                <w:szCs w:val="20"/>
              </w:rPr>
            </w:pPr>
            <w:r>
              <w:rPr>
                <w:rFonts w:hint="eastAsia" w:ascii="汉仪中黑简" w:hAnsi="Times New Roman" w:eastAsia="汉仪中黑简"/>
                <w:kern w:val="24"/>
                <w:sz w:val="20"/>
                <w:szCs w:val="20"/>
              </w:rPr>
              <w:t>金钱之债</w:t>
            </w:r>
          </w:p>
        </w:tc>
        <w:tc>
          <w:tcPr>
            <w:tcW w:w="1276" w:type="dxa"/>
            <w:vAlign w:val="center"/>
          </w:tcPr>
          <w:p w14:paraId="5E6A42DD">
            <w:pPr>
              <w:spacing w:before="42" w:beforeLines="10"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1．概念</w:t>
            </w:r>
          </w:p>
        </w:tc>
        <w:tc>
          <w:tcPr>
            <w:tcW w:w="6379" w:type="dxa"/>
            <w:vAlign w:val="center"/>
          </w:tcPr>
          <w:p w14:paraId="2D940109">
            <w:pPr>
              <w:spacing w:before="42" w:beforeLines="10"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以一定数额的货币为给付内容的债</w:t>
            </w:r>
          </w:p>
        </w:tc>
      </w:tr>
      <w:tr w14:paraId="2E609F2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9" w:type="dxa"/>
            <w:vMerge w:val="continue"/>
            <w:vAlign w:val="center"/>
          </w:tcPr>
          <w:p w14:paraId="575B983D">
            <w:pPr>
              <w:spacing w:before="42" w:beforeLines="10" w:after="42" w:afterLines="10" w:line="280" w:lineRule="exact"/>
              <w:jc w:val="center"/>
              <w:rPr>
                <w:rFonts w:ascii="汉仪中黑简" w:hAnsi="Times New Roman" w:eastAsia="汉仪中黑简"/>
                <w:kern w:val="24"/>
                <w:sz w:val="20"/>
                <w:szCs w:val="20"/>
              </w:rPr>
            </w:pPr>
          </w:p>
        </w:tc>
        <w:tc>
          <w:tcPr>
            <w:tcW w:w="1276" w:type="dxa"/>
            <w:vAlign w:val="center"/>
          </w:tcPr>
          <w:p w14:paraId="6FEC4E93">
            <w:pPr>
              <w:spacing w:before="42" w:beforeLines="10"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2．典型例证</w:t>
            </w:r>
          </w:p>
        </w:tc>
        <w:tc>
          <w:tcPr>
            <w:tcW w:w="6379" w:type="dxa"/>
            <w:vAlign w:val="center"/>
          </w:tcPr>
          <w:p w14:paraId="578F4540">
            <w:pPr>
              <w:spacing w:before="42" w:beforeLines="10"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买卖合同中的价款债务、租赁合同中的租金债务、借款合同中的本息偿还债务、承揽合同中的报酬债务等</w:t>
            </w:r>
          </w:p>
        </w:tc>
      </w:tr>
      <w:tr w14:paraId="539C2FA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9" w:type="dxa"/>
            <w:vMerge w:val="restart"/>
            <w:vAlign w:val="center"/>
          </w:tcPr>
          <w:p w14:paraId="4BC6CBD9">
            <w:pPr>
              <w:spacing w:before="42" w:beforeLines="10" w:after="42" w:afterLines="10" w:line="280" w:lineRule="exact"/>
              <w:jc w:val="center"/>
              <w:rPr>
                <w:rFonts w:ascii="汉仪中黑简" w:hAnsi="Times New Roman" w:eastAsia="汉仪中黑简"/>
                <w:kern w:val="24"/>
                <w:sz w:val="20"/>
                <w:szCs w:val="20"/>
              </w:rPr>
            </w:pPr>
            <w:r>
              <w:rPr>
                <w:rFonts w:hint="eastAsia" w:ascii="汉仪中黑简" w:hAnsi="Times New Roman" w:eastAsia="汉仪中黑简"/>
                <w:kern w:val="24"/>
                <w:sz w:val="20"/>
                <w:szCs w:val="20"/>
              </w:rPr>
              <w:t>劳务之债</w:t>
            </w:r>
          </w:p>
        </w:tc>
        <w:tc>
          <w:tcPr>
            <w:tcW w:w="1276" w:type="dxa"/>
            <w:vAlign w:val="center"/>
          </w:tcPr>
          <w:p w14:paraId="24872983">
            <w:pPr>
              <w:spacing w:before="42" w:beforeLines="10"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1．概念</w:t>
            </w:r>
          </w:p>
        </w:tc>
        <w:tc>
          <w:tcPr>
            <w:tcW w:w="6379" w:type="dxa"/>
            <w:vAlign w:val="center"/>
          </w:tcPr>
          <w:p w14:paraId="70504CB8">
            <w:pPr>
              <w:spacing w:before="42" w:beforeLines="10"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以债务人的劳务为给付内容的债</w:t>
            </w:r>
          </w:p>
        </w:tc>
      </w:tr>
      <w:tr w14:paraId="799796A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9" w:type="dxa"/>
            <w:vMerge w:val="continue"/>
            <w:vAlign w:val="center"/>
          </w:tcPr>
          <w:p w14:paraId="29DCB013">
            <w:pPr>
              <w:spacing w:before="42" w:beforeLines="10" w:after="42" w:afterLines="10" w:line="280" w:lineRule="exact"/>
              <w:jc w:val="center"/>
              <w:rPr>
                <w:rFonts w:ascii="汉仪中黑简" w:hAnsi="Times New Roman" w:eastAsia="汉仪中黑简"/>
                <w:kern w:val="24"/>
                <w:sz w:val="20"/>
                <w:szCs w:val="20"/>
              </w:rPr>
            </w:pPr>
          </w:p>
        </w:tc>
        <w:tc>
          <w:tcPr>
            <w:tcW w:w="1276" w:type="dxa"/>
            <w:vAlign w:val="center"/>
          </w:tcPr>
          <w:p w14:paraId="125B884B">
            <w:pPr>
              <w:spacing w:before="42" w:beforeLines="10"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2．典型例证</w:t>
            </w:r>
          </w:p>
        </w:tc>
        <w:tc>
          <w:tcPr>
            <w:tcW w:w="6379" w:type="dxa"/>
            <w:vAlign w:val="center"/>
          </w:tcPr>
          <w:p w14:paraId="5C887259">
            <w:pPr>
              <w:spacing w:before="42" w:beforeLines="10"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承揽合同中承揽人的承揽债务、委托合同中受托人的处理事务债务</w:t>
            </w:r>
          </w:p>
        </w:tc>
      </w:tr>
      <w:tr w14:paraId="2DD9C4C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9" w:type="dxa"/>
            <w:vMerge w:val="restart"/>
            <w:vAlign w:val="center"/>
          </w:tcPr>
          <w:p w14:paraId="477B41BC">
            <w:pPr>
              <w:spacing w:before="42" w:beforeLines="10" w:after="42" w:afterLines="10" w:line="280" w:lineRule="exact"/>
              <w:jc w:val="center"/>
              <w:rPr>
                <w:rFonts w:ascii="汉仪中黑简" w:hAnsi="Times New Roman" w:eastAsia="汉仪中黑简"/>
                <w:kern w:val="24"/>
                <w:sz w:val="20"/>
                <w:szCs w:val="20"/>
              </w:rPr>
            </w:pPr>
            <w:r>
              <w:rPr>
                <w:rFonts w:hint="eastAsia" w:ascii="汉仪中黑简" w:hAnsi="Times New Roman" w:eastAsia="汉仪中黑简"/>
                <w:kern w:val="24"/>
                <w:sz w:val="20"/>
                <w:szCs w:val="20"/>
              </w:rPr>
              <w:t>区分意义</w:t>
            </w:r>
          </w:p>
        </w:tc>
        <w:tc>
          <w:tcPr>
            <w:tcW w:w="7655" w:type="dxa"/>
            <w:gridSpan w:val="2"/>
            <w:vAlign w:val="center"/>
          </w:tcPr>
          <w:p w14:paraId="5E95A4A2">
            <w:pPr>
              <w:spacing w:before="42" w:beforeLines="10"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w:t>
            </w:r>
            <w:r>
              <w:rPr>
                <w:rFonts w:hint="eastAsia" w:ascii="汉仪书宋一简" w:hAnsi="Times New Roman" w:eastAsia="汉仪中黑简" w:cs="Times New Roman"/>
                <w:color w:val="FF0000"/>
                <w:sz w:val="20"/>
                <w:szCs w:val="20"/>
              </w:rPr>
              <w:t>金钱之债不存在履行不能</w:t>
            </w:r>
            <w:r>
              <w:rPr>
                <w:rFonts w:hint="eastAsia" w:ascii="汉仪书宋一简" w:hAnsi="Times New Roman" w:eastAsia="汉仪书宋一简" w:cs="Times New Roman"/>
                <w:sz w:val="20"/>
                <w:szCs w:val="20"/>
              </w:rPr>
              <w:t>，</w:t>
            </w:r>
            <w:r>
              <w:rPr>
                <w:rFonts w:hint="eastAsia" w:ascii="汉仪书宋一简" w:hAnsi="Times New Roman" w:eastAsia="汉仪书宋一简" w:cs="Times New Roman"/>
                <w:color w:val="0000FF"/>
                <w:sz w:val="20"/>
                <w:szCs w:val="20"/>
                <w:lang w:val="en-US" w:eastAsia="zh-CN"/>
              </w:rPr>
              <w:t>可以要求继续履行</w:t>
            </w:r>
            <w:r>
              <w:rPr>
                <w:rFonts w:hint="eastAsia" w:ascii="汉仪书宋一简" w:hAnsi="Times New Roman" w:eastAsia="汉仪书宋一简" w:cs="Times New Roman"/>
                <w:sz w:val="20"/>
                <w:szCs w:val="20"/>
              </w:rPr>
              <w:t>实物之债与劳务之债均可能履行不能</w:t>
            </w:r>
          </w:p>
        </w:tc>
      </w:tr>
      <w:tr w14:paraId="4F9266A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60" w:hRule="atLeast"/>
          <w:jc w:val="center"/>
        </w:trPr>
        <w:tc>
          <w:tcPr>
            <w:tcW w:w="1129" w:type="dxa"/>
            <w:vMerge w:val="continue"/>
            <w:vAlign w:val="center"/>
          </w:tcPr>
          <w:p w14:paraId="165FC02C">
            <w:pPr>
              <w:spacing w:before="42" w:beforeLines="10" w:after="42" w:afterLines="10" w:line="280" w:lineRule="exact"/>
              <w:jc w:val="center"/>
              <w:rPr>
                <w:rFonts w:ascii="Times New Roman" w:hAnsi="Times New Roman" w:eastAsia="汉仪书宋二简" w:cs="Times New Roman"/>
                <w:b/>
                <w:sz w:val="20"/>
                <w:szCs w:val="20"/>
              </w:rPr>
            </w:pPr>
          </w:p>
        </w:tc>
        <w:tc>
          <w:tcPr>
            <w:tcW w:w="7655" w:type="dxa"/>
            <w:gridSpan w:val="2"/>
            <w:vAlign w:val="center"/>
          </w:tcPr>
          <w:p w14:paraId="725C0756">
            <w:pPr>
              <w:spacing w:before="42" w:beforeLines="10" w:after="42" w:afterLines="10" w:line="280" w:lineRule="exact"/>
              <w:rPr>
                <w:rFonts w:hint="default" w:ascii="汉仪书宋一简" w:hAnsi="Times New Roman" w:eastAsia="汉仪书宋一简" w:cs="Times New Roman"/>
                <w:sz w:val="20"/>
                <w:szCs w:val="20"/>
                <w:lang w:val="en-US" w:eastAsia="zh-CN"/>
              </w:rPr>
            </w:pPr>
            <w:r>
              <w:rPr>
                <w:rFonts w:hint="eastAsia" w:ascii="汉仪书宋一简" w:hAnsi="Times New Roman" w:eastAsia="汉仪书宋一简" w:cs="Times New Roman"/>
                <w:sz w:val="20"/>
                <w:szCs w:val="20"/>
              </w:rPr>
              <w:t>2．</w:t>
            </w:r>
            <w:r>
              <w:rPr>
                <w:rFonts w:hint="eastAsia" w:ascii="汉仪书宋一简" w:hAnsi="Times New Roman" w:eastAsia="汉仪中黑简" w:cs="Times New Roman"/>
                <w:color w:val="FF0000"/>
                <w:sz w:val="20"/>
                <w:szCs w:val="20"/>
              </w:rPr>
              <w:t>劳务之债通常具有人身性质，不得强制履行</w:t>
            </w:r>
            <w:r>
              <w:rPr>
                <w:rFonts w:hint="eastAsia" w:ascii="汉仪书宋一简" w:hAnsi="Times New Roman" w:eastAsia="汉仪书宋一简" w:cs="Times New Roman"/>
                <w:sz w:val="20"/>
                <w:szCs w:val="20"/>
              </w:rPr>
              <w:t>，且往往有一方或双方的任意解除权（民787/933）</w:t>
            </w:r>
            <w:r>
              <w:rPr>
                <w:rFonts w:hint="eastAsia" w:ascii="汉仪书宋一简" w:hAnsi="Times New Roman" w:eastAsia="汉仪书宋一简" w:cs="Times New Roman"/>
                <w:color w:val="0000FF"/>
                <w:sz w:val="20"/>
                <w:szCs w:val="20"/>
                <w:lang w:val="en-US" w:eastAsia="zh-CN"/>
              </w:rPr>
              <w:t>如委托合同双方任意解除权，承揽合同定作人任意解除权</w:t>
            </w:r>
          </w:p>
        </w:tc>
      </w:tr>
    </w:tbl>
    <w:p w14:paraId="3FCD49A0">
      <w:pPr>
        <w:pStyle w:val="4"/>
        <w:tabs>
          <w:tab w:val="left" w:pos="420"/>
        </w:tabs>
        <w:spacing w:before="0" w:after="0" w:line="384" w:lineRule="exact"/>
        <w:ind w:firstLine="288" w:firstLineChars="120"/>
        <w:jc w:val="left"/>
        <w:rPr>
          <w:rFonts w:hint="eastAsia" w:eastAsia="汉仪大宋简" w:asciiTheme="majorHAnsi" w:hAnsiTheme="majorHAnsi" w:cstheme="majorBidi"/>
          <w:b w:val="0"/>
          <w:color w:val="000000" w:themeColor="text1"/>
          <w:sz w:val="24"/>
          <w14:textFill>
            <w14:solidFill>
              <w14:schemeClr w14:val="tx1"/>
            </w14:solidFill>
          </w14:textFill>
        </w:rPr>
      </w:pPr>
      <w:r>
        <w:rPr>
          <w:rFonts w:hint="eastAsia" w:eastAsia="汉仪大宋简" w:asciiTheme="majorHAnsi" w:hAnsiTheme="majorHAnsi" w:cstheme="majorBidi"/>
          <w:b w:val="0"/>
          <w:color w:val="000000" w:themeColor="text1"/>
          <w:sz w:val="24"/>
          <w14:textFill>
            <w14:solidFill>
              <w14:schemeClr w14:val="tx1"/>
            </w14:solidFill>
          </w14:textFill>
        </w:rPr>
        <w:t>（二）特定之债与种类之债</w:t>
      </w:r>
    </w:p>
    <w:p w14:paraId="418E48A1">
      <w:pPr>
        <w:spacing w:line="300" w:lineRule="exact"/>
        <w:ind w:firstLine="420" w:firstLineChars="200"/>
        <w:rPr>
          <w:rFonts w:hint="eastAsia" w:ascii="汉仪书宋二简" w:hAnsi="汉仪书宋二简" w:eastAsia="汉仪书宋二简" w:cs="汉仪书宋二简"/>
          <w:color w:val="auto"/>
          <w:kern w:val="0"/>
        </w:rPr>
      </w:pPr>
    </w:p>
    <w:tbl>
      <w:tblPr>
        <w:tblStyle w:val="6"/>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108"/>
        <w:gridCol w:w="1250"/>
        <w:gridCol w:w="6147"/>
      </w:tblGrid>
      <w:tr w14:paraId="6C0EA43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9" w:type="dxa"/>
            <w:vAlign w:val="center"/>
          </w:tcPr>
          <w:p w14:paraId="0A852999">
            <w:pPr>
              <w:spacing w:before="42" w:beforeLines="10" w:after="63" w:afterLines="15" w:line="280" w:lineRule="exact"/>
              <w:jc w:val="center"/>
              <w:rPr>
                <w:rFonts w:ascii="汉仪中黑简" w:hAnsi="Times New Roman" w:eastAsia="汉仪中黑简"/>
                <w:kern w:val="24"/>
                <w:sz w:val="20"/>
                <w:szCs w:val="20"/>
              </w:rPr>
            </w:pPr>
            <w:r>
              <w:rPr>
                <w:rFonts w:hint="eastAsia" w:ascii="汉仪中黑简" w:hAnsi="Times New Roman" w:eastAsia="汉仪中黑简"/>
                <w:kern w:val="24"/>
                <w:sz w:val="20"/>
                <w:szCs w:val="20"/>
              </w:rPr>
              <w:t>区分标准</w:t>
            </w:r>
          </w:p>
        </w:tc>
        <w:tc>
          <w:tcPr>
            <w:tcW w:w="7585" w:type="dxa"/>
            <w:gridSpan w:val="2"/>
            <w:vAlign w:val="center"/>
          </w:tcPr>
          <w:p w14:paraId="319995A5">
            <w:pPr>
              <w:spacing w:before="42" w:beforeLines="10" w:after="63" w:afterLines="1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债之关系产生时给付内容是否已确定</w:t>
            </w:r>
          </w:p>
        </w:tc>
      </w:tr>
      <w:tr w14:paraId="357EDB5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9" w:type="dxa"/>
            <w:vMerge w:val="restart"/>
            <w:vAlign w:val="center"/>
          </w:tcPr>
          <w:p w14:paraId="08BEEAEA">
            <w:pPr>
              <w:spacing w:before="42" w:beforeLines="10" w:after="63" w:afterLines="15" w:line="280" w:lineRule="exact"/>
              <w:jc w:val="center"/>
              <w:rPr>
                <w:rFonts w:ascii="汉仪中黑简" w:hAnsi="Times New Roman" w:eastAsia="汉仪中黑简"/>
                <w:kern w:val="24"/>
                <w:sz w:val="20"/>
                <w:szCs w:val="20"/>
              </w:rPr>
            </w:pPr>
            <w:r>
              <w:rPr>
                <w:rFonts w:hint="eastAsia" w:ascii="汉仪中黑简" w:hAnsi="Times New Roman" w:eastAsia="汉仪中黑简"/>
                <w:kern w:val="24"/>
                <w:sz w:val="20"/>
                <w:szCs w:val="20"/>
              </w:rPr>
              <w:t>特定之债</w:t>
            </w:r>
          </w:p>
        </w:tc>
        <w:tc>
          <w:tcPr>
            <w:tcW w:w="1276" w:type="dxa"/>
            <w:vAlign w:val="center"/>
          </w:tcPr>
          <w:p w14:paraId="1F46BC25">
            <w:pPr>
              <w:spacing w:before="42" w:beforeLines="10" w:after="63" w:afterLines="1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1．概念</w:t>
            </w:r>
          </w:p>
        </w:tc>
        <w:tc>
          <w:tcPr>
            <w:tcW w:w="6309" w:type="dxa"/>
            <w:vAlign w:val="center"/>
          </w:tcPr>
          <w:p w14:paraId="77ACA690">
            <w:pPr>
              <w:spacing w:before="42" w:beforeLines="10" w:after="63" w:afterLines="1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债之关系产生时，给付内容已经确定的债</w:t>
            </w:r>
          </w:p>
        </w:tc>
      </w:tr>
      <w:tr w14:paraId="5389E53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9" w:type="dxa"/>
            <w:vMerge w:val="continue"/>
            <w:vAlign w:val="center"/>
          </w:tcPr>
          <w:p w14:paraId="5EB0C01D">
            <w:pPr>
              <w:spacing w:before="42" w:beforeLines="10" w:after="63" w:afterLines="15" w:line="280" w:lineRule="exact"/>
              <w:jc w:val="center"/>
              <w:rPr>
                <w:rFonts w:ascii="汉仪中黑简" w:hAnsi="Times New Roman" w:eastAsia="汉仪中黑简"/>
                <w:kern w:val="24"/>
                <w:sz w:val="20"/>
                <w:szCs w:val="20"/>
              </w:rPr>
            </w:pPr>
          </w:p>
        </w:tc>
        <w:tc>
          <w:tcPr>
            <w:tcW w:w="1276" w:type="dxa"/>
            <w:vAlign w:val="center"/>
          </w:tcPr>
          <w:p w14:paraId="3DC704E2">
            <w:pPr>
              <w:spacing w:before="42" w:beforeLines="10" w:after="63" w:afterLines="1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2．法律特征</w:t>
            </w:r>
          </w:p>
        </w:tc>
        <w:tc>
          <w:tcPr>
            <w:tcW w:w="6309" w:type="dxa"/>
            <w:vAlign w:val="center"/>
          </w:tcPr>
          <w:p w14:paraId="17131E9B">
            <w:pPr>
              <w:spacing w:before="42" w:beforeLines="10" w:after="63" w:afterLines="15" w:line="280" w:lineRule="exact"/>
              <w:rPr>
                <w:rFonts w:ascii="汉仪书宋一简" w:hAnsi="Times New Roman" w:eastAsia="汉仪书宋一简" w:cs="Times New Roman"/>
                <w:sz w:val="20"/>
                <w:szCs w:val="20"/>
              </w:rPr>
            </w:pPr>
            <w:r>
              <w:rPr>
                <w:rFonts w:hint="eastAsia" w:ascii="汉仪书宋一简" w:hAnsi="Times New Roman" w:eastAsia="汉仪中黑简" w:cs="Times New Roman"/>
                <w:color w:val="FF0000"/>
                <w:sz w:val="20"/>
                <w:szCs w:val="20"/>
              </w:rPr>
              <w:t>如果标的物灭失，则构成履行不能</w:t>
            </w:r>
            <w:r>
              <w:rPr>
                <w:rFonts w:hint="eastAsia" w:ascii="汉仪书宋一简" w:hAnsi="Times New Roman" w:eastAsia="汉仪书宋一简" w:cs="Times New Roman"/>
                <w:sz w:val="20"/>
                <w:szCs w:val="20"/>
              </w:rPr>
              <w:t>，债权人不得主张继续履行（原给付义务消灭），但不影响其他次给付义务（如损害赔偿）</w:t>
            </w:r>
          </w:p>
        </w:tc>
      </w:tr>
      <w:tr w14:paraId="0619D99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9" w:type="dxa"/>
            <w:vMerge w:val="restart"/>
            <w:vAlign w:val="center"/>
          </w:tcPr>
          <w:p w14:paraId="6C2C598E">
            <w:pPr>
              <w:spacing w:before="42" w:beforeLines="10" w:after="63" w:afterLines="15" w:line="280" w:lineRule="exact"/>
              <w:jc w:val="center"/>
              <w:rPr>
                <w:rFonts w:ascii="汉仪中黑简" w:hAnsi="Times New Roman" w:eastAsia="汉仪中黑简"/>
                <w:kern w:val="24"/>
                <w:sz w:val="20"/>
                <w:szCs w:val="20"/>
              </w:rPr>
            </w:pPr>
            <w:r>
              <w:rPr>
                <w:rFonts w:hint="eastAsia" w:ascii="汉仪中黑简" w:hAnsi="Times New Roman" w:eastAsia="汉仪中黑简"/>
                <w:kern w:val="24"/>
                <w:sz w:val="20"/>
                <w:szCs w:val="20"/>
              </w:rPr>
              <w:t>种类之债</w:t>
            </w:r>
          </w:p>
        </w:tc>
        <w:tc>
          <w:tcPr>
            <w:tcW w:w="1276" w:type="dxa"/>
            <w:vAlign w:val="center"/>
          </w:tcPr>
          <w:p w14:paraId="7C749B36">
            <w:pPr>
              <w:spacing w:before="42" w:beforeLines="10" w:after="63" w:afterLines="1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1．概念</w:t>
            </w:r>
          </w:p>
        </w:tc>
        <w:tc>
          <w:tcPr>
            <w:tcW w:w="6309" w:type="dxa"/>
            <w:vAlign w:val="center"/>
          </w:tcPr>
          <w:p w14:paraId="207365EC">
            <w:pPr>
              <w:spacing w:before="42" w:beforeLines="10" w:after="63" w:afterLines="1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债之关系产生时给付内容尚未确定，有待结合型号、系列等标准确定的债</w:t>
            </w:r>
          </w:p>
        </w:tc>
      </w:tr>
      <w:tr w14:paraId="7E4611E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9" w:type="dxa"/>
            <w:vMerge w:val="continue"/>
            <w:vAlign w:val="center"/>
          </w:tcPr>
          <w:p w14:paraId="28BD3AF1">
            <w:pPr>
              <w:spacing w:before="42" w:beforeLines="10" w:after="63" w:afterLines="15" w:line="280" w:lineRule="exact"/>
              <w:rPr>
                <w:rFonts w:ascii="Times New Roman" w:hAnsi="Times New Roman" w:eastAsia="汉仪书宋二简" w:cs="Times New Roman"/>
                <w:b/>
                <w:sz w:val="20"/>
                <w:szCs w:val="20"/>
              </w:rPr>
            </w:pPr>
          </w:p>
        </w:tc>
        <w:tc>
          <w:tcPr>
            <w:tcW w:w="1276" w:type="dxa"/>
            <w:vMerge w:val="restart"/>
            <w:vAlign w:val="center"/>
          </w:tcPr>
          <w:p w14:paraId="7E8AF528">
            <w:pPr>
              <w:spacing w:before="42" w:beforeLines="10" w:after="63" w:afterLines="1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2．法律特征</w:t>
            </w:r>
          </w:p>
        </w:tc>
        <w:tc>
          <w:tcPr>
            <w:tcW w:w="6309" w:type="dxa"/>
            <w:vAlign w:val="center"/>
          </w:tcPr>
          <w:p w14:paraId="33EBF5EB">
            <w:pPr>
              <w:spacing w:before="42" w:beforeLines="10" w:after="63" w:afterLines="1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（1）种类之债必须经过特定化，转化为特定之债后才能履行</w:t>
            </w:r>
          </w:p>
        </w:tc>
      </w:tr>
      <w:tr w14:paraId="1CA65D1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9" w:type="dxa"/>
            <w:vMerge w:val="continue"/>
            <w:vAlign w:val="center"/>
          </w:tcPr>
          <w:p w14:paraId="6129F3CE">
            <w:pPr>
              <w:spacing w:before="42" w:beforeLines="10" w:after="63" w:afterLines="15" w:line="280" w:lineRule="exact"/>
              <w:rPr>
                <w:rFonts w:ascii="Times New Roman" w:hAnsi="Times New Roman" w:eastAsia="汉仪书宋二简" w:cs="Times New Roman"/>
                <w:b/>
                <w:sz w:val="20"/>
                <w:szCs w:val="20"/>
              </w:rPr>
            </w:pPr>
          </w:p>
        </w:tc>
        <w:tc>
          <w:tcPr>
            <w:tcW w:w="1276" w:type="dxa"/>
            <w:vMerge w:val="continue"/>
            <w:vAlign w:val="center"/>
          </w:tcPr>
          <w:p w14:paraId="217B0FDD">
            <w:pPr>
              <w:spacing w:before="42" w:beforeLines="10" w:after="63" w:afterLines="15" w:line="280" w:lineRule="exact"/>
              <w:rPr>
                <w:rFonts w:ascii="汉仪书宋一简" w:hAnsi="Times New Roman" w:eastAsia="汉仪书宋一简" w:cs="Times New Roman"/>
                <w:sz w:val="20"/>
                <w:szCs w:val="20"/>
              </w:rPr>
            </w:pPr>
          </w:p>
        </w:tc>
        <w:tc>
          <w:tcPr>
            <w:tcW w:w="6309" w:type="dxa"/>
            <w:vAlign w:val="center"/>
          </w:tcPr>
          <w:p w14:paraId="091C4597">
            <w:pPr>
              <w:numPr>
                <w:ilvl w:val="0"/>
                <w:numId w:val="1"/>
              </w:numPr>
              <w:spacing w:before="42" w:beforeLines="10" w:after="63" w:afterLines="15" w:line="280" w:lineRule="exact"/>
              <w:ind w:left="0" w:leftChars="0" w:firstLine="0" w:firstLineChars="0"/>
              <w:rPr>
                <w:rFonts w:hint="eastAsia"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在种类之债</w:t>
            </w:r>
            <w:r>
              <w:rPr>
                <w:rFonts w:hint="eastAsia" w:ascii="汉仪书宋一简" w:hAnsi="Times New Roman" w:eastAsia="汉仪中黑简" w:cs="Times New Roman"/>
                <w:color w:val="FF0000"/>
                <w:sz w:val="20"/>
                <w:szCs w:val="20"/>
              </w:rPr>
              <w:t>特定化之前，标的物灭失原则上不构成履行不能</w:t>
            </w:r>
            <w:r>
              <w:rPr>
                <w:rFonts w:hint="eastAsia" w:ascii="汉仪书宋一简" w:hAnsi="Times New Roman" w:eastAsia="汉仪书宋一简" w:cs="Times New Roman"/>
                <w:sz w:val="20"/>
                <w:szCs w:val="20"/>
              </w:rPr>
              <w:t>，除非该种类物全部灭失且无法找到同种类替代物</w:t>
            </w:r>
          </w:p>
          <w:p w14:paraId="05B52985">
            <w:pPr>
              <w:numPr>
                <w:numId w:val="0"/>
              </w:numPr>
              <w:spacing w:before="42" w:beforeLines="10" w:after="63" w:afterLines="15" w:line="280" w:lineRule="exact"/>
              <w:ind w:leftChars="0"/>
              <w:rPr>
                <w:rFonts w:hint="default" w:ascii="汉仪书宋一简" w:hAnsi="Times New Roman" w:eastAsia="汉仪书宋一简" w:cs="Times New Roman"/>
                <w:sz w:val="20"/>
                <w:szCs w:val="20"/>
                <w:lang w:val="en-US" w:eastAsia="zh-CN"/>
              </w:rPr>
            </w:pPr>
            <w:r>
              <w:rPr>
                <w:rFonts w:hint="eastAsia" w:ascii="汉仪书宋一简" w:hAnsi="Times New Roman" w:eastAsia="汉仪书宋一简" w:cs="Times New Roman"/>
                <w:color w:val="0000FF"/>
                <w:sz w:val="20"/>
                <w:szCs w:val="20"/>
                <w:lang w:val="en-US" w:eastAsia="zh-CN"/>
              </w:rPr>
              <w:t>存在寻找替代物的义务</w:t>
            </w:r>
          </w:p>
        </w:tc>
      </w:tr>
      <w:tr w14:paraId="6AF5B18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9" w:type="dxa"/>
            <w:vMerge w:val="continue"/>
            <w:vAlign w:val="center"/>
          </w:tcPr>
          <w:p w14:paraId="354E0DC7">
            <w:pPr>
              <w:spacing w:before="42" w:beforeLines="10" w:after="63" w:afterLines="15" w:line="280" w:lineRule="exact"/>
              <w:rPr>
                <w:rFonts w:ascii="Times New Roman" w:hAnsi="Times New Roman" w:eastAsia="汉仪书宋二简" w:cs="Times New Roman"/>
                <w:b/>
                <w:sz w:val="20"/>
                <w:szCs w:val="20"/>
              </w:rPr>
            </w:pPr>
          </w:p>
        </w:tc>
        <w:tc>
          <w:tcPr>
            <w:tcW w:w="1276" w:type="dxa"/>
            <w:vMerge w:val="continue"/>
            <w:vAlign w:val="center"/>
          </w:tcPr>
          <w:p w14:paraId="0E735DA4">
            <w:pPr>
              <w:spacing w:before="42" w:beforeLines="10" w:after="63" w:afterLines="15" w:line="280" w:lineRule="exact"/>
              <w:rPr>
                <w:rFonts w:ascii="汉仪书宋一简" w:hAnsi="Times New Roman" w:eastAsia="汉仪书宋一简" w:cs="Times New Roman"/>
                <w:sz w:val="20"/>
                <w:szCs w:val="20"/>
              </w:rPr>
            </w:pPr>
          </w:p>
        </w:tc>
        <w:tc>
          <w:tcPr>
            <w:tcW w:w="6309" w:type="dxa"/>
            <w:vAlign w:val="center"/>
          </w:tcPr>
          <w:p w14:paraId="7ADC27F4">
            <w:pPr>
              <w:spacing w:before="42" w:beforeLines="10" w:after="63" w:afterLines="1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（3）种类之债特定化后，就转化为特定之债</w:t>
            </w:r>
          </w:p>
        </w:tc>
      </w:tr>
    </w:tbl>
    <w:p w14:paraId="6EA7710F">
      <w:pPr>
        <w:spacing w:line="300" w:lineRule="exact"/>
        <w:ind w:firstLine="420" w:firstLineChars="200"/>
        <w:rPr>
          <w:rFonts w:hint="eastAsia" w:ascii="汉仪书宋二简" w:hAnsi="汉仪书宋二简" w:eastAsia="汉仪书宋二简" w:cs="汉仪书宋二简"/>
          <w:color w:val="auto"/>
          <w:kern w:val="0"/>
        </w:rPr>
      </w:pPr>
    </w:p>
    <w:p w14:paraId="28A94C81">
      <w:pPr>
        <w:pStyle w:val="4"/>
        <w:tabs>
          <w:tab w:val="left" w:pos="420"/>
        </w:tabs>
        <w:spacing w:before="0" w:after="0" w:line="384" w:lineRule="exact"/>
        <w:ind w:firstLine="288" w:firstLineChars="120"/>
        <w:jc w:val="left"/>
        <w:rPr>
          <w:rFonts w:hint="eastAsia" w:eastAsia="汉仪大宋简" w:asciiTheme="majorHAnsi" w:hAnsiTheme="majorHAnsi" w:cstheme="majorBidi"/>
          <w:b w:val="0"/>
          <w:color w:val="000000" w:themeColor="text1"/>
          <w:sz w:val="24"/>
          <w14:textFill>
            <w14:solidFill>
              <w14:schemeClr w14:val="tx1"/>
            </w14:solidFill>
          </w14:textFill>
        </w:rPr>
      </w:pPr>
      <w:r>
        <w:rPr>
          <w:rFonts w:hint="eastAsia" w:eastAsia="汉仪大宋简" w:asciiTheme="majorHAnsi" w:hAnsiTheme="majorHAnsi" w:cstheme="majorBidi"/>
          <w:b w:val="0"/>
          <w:color w:val="000000" w:themeColor="text1"/>
          <w:sz w:val="24"/>
          <w14:textFill>
            <w14:solidFill>
              <w14:schemeClr w14:val="tx1"/>
            </w14:solidFill>
          </w14:textFill>
        </w:rPr>
        <w:t>（三）简单之债与选择之债</w:t>
      </w:r>
    </w:p>
    <w:p w14:paraId="01E8B4AD">
      <w:pPr>
        <w:spacing w:line="300" w:lineRule="exact"/>
        <w:ind w:firstLine="420" w:firstLineChars="200"/>
        <w:rPr>
          <w:rFonts w:hint="eastAsia" w:ascii="汉仪书宋二简" w:hAnsi="汉仪书宋二简" w:eastAsia="汉仪书宋二简" w:cs="汉仪书宋二简"/>
          <w:color w:val="auto"/>
          <w:kern w:val="0"/>
        </w:rPr>
      </w:pPr>
    </w:p>
    <w:tbl>
      <w:tblPr>
        <w:tblStyle w:val="6"/>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105"/>
        <w:gridCol w:w="1120"/>
        <w:gridCol w:w="1309"/>
        <w:gridCol w:w="4971"/>
      </w:tblGrid>
      <w:tr w14:paraId="76CDCC8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05" w:type="dxa"/>
            <w:vAlign w:val="center"/>
          </w:tcPr>
          <w:p w14:paraId="57681315">
            <w:pPr>
              <w:spacing w:before="42" w:beforeLines="10" w:after="63" w:afterLines="15" w:line="280" w:lineRule="exact"/>
              <w:jc w:val="center"/>
              <w:rPr>
                <w:rFonts w:ascii="汉仪中黑简" w:hAnsi="Times New Roman" w:eastAsia="汉仪中黑简"/>
                <w:kern w:val="24"/>
                <w:sz w:val="20"/>
                <w:szCs w:val="20"/>
              </w:rPr>
            </w:pPr>
            <w:r>
              <w:rPr>
                <w:rFonts w:hint="eastAsia" w:ascii="汉仪中黑简" w:hAnsi="Times New Roman" w:eastAsia="汉仪中黑简"/>
                <w:kern w:val="24"/>
                <w:sz w:val="20"/>
                <w:szCs w:val="20"/>
              </w:rPr>
              <w:t>区分标准</w:t>
            </w:r>
          </w:p>
        </w:tc>
        <w:tc>
          <w:tcPr>
            <w:tcW w:w="7400" w:type="dxa"/>
            <w:gridSpan w:val="3"/>
            <w:vAlign w:val="center"/>
          </w:tcPr>
          <w:p w14:paraId="4EB0FC59">
            <w:pPr>
              <w:spacing w:before="42" w:beforeLines="10" w:after="63" w:afterLines="1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给付内容是否单一</w:t>
            </w:r>
          </w:p>
        </w:tc>
      </w:tr>
      <w:tr w14:paraId="5A7494A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05" w:type="dxa"/>
            <w:vAlign w:val="center"/>
          </w:tcPr>
          <w:p w14:paraId="502B5976">
            <w:pPr>
              <w:spacing w:before="42" w:beforeLines="10" w:after="63" w:afterLines="15" w:line="280" w:lineRule="exact"/>
              <w:jc w:val="center"/>
              <w:rPr>
                <w:rFonts w:ascii="汉仪中黑简" w:hAnsi="Times New Roman" w:eastAsia="汉仪中黑简"/>
                <w:kern w:val="24"/>
                <w:sz w:val="20"/>
                <w:szCs w:val="20"/>
              </w:rPr>
            </w:pPr>
            <w:r>
              <w:rPr>
                <w:rFonts w:hint="eastAsia" w:ascii="汉仪中黑简" w:hAnsi="Times New Roman" w:eastAsia="汉仪中黑简"/>
                <w:kern w:val="24"/>
                <w:sz w:val="20"/>
                <w:szCs w:val="20"/>
              </w:rPr>
              <w:t>简单之债</w:t>
            </w:r>
          </w:p>
        </w:tc>
        <w:tc>
          <w:tcPr>
            <w:tcW w:w="7400" w:type="dxa"/>
            <w:gridSpan w:val="3"/>
            <w:vAlign w:val="center"/>
          </w:tcPr>
          <w:p w14:paraId="2A13F396">
            <w:pPr>
              <w:spacing w:before="42" w:beforeLines="10" w:after="63" w:afterLines="1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给付内容单一的债</w:t>
            </w:r>
          </w:p>
        </w:tc>
      </w:tr>
      <w:tr w14:paraId="233B724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05" w:type="dxa"/>
            <w:vMerge w:val="restart"/>
            <w:vAlign w:val="center"/>
          </w:tcPr>
          <w:p w14:paraId="45780910">
            <w:pPr>
              <w:spacing w:before="42" w:beforeLines="10" w:after="63" w:afterLines="15" w:line="280" w:lineRule="exact"/>
              <w:jc w:val="center"/>
              <w:rPr>
                <w:rFonts w:ascii="汉仪中黑简" w:hAnsi="Times New Roman" w:eastAsia="汉仪中黑简"/>
                <w:kern w:val="24"/>
                <w:sz w:val="20"/>
                <w:szCs w:val="20"/>
              </w:rPr>
            </w:pPr>
            <w:r>
              <w:rPr>
                <w:rFonts w:hint="eastAsia" w:ascii="汉仪中黑简" w:hAnsi="Times New Roman" w:eastAsia="汉仪中黑简"/>
                <w:kern w:val="24"/>
                <w:sz w:val="20"/>
                <w:szCs w:val="20"/>
              </w:rPr>
              <w:t>选择之债</w:t>
            </w:r>
          </w:p>
        </w:tc>
        <w:tc>
          <w:tcPr>
            <w:tcW w:w="1120" w:type="dxa"/>
            <w:vAlign w:val="center"/>
          </w:tcPr>
          <w:p w14:paraId="29007358">
            <w:pPr>
              <w:spacing w:before="42" w:beforeLines="10" w:after="63" w:afterLines="1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1．概念</w:t>
            </w:r>
          </w:p>
        </w:tc>
        <w:tc>
          <w:tcPr>
            <w:tcW w:w="6280" w:type="dxa"/>
            <w:gridSpan w:val="2"/>
            <w:vAlign w:val="center"/>
          </w:tcPr>
          <w:p w14:paraId="1155CA38">
            <w:pPr>
              <w:spacing w:before="42" w:beforeLines="10" w:after="63" w:afterLines="1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在数宗给付中，得选定其一而为给付之债</w:t>
            </w:r>
          </w:p>
        </w:tc>
      </w:tr>
      <w:tr w14:paraId="07B148E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05" w:type="dxa"/>
            <w:vMerge w:val="continue"/>
            <w:vAlign w:val="center"/>
          </w:tcPr>
          <w:p w14:paraId="3A9AEC06">
            <w:pPr>
              <w:spacing w:before="42" w:beforeLines="10" w:after="63" w:afterLines="15" w:line="280" w:lineRule="exact"/>
              <w:rPr>
                <w:rFonts w:ascii="Times New Roman" w:hAnsi="Times New Roman" w:eastAsia="汉仪书宋二简" w:cs="Times New Roman"/>
                <w:b/>
                <w:sz w:val="20"/>
                <w:szCs w:val="20"/>
              </w:rPr>
            </w:pPr>
          </w:p>
        </w:tc>
        <w:tc>
          <w:tcPr>
            <w:tcW w:w="1120" w:type="dxa"/>
            <w:vMerge w:val="restart"/>
            <w:vAlign w:val="center"/>
          </w:tcPr>
          <w:p w14:paraId="645D75CC">
            <w:pPr>
              <w:spacing w:before="42" w:beforeLines="10" w:after="63" w:afterLines="1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2．选择权</w:t>
            </w:r>
          </w:p>
        </w:tc>
        <w:tc>
          <w:tcPr>
            <w:tcW w:w="6280" w:type="dxa"/>
            <w:gridSpan w:val="2"/>
            <w:vAlign w:val="center"/>
          </w:tcPr>
          <w:p w14:paraId="707D0838">
            <w:pPr>
              <w:spacing w:before="42" w:beforeLines="10" w:after="63" w:afterLines="1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（1）性质：形成权</w:t>
            </w:r>
          </w:p>
        </w:tc>
      </w:tr>
      <w:tr w14:paraId="758D99F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05" w:type="dxa"/>
            <w:vMerge w:val="continue"/>
            <w:vAlign w:val="center"/>
          </w:tcPr>
          <w:p w14:paraId="37458F05">
            <w:pPr>
              <w:spacing w:before="42" w:beforeLines="10" w:after="63" w:afterLines="15" w:line="280" w:lineRule="exact"/>
              <w:rPr>
                <w:rFonts w:ascii="Times New Roman" w:hAnsi="Times New Roman" w:eastAsia="汉仪书宋二简" w:cs="Times New Roman"/>
                <w:b/>
                <w:sz w:val="20"/>
                <w:szCs w:val="20"/>
              </w:rPr>
            </w:pPr>
          </w:p>
        </w:tc>
        <w:tc>
          <w:tcPr>
            <w:tcW w:w="1120" w:type="dxa"/>
            <w:vMerge w:val="continue"/>
            <w:vAlign w:val="center"/>
          </w:tcPr>
          <w:p w14:paraId="028C7DE6">
            <w:pPr>
              <w:spacing w:before="42" w:beforeLines="10" w:after="63" w:afterLines="15" w:line="280" w:lineRule="exact"/>
              <w:rPr>
                <w:rFonts w:ascii="汉仪书宋一简" w:hAnsi="Times New Roman" w:eastAsia="汉仪书宋一简" w:cs="Times New Roman"/>
                <w:sz w:val="20"/>
                <w:szCs w:val="20"/>
              </w:rPr>
            </w:pPr>
          </w:p>
        </w:tc>
        <w:tc>
          <w:tcPr>
            <w:tcW w:w="1309" w:type="dxa"/>
            <w:vMerge w:val="restart"/>
            <w:vAlign w:val="center"/>
          </w:tcPr>
          <w:p w14:paraId="62C6942E">
            <w:pPr>
              <w:spacing w:before="42" w:beforeLines="10" w:after="63" w:afterLines="1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（2）归属</w:t>
            </w:r>
          </w:p>
        </w:tc>
        <w:tc>
          <w:tcPr>
            <w:tcW w:w="4971" w:type="dxa"/>
            <w:vAlign w:val="center"/>
          </w:tcPr>
          <w:p w14:paraId="772F8852">
            <w:pPr>
              <w:spacing w:before="42" w:beforeLines="10" w:after="63" w:afterLines="1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①</w:t>
            </w:r>
            <w:r>
              <w:rPr>
                <w:rFonts w:hint="eastAsia" w:ascii="汉仪书宋一简" w:hAnsi="Times New Roman" w:eastAsia="汉仪中黑简" w:cs="Times New Roman"/>
                <w:color w:val="FF0000"/>
                <w:sz w:val="20"/>
                <w:szCs w:val="20"/>
              </w:rPr>
              <w:t>原则上债务人享有</w:t>
            </w:r>
            <w:r>
              <w:rPr>
                <w:rFonts w:hint="eastAsia" w:ascii="汉仪书宋一简" w:hAnsi="Times New Roman" w:eastAsia="汉仪书宋一简" w:cs="Times New Roman"/>
                <w:sz w:val="20"/>
                <w:szCs w:val="20"/>
              </w:rPr>
              <w:t>，但法律另有规定、当事人另有约定或者另有交易习惯的除外</w:t>
            </w:r>
          </w:p>
        </w:tc>
      </w:tr>
      <w:tr w14:paraId="01385F2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05" w:type="dxa"/>
            <w:vMerge w:val="continue"/>
            <w:vAlign w:val="center"/>
          </w:tcPr>
          <w:p w14:paraId="5457789C">
            <w:pPr>
              <w:spacing w:before="42" w:beforeLines="10" w:after="63" w:afterLines="15" w:line="280" w:lineRule="exact"/>
              <w:rPr>
                <w:rFonts w:ascii="Times New Roman" w:hAnsi="Times New Roman" w:eastAsia="汉仪书宋二简" w:cs="Times New Roman"/>
                <w:b/>
                <w:sz w:val="20"/>
                <w:szCs w:val="20"/>
              </w:rPr>
            </w:pPr>
          </w:p>
        </w:tc>
        <w:tc>
          <w:tcPr>
            <w:tcW w:w="1120" w:type="dxa"/>
            <w:vMerge w:val="continue"/>
            <w:vAlign w:val="center"/>
          </w:tcPr>
          <w:p w14:paraId="3ABACC38">
            <w:pPr>
              <w:spacing w:before="42" w:beforeLines="10" w:after="63" w:afterLines="15" w:line="280" w:lineRule="exact"/>
              <w:rPr>
                <w:rFonts w:ascii="Times New Roman" w:hAnsi="Times New Roman" w:eastAsia="汉仪书宋二简" w:cs="Times New Roman"/>
                <w:bCs/>
                <w:sz w:val="20"/>
                <w:szCs w:val="20"/>
              </w:rPr>
            </w:pPr>
          </w:p>
        </w:tc>
        <w:tc>
          <w:tcPr>
            <w:tcW w:w="1309" w:type="dxa"/>
            <w:vMerge w:val="continue"/>
            <w:vAlign w:val="center"/>
          </w:tcPr>
          <w:p w14:paraId="2B394820">
            <w:pPr>
              <w:spacing w:before="42" w:beforeLines="10" w:after="63" w:afterLines="15" w:line="280" w:lineRule="exact"/>
              <w:rPr>
                <w:rFonts w:ascii="Times New Roman" w:hAnsi="Times New Roman" w:eastAsia="汉仪书宋二简" w:cs="Times New Roman"/>
                <w:bCs/>
                <w:sz w:val="20"/>
                <w:szCs w:val="20"/>
              </w:rPr>
            </w:pPr>
          </w:p>
        </w:tc>
        <w:tc>
          <w:tcPr>
            <w:tcW w:w="4971" w:type="dxa"/>
            <w:vAlign w:val="center"/>
          </w:tcPr>
          <w:p w14:paraId="4F90CDEA">
            <w:pPr>
              <w:spacing w:before="42" w:beforeLines="10" w:after="63" w:afterLines="15" w:line="280" w:lineRule="exact"/>
              <w:rPr>
                <w:rFonts w:ascii="Times New Roman" w:hAnsi="Times New Roman" w:eastAsia="汉仪书宋二简" w:cs="Times New Roman"/>
                <w:bCs/>
                <w:sz w:val="20"/>
                <w:szCs w:val="20"/>
              </w:rPr>
            </w:pPr>
            <w:r>
              <w:rPr>
                <w:rFonts w:hint="eastAsia" w:ascii="汉仪书宋一简" w:hAnsi="Times New Roman" w:eastAsia="汉仪书宋一简" w:cs="Times New Roman"/>
                <w:sz w:val="20"/>
                <w:szCs w:val="20"/>
              </w:rPr>
              <w:t>②约定期限或履行期限届满未选择+</w:t>
            </w:r>
            <w:r>
              <w:rPr>
                <w:rFonts w:hint="eastAsia" w:ascii="汉仪书宋一简" w:hAnsi="Times New Roman" w:eastAsia="汉仪中黑简" w:cs="Times New Roman"/>
                <w:color w:val="FF0000"/>
                <w:sz w:val="20"/>
                <w:szCs w:val="20"/>
              </w:rPr>
              <w:t>催告</w:t>
            </w:r>
            <w:r>
              <w:rPr>
                <w:rFonts w:hint="eastAsia" w:ascii="汉仪书宋一简" w:hAnsi="Times New Roman" w:eastAsia="汉仪书宋一简" w:cs="Times New Roman"/>
                <w:sz w:val="20"/>
                <w:szCs w:val="20"/>
              </w:rPr>
              <w:t>+合理期限内仍未选择→→</w:t>
            </w:r>
            <w:r>
              <w:rPr>
                <w:rFonts w:hint="eastAsia" w:ascii="汉仪书宋一简" w:hAnsi="Times New Roman" w:eastAsia="汉仪中黑简" w:cs="Times New Roman"/>
                <w:color w:val="FF0000"/>
                <w:sz w:val="20"/>
                <w:szCs w:val="20"/>
              </w:rPr>
              <w:t>选择权转移至对方</w:t>
            </w:r>
          </w:p>
        </w:tc>
      </w:tr>
      <w:tr w14:paraId="754C931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05" w:type="dxa"/>
            <w:vMerge w:val="continue"/>
            <w:vAlign w:val="center"/>
          </w:tcPr>
          <w:p w14:paraId="6AA635A6">
            <w:pPr>
              <w:spacing w:before="42" w:beforeLines="10" w:after="63" w:afterLines="15" w:line="280" w:lineRule="exact"/>
              <w:rPr>
                <w:rFonts w:ascii="Times New Roman" w:hAnsi="Times New Roman" w:eastAsia="汉仪书宋二简" w:cs="Times New Roman"/>
                <w:b/>
                <w:sz w:val="20"/>
                <w:szCs w:val="20"/>
              </w:rPr>
            </w:pPr>
          </w:p>
        </w:tc>
        <w:tc>
          <w:tcPr>
            <w:tcW w:w="1120" w:type="dxa"/>
            <w:vMerge w:val="continue"/>
            <w:vAlign w:val="center"/>
          </w:tcPr>
          <w:p w14:paraId="05651825">
            <w:pPr>
              <w:spacing w:before="42" w:beforeLines="10" w:after="63" w:afterLines="15" w:line="280" w:lineRule="exact"/>
              <w:rPr>
                <w:rFonts w:ascii="Times New Roman" w:hAnsi="Times New Roman" w:eastAsia="汉仪书宋二简" w:cs="Times New Roman"/>
                <w:bCs/>
                <w:sz w:val="20"/>
                <w:szCs w:val="20"/>
              </w:rPr>
            </w:pPr>
          </w:p>
        </w:tc>
        <w:tc>
          <w:tcPr>
            <w:tcW w:w="1309" w:type="dxa"/>
            <w:vMerge w:val="restart"/>
            <w:vAlign w:val="center"/>
          </w:tcPr>
          <w:p w14:paraId="125C0588">
            <w:pPr>
              <w:spacing w:before="42" w:beforeLines="10" w:after="63" w:afterLines="1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（3）行使</w:t>
            </w:r>
          </w:p>
        </w:tc>
        <w:tc>
          <w:tcPr>
            <w:tcW w:w="4971" w:type="dxa"/>
            <w:vAlign w:val="center"/>
          </w:tcPr>
          <w:p w14:paraId="6F4CEDD2">
            <w:pPr>
              <w:spacing w:before="42" w:beforeLines="10" w:after="63" w:afterLines="1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①通知的方式行使</w:t>
            </w:r>
          </w:p>
        </w:tc>
      </w:tr>
      <w:tr w14:paraId="056AFBE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05" w:type="dxa"/>
            <w:vMerge w:val="continue"/>
            <w:vAlign w:val="center"/>
          </w:tcPr>
          <w:p w14:paraId="15B2BDBB">
            <w:pPr>
              <w:spacing w:before="42" w:beforeLines="10" w:after="63" w:afterLines="15" w:line="280" w:lineRule="exact"/>
              <w:rPr>
                <w:rFonts w:ascii="Times New Roman" w:hAnsi="Times New Roman" w:eastAsia="汉仪书宋二简" w:cs="Times New Roman"/>
                <w:b/>
                <w:sz w:val="20"/>
                <w:szCs w:val="20"/>
              </w:rPr>
            </w:pPr>
          </w:p>
        </w:tc>
        <w:tc>
          <w:tcPr>
            <w:tcW w:w="1120" w:type="dxa"/>
            <w:vMerge w:val="continue"/>
            <w:vAlign w:val="center"/>
          </w:tcPr>
          <w:p w14:paraId="05257E96">
            <w:pPr>
              <w:spacing w:before="42" w:beforeLines="10" w:after="63" w:afterLines="15" w:line="280" w:lineRule="exact"/>
              <w:rPr>
                <w:rFonts w:ascii="Times New Roman" w:hAnsi="Times New Roman" w:eastAsia="汉仪书宋二简" w:cs="Times New Roman"/>
                <w:bCs/>
                <w:sz w:val="20"/>
                <w:szCs w:val="20"/>
              </w:rPr>
            </w:pPr>
          </w:p>
        </w:tc>
        <w:tc>
          <w:tcPr>
            <w:tcW w:w="1309" w:type="dxa"/>
            <w:vMerge w:val="continue"/>
            <w:vAlign w:val="center"/>
          </w:tcPr>
          <w:p w14:paraId="0A75F732">
            <w:pPr>
              <w:spacing w:before="42" w:beforeLines="10" w:after="63" w:afterLines="15" w:line="280" w:lineRule="exact"/>
              <w:rPr>
                <w:rFonts w:ascii="汉仪书宋一简" w:hAnsi="Times New Roman" w:eastAsia="汉仪书宋一简" w:cs="Times New Roman"/>
                <w:sz w:val="20"/>
                <w:szCs w:val="20"/>
              </w:rPr>
            </w:pPr>
          </w:p>
        </w:tc>
        <w:tc>
          <w:tcPr>
            <w:tcW w:w="4971" w:type="dxa"/>
            <w:vAlign w:val="center"/>
          </w:tcPr>
          <w:p w14:paraId="6A98DD34">
            <w:pPr>
              <w:spacing w:before="42" w:beforeLines="10" w:after="63" w:afterLines="15" w:line="280" w:lineRule="exact"/>
              <w:rPr>
                <w:rFonts w:hint="eastAsia" w:ascii="汉仪书宋一简" w:hAnsi="Times New Roman" w:eastAsia="汉仪书宋一简" w:cs="Times New Roman"/>
                <w:color w:val="0000FF"/>
                <w:sz w:val="20"/>
                <w:szCs w:val="20"/>
              </w:rPr>
            </w:pPr>
            <w:r>
              <w:rPr>
                <w:rFonts w:hint="eastAsia" w:ascii="汉仪书宋一简" w:hAnsi="Times New Roman" w:eastAsia="汉仪书宋一简" w:cs="Times New Roman"/>
                <w:sz w:val="20"/>
                <w:szCs w:val="20"/>
              </w:rPr>
              <w:t>②可选择债务标的之中发生不能履行情形，不得选择履行不能的标的，</w:t>
            </w:r>
            <w:r>
              <w:rPr>
                <w:rFonts w:hint="eastAsia" w:ascii="汉仪书宋一简" w:hAnsi="Times New Roman" w:eastAsia="汉仪书宋一简" w:cs="Times New Roman"/>
                <w:color w:val="0000FF"/>
                <w:sz w:val="20"/>
                <w:szCs w:val="20"/>
              </w:rPr>
              <w:t>但不能履行的情形是由对方造成的除外</w:t>
            </w:r>
          </w:p>
          <w:p w14:paraId="0B4F24D9">
            <w:pPr>
              <w:spacing w:before="42" w:beforeLines="10" w:after="63" w:afterLines="15" w:line="280" w:lineRule="exact"/>
              <w:rPr>
                <w:rFonts w:hint="default" w:ascii="汉仪书宋一简" w:hAnsi="Times New Roman" w:eastAsia="汉仪书宋一简" w:cs="Times New Roman"/>
                <w:color w:val="0000FF"/>
                <w:sz w:val="20"/>
                <w:szCs w:val="20"/>
                <w:lang w:val="en-US" w:eastAsia="zh-CN"/>
              </w:rPr>
            </w:pPr>
            <w:r>
              <w:rPr>
                <w:rFonts w:hint="eastAsia" w:ascii="汉仪书宋一简" w:hAnsi="Times New Roman" w:eastAsia="汉仪书宋一简" w:cs="Times New Roman"/>
                <w:color w:val="0000FF"/>
                <w:sz w:val="20"/>
                <w:szCs w:val="20"/>
                <w:lang w:val="en-US" w:eastAsia="zh-CN"/>
              </w:rPr>
              <w:t>此时就未履行不能一个和履行不能的违约责任选择</w:t>
            </w:r>
          </w:p>
        </w:tc>
      </w:tr>
      <w:tr w14:paraId="4818781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05" w:type="dxa"/>
            <w:vMerge w:val="continue"/>
            <w:vAlign w:val="center"/>
          </w:tcPr>
          <w:p w14:paraId="744E3829">
            <w:pPr>
              <w:spacing w:before="42" w:beforeLines="10" w:after="63" w:afterLines="15" w:line="280" w:lineRule="exact"/>
              <w:rPr>
                <w:rFonts w:ascii="Times New Roman" w:hAnsi="Times New Roman" w:eastAsia="汉仪书宋二简" w:cs="Times New Roman"/>
                <w:b/>
                <w:sz w:val="20"/>
                <w:szCs w:val="20"/>
              </w:rPr>
            </w:pPr>
          </w:p>
        </w:tc>
        <w:tc>
          <w:tcPr>
            <w:tcW w:w="1120" w:type="dxa"/>
            <w:vMerge w:val="continue"/>
            <w:vAlign w:val="center"/>
          </w:tcPr>
          <w:p w14:paraId="77CD7108">
            <w:pPr>
              <w:spacing w:before="42" w:beforeLines="10" w:after="63" w:afterLines="15" w:line="280" w:lineRule="exact"/>
              <w:rPr>
                <w:rFonts w:ascii="Times New Roman" w:hAnsi="Times New Roman" w:eastAsia="汉仪书宋二简" w:cs="Times New Roman"/>
                <w:bCs/>
                <w:sz w:val="20"/>
                <w:szCs w:val="20"/>
              </w:rPr>
            </w:pPr>
          </w:p>
        </w:tc>
        <w:tc>
          <w:tcPr>
            <w:tcW w:w="1309" w:type="dxa"/>
            <w:vAlign w:val="center"/>
          </w:tcPr>
          <w:p w14:paraId="1F762EBA">
            <w:pPr>
              <w:spacing w:before="42" w:beforeLines="10" w:after="63" w:afterLines="1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（4）效果</w:t>
            </w:r>
          </w:p>
        </w:tc>
        <w:tc>
          <w:tcPr>
            <w:tcW w:w="4971" w:type="dxa"/>
            <w:vAlign w:val="center"/>
          </w:tcPr>
          <w:p w14:paraId="13EB61ED">
            <w:pPr>
              <w:spacing w:before="42" w:beforeLines="10" w:after="63" w:afterLines="1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选择之债变成简单之债</w:t>
            </w:r>
          </w:p>
        </w:tc>
      </w:tr>
    </w:tbl>
    <w:p w14:paraId="6DC416FE">
      <w:pPr>
        <w:spacing w:line="384" w:lineRule="exact"/>
        <w:ind w:firstLine="420" w:firstLineChars="200"/>
        <w:rPr>
          <w:rFonts w:hint="eastAsia" w:ascii="汉仪书宋二简" w:hAnsi="汉仪书宋二简" w:eastAsia="汉仪书宋二简" w:cs="汉仪书宋二简"/>
          <w:color w:val="auto"/>
          <w:kern w:val="0"/>
        </w:rPr>
      </w:pPr>
    </w:p>
    <w:p w14:paraId="16B30C28">
      <w:pPr>
        <w:pStyle w:val="4"/>
        <w:tabs>
          <w:tab w:val="left" w:pos="420"/>
        </w:tabs>
        <w:spacing w:before="0" w:after="0" w:line="384" w:lineRule="exact"/>
        <w:ind w:firstLine="288" w:firstLineChars="120"/>
        <w:jc w:val="left"/>
        <w:rPr>
          <w:rFonts w:hint="eastAsia" w:eastAsia="汉仪大宋简" w:asciiTheme="majorHAnsi" w:hAnsiTheme="majorHAnsi" w:cstheme="majorBidi"/>
          <w:b w:val="0"/>
          <w:color w:val="000000" w:themeColor="text1"/>
          <w:sz w:val="24"/>
          <w14:textFill>
            <w14:solidFill>
              <w14:schemeClr w14:val="tx1"/>
            </w14:solidFill>
          </w14:textFill>
        </w:rPr>
      </w:pPr>
      <w:r>
        <w:rPr>
          <w:rFonts w:hint="eastAsia" w:eastAsia="汉仪大宋简" w:asciiTheme="majorHAnsi" w:hAnsiTheme="majorHAnsi" w:cstheme="majorBidi"/>
          <w:b w:val="0"/>
          <w:color w:val="000000" w:themeColor="text1"/>
          <w:sz w:val="24"/>
          <w14:textFill>
            <w14:solidFill>
              <w14:schemeClr w14:val="tx1"/>
            </w14:solidFill>
          </w14:textFill>
        </w:rPr>
        <w:t>（四）单一之债与多数人之债</w:t>
      </w:r>
    </w:p>
    <w:p w14:paraId="2E9A2A0E">
      <w:pPr>
        <w:spacing w:line="384" w:lineRule="exact"/>
        <w:ind w:firstLine="440" w:firstLineChars="200"/>
        <w:rPr>
          <w:rFonts w:ascii="汉仪中黑简" w:hAnsi="Times New Roman" w:eastAsia="汉仪中黑简" w:cs="Times New Roman"/>
          <w:bCs/>
          <w:sz w:val="22"/>
          <w:szCs w:val="22"/>
        </w:rPr>
      </w:pPr>
      <w:r>
        <w:rPr>
          <w:rFonts w:hint="eastAsia" w:ascii="汉仪中黑简" w:hAnsi="Times New Roman" w:eastAsia="汉仪中黑简" w:cs="Times New Roman"/>
          <w:bCs/>
          <w:sz w:val="22"/>
          <w:szCs w:val="22"/>
        </w:rPr>
        <w:t>1．按份之债</w:t>
      </w:r>
    </w:p>
    <w:p w14:paraId="6B4C1DD8">
      <w:pPr>
        <w:spacing w:line="300" w:lineRule="exact"/>
        <w:ind w:firstLine="420" w:firstLineChars="200"/>
        <w:rPr>
          <w:rFonts w:hint="eastAsia" w:ascii="汉仪书宋二简" w:hAnsi="汉仪书宋二简" w:eastAsia="汉仪书宋二简" w:cs="汉仪书宋二简"/>
          <w:color w:val="auto"/>
          <w:kern w:val="0"/>
        </w:rPr>
      </w:pPr>
    </w:p>
    <w:tbl>
      <w:tblPr>
        <w:tblStyle w:val="6"/>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247"/>
        <w:gridCol w:w="7258"/>
      </w:tblGrid>
      <w:tr w14:paraId="3B8FAD8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71" w:type="dxa"/>
            <w:vAlign w:val="center"/>
          </w:tcPr>
          <w:p w14:paraId="6221E19A">
            <w:pPr>
              <w:spacing w:before="42" w:beforeLines="10" w:after="63" w:afterLines="15" w:line="280" w:lineRule="exact"/>
              <w:jc w:val="center"/>
              <w:rPr>
                <w:rFonts w:ascii="汉仪中黑简" w:hAnsi="Times New Roman" w:eastAsia="汉仪中黑简"/>
                <w:kern w:val="24"/>
                <w:sz w:val="20"/>
                <w:szCs w:val="20"/>
              </w:rPr>
            </w:pPr>
            <w:r>
              <w:rPr>
                <w:rFonts w:hint="eastAsia" w:ascii="汉仪中黑简" w:hAnsi="Times New Roman" w:eastAsia="汉仪中黑简"/>
                <w:kern w:val="24"/>
                <w:sz w:val="20"/>
                <w:szCs w:val="20"/>
              </w:rPr>
              <w:t>概念</w:t>
            </w:r>
          </w:p>
        </w:tc>
        <w:tc>
          <w:tcPr>
            <w:tcW w:w="7443" w:type="dxa"/>
            <w:vAlign w:val="center"/>
          </w:tcPr>
          <w:p w14:paraId="48D8ADC8">
            <w:pPr>
              <w:spacing w:before="42" w:beforeLines="10" w:after="63" w:afterLines="1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债的多数人一方按照一定的份额享有债权或负担债务</w:t>
            </w:r>
          </w:p>
        </w:tc>
      </w:tr>
      <w:tr w14:paraId="64B0428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71" w:type="dxa"/>
            <w:vMerge w:val="restart"/>
            <w:vAlign w:val="center"/>
          </w:tcPr>
          <w:p w14:paraId="12009552">
            <w:pPr>
              <w:spacing w:before="42" w:beforeLines="10" w:after="63" w:afterLines="15" w:line="280" w:lineRule="exact"/>
              <w:jc w:val="center"/>
              <w:rPr>
                <w:rFonts w:ascii="汉仪中黑简" w:hAnsi="Times New Roman" w:eastAsia="汉仪中黑简"/>
                <w:kern w:val="24"/>
                <w:sz w:val="20"/>
                <w:szCs w:val="20"/>
              </w:rPr>
            </w:pPr>
            <w:r>
              <w:rPr>
                <w:rFonts w:hint="eastAsia" w:ascii="汉仪中黑简" w:hAnsi="Times New Roman" w:eastAsia="汉仪中黑简"/>
                <w:kern w:val="24"/>
                <w:sz w:val="20"/>
                <w:szCs w:val="20"/>
              </w:rPr>
              <w:t>类型</w:t>
            </w:r>
          </w:p>
        </w:tc>
        <w:tc>
          <w:tcPr>
            <w:tcW w:w="7443" w:type="dxa"/>
            <w:vAlign w:val="center"/>
          </w:tcPr>
          <w:p w14:paraId="3B6D21A3">
            <w:pPr>
              <w:spacing w:before="42" w:beforeLines="10" w:after="63" w:afterLines="1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1．按份债权</w:t>
            </w:r>
          </w:p>
        </w:tc>
      </w:tr>
      <w:tr w14:paraId="005D3BD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71" w:type="dxa"/>
            <w:vMerge w:val="continue"/>
            <w:vAlign w:val="center"/>
          </w:tcPr>
          <w:p w14:paraId="58F62158">
            <w:pPr>
              <w:spacing w:before="42" w:beforeLines="10" w:after="63" w:afterLines="15" w:line="280" w:lineRule="exact"/>
              <w:jc w:val="center"/>
              <w:rPr>
                <w:rFonts w:ascii="汉仪中黑简" w:hAnsi="Times New Roman" w:eastAsia="汉仪中黑简"/>
                <w:kern w:val="24"/>
                <w:sz w:val="20"/>
                <w:szCs w:val="20"/>
              </w:rPr>
            </w:pPr>
          </w:p>
        </w:tc>
        <w:tc>
          <w:tcPr>
            <w:tcW w:w="7443" w:type="dxa"/>
            <w:vAlign w:val="center"/>
          </w:tcPr>
          <w:p w14:paraId="756A0C0D">
            <w:pPr>
              <w:spacing w:before="42" w:beforeLines="10" w:after="63" w:afterLines="1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2．按份债务（民1172）</w:t>
            </w:r>
          </w:p>
        </w:tc>
      </w:tr>
      <w:tr w14:paraId="1DFC18E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71" w:type="dxa"/>
            <w:vMerge w:val="restart"/>
            <w:vAlign w:val="center"/>
          </w:tcPr>
          <w:p w14:paraId="13CCACC0">
            <w:pPr>
              <w:spacing w:before="42" w:beforeLines="10" w:after="63" w:afterLines="15" w:line="280" w:lineRule="exact"/>
              <w:jc w:val="center"/>
              <w:rPr>
                <w:rFonts w:ascii="汉仪中黑简" w:hAnsi="Times New Roman" w:eastAsia="汉仪中黑简"/>
                <w:kern w:val="24"/>
                <w:sz w:val="20"/>
                <w:szCs w:val="20"/>
              </w:rPr>
            </w:pPr>
            <w:r>
              <w:rPr>
                <w:rFonts w:hint="eastAsia" w:ascii="汉仪中黑简" w:hAnsi="Times New Roman" w:eastAsia="汉仪中黑简"/>
                <w:kern w:val="24"/>
                <w:sz w:val="20"/>
                <w:szCs w:val="20"/>
              </w:rPr>
              <w:t>份额的确定</w:t>
            </w:r>
          </w:p>
        </w:tc>
        <w:tc>
          <w:tcPr>
            <w:tcW w:w="7443" w:type="dxa"/>
            <w:vAlign w:val="center"/>
          </w:tcPr>
          <w:p w14:paraId="2E0C03D7">
            <w:pPr>
              <w:spacing w:before="42" w:beforeLines="10" w:after="63" w:afterLines="1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约定/法定——份额相同</w:t>
            </w:r>
          </w:p>
        </w:tc>
      </w:tr>
      <w:tr w14:paraId="3C80935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71" w:type="dxa"/>
            <w:vMerge w:val="continue"/>
            <w:vAlign w:val="center"/>
          </w:tcPr>
          <w:p w14:paraId="6B53C14F">
            <w:pPr>
              <w:spacing w:before="42" w:beforeLines="10" w:after="63" w:afterLines="15" w:line="280" w:lineRule="exact"/>
              <w:rPr>
                <w:rFonts w:ascii="Times New Roman" w:hAnsi="Times New Roman" w:eastAsia="汉仪书宋二简" w:cs="Times New Roman"/>
                <w:b/>
                <w:sz w:val="20"/>
                <w:szCs w:val="20"/>
              </w:rPr>
            </w:pPr>
          </w:p>
        </w:tc>
        <w:tc>
          <w:tcPr>
            <w:tcW w:w="7443" w:type="dxa"/>
            <w:vAlign w:val="center"/>
          </w:tcPr>
          <w:p w14:paraId="072BF5C7">
            <w:pPr>
              <w:spacing w:before="42" w:beforeLines="10" w:after="63" w:afterLines="15" w:line="280" w:lineRule="exact"/>
              <w:rPr>
                <w:rFonts w:hint="eastAsia" w:ascii="汉仪书宋一简" w:hAnsi="Times New Roman" w:eastAsia="汉仪书宋一简" w:cs="Times New Roman"/>
                <w:sz w:val="20"/>
                <w:szCs w:val="20"/>
                <w:lang w:eastAsia="zh-CN"/>
              </w:rPr>
            </w:pPr>
            <w:r>
              <w:rPr>
                <w:rFonts w:hint="eastAsia" w:ascii="汉仪书宋一简" w:hAnsi="Times New Roman" w:eastAsia="汉仪粗黑简" w:cs="Times New Roman"/>
                <w:color w:val="FF0000"/>
                <w:sz w:val="20"/>
                <w:szCs w:val="20"/>
              </w:rPr>
              <w:t>【注意】</w:t>
            </w:r>
            <w:r>
              <w:rPr>
                <w:rFonts w:hint="eastAsia" w:ascii="汉仪书宋一简" w:hAnsi="Times New Roman" w:eastAsia="汉仪书宋一简" w:cs="Times New Roman"/>
                <w:sz w:val="20"/>
                <w:szCs w:val="20"/>
              </w:rPr>
              <w:t>因按份之债对外就直接区分了每个债权人或债务人的份额，因此不存在内部追偿的问题</w:t>
            </w:r>
            <w:r>
              <w:rPr>
                <w:rFonts w:hint="eastAsia" w:ascii="汉仪书宋一简" w:hAnsi="Times New Roman" w:eastAsia="汉仪书宋一简" w:cs="Times New Roman"/>
                <w:sz w:val="20"/>
                <w:szCs w:val="20"/>
                <w:lang w:eastAsia="zh-CN"/>
              </w:rPr>
              <w:t>（</w:t>
            </w:r>
            <w:r>
              <w:rPr>
                <w:rFonts w:hint="eastAsia" w:ascii="汉仪书宋一简" w:hAnsi="Times New Roman" w:eastAsia="汉仪书宋一简" w:cs="Times New Roman"/>
                <w:color w:val="0000FF"/>
                <w:sz w:val="20"/>
                <w:szCs w:val="20"/>
                <w:lang w:val="en-US" w:eastAsia="zh-CN"/>
              </w:rPr>
              <w:t>超过部分不可以向债务人主张</w:t>
            </w:r>
            <w:r>
              <w:rPr>
                <w:rFonts w:hint="eastAsia" w:ascii="汉仪书宋一简" w:hAnsi="Times New Roman" w:eastAsia="汉仪书宋一简" w:cs="Times New Roman"/>
                <w:sz w:val="20"/>
                <w:szCs w:val="20"/>
                <w:lang w:eastAsia="zh-CN"/>
              </w:rPr>
              <w:t>）</w:t>
            </w:r>
          </w:p>
        </w:tc>
      </w:tr>
    </w:tbl>
    <w:p w14:paraId="686D6783">
      <w:pPr>
        <w:spacing w:line="384" w:lineRule="exact"/>
        <w:ind w:firstLine="440" w:firstLineChars="200"/>
        <w:rPr>
          <w:rFonts w:hint="eastAsia" w:ascii="汉仪书宋二简" w:hAnsi="汉仪书宋二简" w:eastAsia="汉仪书宋二简" w:cs="汉仪书宋二简"/>
          <w:color w:val="auto"/>
          <w:kern w:val="0"/>
        </w:rPr>
      </w:pPr>
      <w:r>
        <w:rPr>
          <w:rFonts w:hint="eastAsia" w:ascii="汉仪中黑简" w:hAnsi="Times New Roman" w:eastAsia="汉仪中黑简" w:cs="Times New Roman"/>
          <w:bCs/>
          <w:sz w:val="22"/>
          <w:szCs w:val="22"/>
        </w:rPr>
        <w:t>2．连带之债</w:t>
      </w:r>
      <w:bookmarkStart w:id="8" w:name="_GoBack"/>
      <w:bookmarkEnd w:id="8"/>
    </w:p>
    <w:tbl>
      <w:tblPr>
        <w:tblStyle w:val="6"/>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107"/>
        <w:gridCol w:w="1257"/>
        <w:gridCol w:w="6141"/>
      </w:tblGrid>
      <w:tr w14:paraId="47D75B6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9" w:type="dxa"/>
            <w:vAlign w:val="center"/>
          </w:tcPr>
          <w:p w14:paraId="4828EE85">
            <w:pPr>
              <w:spacing w:before="63" w:beforeLines="15" w:after="105" w:afterLines="25" w:line="280" w:lineRule="exact"/>
              <w:jc w:val="center"/>
              <w:rPr>
                <w:rFonts w:ascii="汉仪中黑简" w:hAnsi="Times New Roman" w:eastAsia="汉仪中黑简"/>
                <w:kern w:val="24"/>
                <w:sz w:val="20"/>
                <w:szCs w:val="20"/>
              </w:rPr>
            </w:pPr>
            <w:r>
              <w:rPr>
                <w:rFonts w:hint="eastAsia" w:ascii="汉仪中黑简" w:hAnsi="Times New Roman" w:eastAsia="汉仪中黑简"/>
                <w:kern w:val="24"/>
                <w:sz w:val="20"/>
                <w:szCs w:val="20"/>
              </w:rPr>
              <w:t>连带债权</w:t>
            </w:r>
          </w:p>
        </w:tc>
        <w:tc>
          <w:tcPr>
            <w:tcW w:w="7585" w:type="dxa"/>
            <w:gridSpan w:val="2"/>
            <w:vAlign w:val="center"/>
          </w:tcPr>
          <w:p w14:paraId="65534DAA">
            <w:pPr>
              <w:spacing w:before="63" w:beforeLines="15" w:after="105" w:afterLines="2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债权人为二人以上，部分或全部债权人均可请求债务人全部或部分履行的债权</w:t>
            </w:r>
          </w:p>
        </w:tc>
      </w:tr>
      <w:tr w14:paraId="3EF1F9A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9" w:type="dxa"/>
            <w:vMerge w:val="restart"/>
            <w:vAlign w:val="center"/>
          </w:tcPr>
          <w:p w14:paraId="2BDB81A6">
            <w:pPr>
              <w:spacing w:before="63" w:beforeLines="15" w:after="105" w:afterLines="25" w:line="280" w:lineRule="exact"/>
              <w:jc w:val="center"/>
              <w:rPr>
                <w:rFonts w:ascii="汉仪中黑简" w:hAnsi="Times New Roman" w:eastAsia="汉仪中黑简"/>
                <w:kern w:val="24"/>
                <w:sz w:val="20"/>
                <w:szCs w:val="20"/>
              </w:rPr>
            </w:pPr>
            <w:r>
              <w:rPr>
                <w:rFonts w:hint="eastAsia" w:ascii="汉仪中黑简" w:hAnsi="Times New Roman" w:eastAsia="汉仪中黑简"/>
                <w:kern w:val="24"/>
                <w:sz w:val="20"/>
                <w:szCs w:val="20"/>
              </w:rPr>
              <w:t>连带债务</w:t>
            </w:r>
          </w:p>
        </w:tc>
        <w:tc>
          <w:tcPr>
            <w:tcW w:w="1276" w:type="dxa"/>
            <w:vAlign w:val="center"/>
          </w:tcPr>
          <w:p w14:paraId="1F098C5B">
            <w:pPr>
              <w:spacing w:before="63" w:beforeLines="15" w:after="105" w:afterLines="2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1．概念</w:t>
            </w:r>
          </w:p>
        </w:tc>
        <w:tc>
          <w:tcPr>
            <w:tcW w:w="6309" w:type="dxa"/>
            <w:vAlign w:val="center"/>
          </w:tcPr>
          <w:p w14:paraId="4C5A4ABC">
            <w:pPr>
              <w:spacing w:before="63" w:beforeLines="15" w:after="105" w:afterLines="2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债务人二人以上，债权人可以请求部分或全部债务人履行全部债务</w:t>
            </w:r>
          </w:p>
        </w:tc>
      </w:tr>
      <w:tr w14:paraId="451DC49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9" w:type="dxa"/>
            <w:vMerge w:val="continue"/>
            <w:vAlign w:val="center"/>
          </w:tcPr>
          <w:p w14:paraId="6403FA1F">
            <w:pPr>
              <w:spacing w:before="63" w:beforeLines="15" w:after="105" w:afterLines="25" w:line="280" w:lineRule="exact"/>
              <w:jc w:val="center"/>
              <w:rPr>
                <w:rFonts w:ascii="Times New Roman" w:hAnsi="Times New Roman" w:eastAsia="汉仪书宋二简" w:cs="Times New Roman"/>
                <w:b/>
                <w:sz w:val="20"/>
                <w:szCs w:val="20"/>
              </w:rPr>
            </w:pPr>
          </w:p>
        </w:tc>
        <w:tc>
          <w:tcPr>
            <w:tcW w:w="1276" w:type="dxa"/>
            <w:vMerge w:val="restart"/>
            <w:vAlign w:val="center"/>
          </w:tcPr>
          <w:p w14:paraId="079F71C6">
            <w:pPr>
              <w:spacing w:before="63" w:beforeLines="15" w:after="105" w:afterLines="2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2．类型</w:t>
            </w:r>
          </w:p>
        </w:tc>
        <w:tc>
          <w:tcPr>
            <w:tcW w:w="6309" w:type="dxa"/>
            <w:vAlign w:val="center"/>
          </w:tcPr>
          <w:p w14:paraId="0ADC6BBC">
            <w:pPr>
              <w:spacing w:before="63" w:beforeLines="15" w:after="105" w:afterLines="2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（1）约定的连带债务</w:t>
            </w:r>
          </w:p>
        </w:tc>
      </w:tr>
      <w:tr w14:paraId="5620572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9" w:type="dxa"/>
            <w:vMerge w:val="continue"/>
            <w:vAlign w:val="center"/>
          </w:tcPr>
          <w:p w14:paraId="220CB984">
            <w:pPr>
              <w:spacing w:before="63" w:beforeLines="15" w:after="105" w:afterLines="25" w:line="280" w:lineRule="exact"/>
              <w:jc w:val="center"/>
              <w:rPr>
                <w:rFonts w:ascii="Times New Roman" w:hAnsi="Times New Roman" w:eastAsia="汉仪书宋二简" w:cs="Times New Roman"/>
                <w:b/>
                <w:sz w:val="20"/>
                <w:szCs w:val="20"/>
              </w:rPr>
            </w:pPr>
          </w:p>
        </w:tc>
        <w:tc>
          <w:tcPr>
            <w:tcW w:w="1276" w:type="dxa"/>
            <w:vMerge w:val="continue"/>
            <w:vAlign w:val="center"/>
          </w:tcPr>
          <w:p w14:paraId="5D35C7CE">
            <w:pPr>
              <w:spacing w:before="63" w:beforeLines="15" w:after="105" w:afterLines="25" w:line="280" w:lineRule="exact"/>
              <w:rPr>
                <w:rFonts w:ascii="汉仪书宋一简" w:hAnsi="Times New Roman" w:eastAsia="汉仪书宋一简" w:cs="Times New Roman"/>
                <w:sz w:val="20"/>
                <w:szCs w:val="20"/>
              </w:rPr>
            </w:pPr>
          </w:p>
        </w:tc>
        <w:tc>
          <w:tcPr>
            <w:tcW w:w="6309" w:type="dxa"/>
            <w:vAlign w:val="center"/>
          </w:tcPr>
          <w:p w14:paraId="733F1548">
            <w:pPr>
              <w:spacing w:before="63" w:beforeLines="15" w:after="105" w:afterLines="2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（2）法定的连带债务（见下表）</w:t>
            </w:r>
          </w:p>
        </w:tc>
      </w:tr>
      <w:tr w14:paraId="3B27237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9" w:type="dxa"/>
            <w:vMerge w:val="continue"/>
            <w:vAlign w:val="center"/>
          </w:tcPr>
          <w:p w14:paraId="31BB5D16">
            <w:pPr>
              <w:spacing w:before="63" w:beforeLines="15" w:after="105" w:afterLines="25" w:line="280" w:lineRule="exact"/>
              <w:jc w:val="center"/>
              <w:rPr>
                <w:rFonts w:ascii="Times New Roman" w:hAnsi="Times New Roman" w:eastAsia="汉仪书宋二简" w:cs="Times New Roman"/>
                <w:b/>
                <w:sz w:val="20"/>
                <w:szCs w:val="20"/>
              </w:rPr>
            </w:pPr>
          </w:p>
        </w:tc>
        <w:tc>
          <w:tcPr>
            <w:tcW w:w="1276" w:type="dxa"/>
            <w:vAlign w:val="center"/>
          </w:tcPr>
          <w:p w14:paraId="7BEEF57F">
            <w:pPr>
              <w:spacing w:before="63" w:beforeLines="15" w:after="105" w:afterLines="2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3．外部关系</w:t>
            </w:r>
          </w:p>
        </w:tc>
        <w:tc>
          <w:tcPr>
            <w:tcW w:w="6309" w:type="dxa"/>
            <w:vAlign w:val="center"/>
          </w:tcPr>
          <w:p w14:paraId="194D078B">
            <w:pPr>
              <w:spacing w:before="63" w:beforeLines="15" w:after="105" w:afterLines="2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债权人可以向任何一个或多个债务人请求履行部分或全部债务</w:t>
            </w:r>
          </w:p>
        </w:tc>
      </w:tr>
      <w:tr w14:paraId="09B6102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9" w:type="dxa"/>
            <w:vMerge w:val="continue"/>
            <w:vAlign w:val="center"/>
          </w:tcPr>
          <w:p w14:paraId="67880FAD">
            <w:pPr>
              <w:spacing w:before="63" w:beforeLines="15" w:after="105" w:afterLines="25" w:line="280" w:lineRule="exact"/>
              <w:jc w:val="center"/>
              <w:rPr>
                <w:rFonts w:ascii="Times New Roman" w:hAnsi="Times New Roman" w:eastAsia="汉仪书宋二简" w:cs="Times New Roman"/>
                <w:b/>
                <w:sz w:val="20"/>
                <w:szCs w:val="20"/>
              </w:rPr>
            </w:pPr>
          </w:p>
        </w:tc>
        <w:tc>
          <w:tcPr>
            <w:tcW w:w="1276" w:type="dxa"/>
            <w:vMerge w:val="restart"/>
            <w:vAlign w:val="center"/>
          </w:tcPr>
          <w:p w14:paraId="69CE4752">
            <w:pPr>
              <w:spacing w:before="63" w:beforeLines="15" w:after="105" w:afterLines="2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4．内部追偿</w:t>
            </w:r>
          </w:p>
        </w:tc>
        <w:tc>
          <w:tcPr>
            <w:tcW w:w="6309" w:type="dxa"/>
            <w:vAlign w:val="center"/>
          </w:tcPr>
          <w:p w14:paraId="29930F13">
            <w:pPr>
              <w:spacing w:before="63" w:beforeLines="15" w:after="105" w:afterLines="25" w:line="280" w:lineRule="exact"/>
              <w:rPr>
                <w:rFonts w:ascii="汉仪书宋一简" w:hAnsi="Times New Roman" w:eastAsia="汉仪书宋一简" w:cs="Times New Roman"/>
                <w:sz w:val="20"/>
                <w:szCs w:val="20"/>
              </w:rPr>
            </w:pPr>
            <w:r>
              <w:rPr>
                <w:rFonts w:ascii="汉仪书宋一简" w:hAnsi="Times New Roman" w:eastAsia="汉仪书宋一简" w:cs="Times New Roman"/>
                <w:sz w:val="20"/>
                <w:szCs w:val="20"/>
              </w:rPr>
              <w:t>（1）实际承担债务超出自己份额的连带债务人，</w:t>
            </w:r>
            <w:r>
              <w:rPr>
                <w:rFonts w:ascii="汉仪书宋一简" w:hAnsi="Times New Roman" w:eastAsia="汉仪书宋一简" w:cs="Times New Roman"/>
                <w:color w:val="0000FF"/>
                <w:sz w:val="20"/>
                <w:szCs w:val="20"/>
              </w:rPr>
              <w:t>有权就超出部分在其他连带债务人未履行的份额范围内向其追偿，</w:t>
            </w:r>
            <w:r>
              <w:rPr>
                <w:rFonts w:ascii="汉仪书宋一简" w:hAnsi="Times New Roman" w:eastAsia="汉仪书宋一简" w:cs="Times New Roman"/>
                <w:sz w:val="20"/>
                <w:szCs w:val="20"/>
              </w:rPr>
              <w:t>并相应地享有债权人的权利，但是不得损害债权人的利益。其他连带债务人对债权人的抗辩，可以向该债务人主张</w:t>
            </w:r>
          </w:p>
        </w:tc>
      </w:tr>
      <w:tr w14:paraId="4906468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9" w:type="dxa"/>
            <w:vMerge w:val="continue"/>
            <w:vAlign w:val="center"/>
          </w:tcPr>
          <w:p w14:paraId="2896E0F1">
            <w:pPr>
              <w:spacing w:before="63" w:beforeLines="15" w:after="105" w:afterLines="25" w:line="280" w:lineRule="exact"/>
              <w:jc w:val="center"/>
              <w:rPr>
                <w:rFonts w:ascii="Times New Roman" w:hAnsi="Times New Roman" w:eastAsia="汉仪书宋二简" w:cs="Times New Roman"/>
                <w:b/>
                <w:sz w:val="20"/>
                <w:szCs w:val="20"/>
              </w:rPr>
            </w:pPr>
          </w:p>
        </w:tc>
        <w:tc>
          <w:tcPr>
            <w:tcW w:w="1276" w:type="dxa"/>
            <w:vMerge w:val="continue"/>
            <w:vAlign w:val="center"/>
          </w:tcPr>
          <w:p w14:paraId="3F40548B">
            <w:pPr>
              <w:spacing w:before="63" w:beforeLines="15" w:after="105" w:afterLines="25" w:line="280" w:lineRule="exact"/>
              <w:rPr>
                <w:rFonts w:ascii="汉仪书宋一简" w:hAnsi="Times New Roman" w:eastAsia="汉仪书宋一简" w:cs="Times New Roman"/>
                <w:sz w:val="20"/>
                <w:szCs w:val="20"/>
              </w:rPr>
            </w:pPr>
          </w:p>
        </w:tc>
        <w:tc>
          <w:tcPr>
            <w:tcW w:w="6309" w:type="dxa"/>
            <w:vAlign w:val="center"/>
          </w:tcPr>
          <w:p w14:paraId="21F82DEB">
            <w:pPr>
              <w:spacing w:before="63" w:beforeLines="15" w:after="105" w:afterLines="25" w:line="280" w:lineRule="exact"/>
              <w:rPr>
                <w:rFonts w:ascii="汉仪书宋一简" w:hAnsi="Times New Roman" w:eastAsia="汉仪书宋一简" w:cs="Times New Roman"/>
                <w:sz w:val="20"/>
                <w:szCs w:val="20"/>
              </w:rPr>
            </w:pPr>
            <w:r>
              <w:rPr>
                <w:rFonts w:ascii="汉仪书宋一简" w:hAnsi="Times New Roman" w:eastAsia="汉仪书宋一简" w:cs="Times New Roman"/>
                <w:sz w:val="20"/>
                <w:szCs w:val="20"/>
              </w:rPr>
              <w:t>（2）被追偿的连带债务人不能履行其应分担份额的，其他连带债务人应当在相应范围内按比例分担</w:t>
            </w:r>
          </w:p>
        </w:tc>
      </w:tr>
      <w:tr w14:paraId="71FC4B2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9" w:type="dxa"/>
            <w:vMerge w:val="continue"/>
            <w:vAlign w:val="center"/>
          </w:tcPr>
          <w:p w14:paraId="10CD28DA">
            <w:pPr>
              <w:spacing w:before="63" w:beforeLines="15" w:after="105" w:afterLines="25" w:line="280" w:lineRule="exact"/>
              <w:jc w:val="center"/>
              <w:rPr>
                <w:rFonts w:ascii="Times New Roman" w:hAnsi="Times New Roman" w:eastAsia="汉仪书宋二简" w:cs="Times New Roman"/>
                <w:b/>
                <w:sz w:val="20"/>
                <w:szCs w:val="20"/>
              </w:rPr>
            </w:pPr>
          </w:p>
        </w:tc>
        <w:tc>
          <w:tcPr>
            <w:tcW w:w="1276" w:type="dxa"/>
            <w:vMerge w:val="restart"/>
            <w:vAlign w:val="center"/>
          </w:tcPr>
          <w:p w14:paraId="29A4EB51">
            <w:pPr>
              <w:spacing w:before="63" w:beforeLines="15" w:after="105" w:afterLines="2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5．绝对效力事项</w:t>
            </w:r>
            <w:r>
              <w:rPr>
                <w:rFonts w:hint="eastAsia" w:ascii="Times New Roman" w:hAnsi="Times New Roman" w:cs="Times New Roman"/>
                <w:b/>
                <w:bCs/>
                <w:color w:val="000000"/>
                <w:szCs w:val="21"/>
                <w:lang w:eastAsia="zh-CN"/>
              </w:rPr>
              <w:t>（</w:t>
            </w:r>
            <w:r>
              <w:rPr>
                <w:rFonts w:hint="eastAsia" w:ascii="Times New Roman" w:hAnsi="Times New Roman" w:cs="Times New Roman"/>
                <w:b/>
                <w:bCs/>
                <w:color w:val="0000FF"/>
                <w:szCs w:val="21"/>
                <w:lang w:val="en-US" w:eastAsia="zh-CN"/>
              </w:rPr>
              <w:t>一人效力及于其他人</w:t>
            </w:r>
            <w:r>
              <w:rPr>
                <w:rFonts w:hint="eastAsia" w:ascii="Times New Roman" w:hAnsi="Times New Roman" w:cs="Times New Roman"/>
                <w:b/>
                <w:bCs/>
                <w:color w:val="000000"/>
                <w:szCs w:val="21"/>
                <w:lang w:eastAsia="zh-CN"/>
              </w:rPr>
              <w:t>）</w:t>
            </w:r>
          </w:p>
        </w:tc>
        <w:tc>
          <w:tcPr>
            <w:tcW w:w="6309" w:type="dxa"/>
            <w:vAlign w:val="center"/>
          </w:tcPr>
          <w:p w14:paraId="36E45E24">
            <w:pPr>
              <w:spacing w:before="63" w:beforeLines="15" w:after="105" w:afterLines="25" w:line="280" w:lineRule="exact"/>
              <w:rPr>
                <w:rFonts w:ascii="汉仪书宋一简" w:hAnsi="Times New Roman" w:eastAsia="汉仪书宋一简" w:cs="Times New Roman"/>
                <w:sz w:val="20"/>
                <w:szCs w:val="20"/>
              </w:rPr>
            </w:pPr>
            <w:r>
              <w:rPr>
                <w:rFonts w:ascii="汉仪书宋一简" w:hAnsi="Times New Roman" w:eastAsia="汉仪书宋一简" w:cs="Times New Roman"/>
                <w:sz w:val="20"/>
                <w:szCs w:val="20"/>
              </w:rPr>
              <w:t>（1）清偿、抵销、提存</w:t>
            </w:r>
          </w:p>
        </w:tc>
      </w:tr>
      <w:tr w14:paraId="4B4B8C4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9" w:type="dxa"/>
            <w:vMerge w:val="continue"/>
            <w:vAlign w:val="center"/>
          </w:tcPr>
          <w:p w14:paraId="76DB8987">
            <w:pPr>
              <w:spacing w:before="63" w:beforeLines="15" w:after="105" w:afterLines="25" w:line="280" w:lineRule="exact"/>
              <w:jc w:val="center"/>
              <w:rPr>
                <w:rFonts w:ascii="Times New Roman" w:hAnsi="Times New Roman" w:eastAsia="汉仪书宋二简" w:cs="Times New Roman"/>
                <w:b/>
                <w:sz w:val="20"/>
                <w:szCs w:val="20"/>
              </w:rPr>
            </w:pPr>
          </w:p>
        </w:tc>
        <w:tc>
          <w:tcPr>
            <w:tcW w:w="1276" w:type="dxa"/>
            <w:vMerge w:val="continue"/>
            <w:vAlign w:val="center"/>
          </w:tcPr>
          <w:p w14:paraId="5F37FE25">
            <w:pPr>
              <w:spacing w:before="63" w:beforeLines="15" w:after="105" w:afterLines="25" w:line="280" w:lineRule="exact"/>
              <w:rPr>
                <w:rFonts w:ascii="汉仪书宋一简" w:hAnsi="Times New Roman" w:eastAsia="汉仪书宋一简" w:cs="Times New Roman"/>
                <w:sz w:val="20"/>
                <w:szCs w:val="20"/>
              </w:rPr>
            </w:pPr>
          </w:p>
        </w:tc>
        <w:tc>
          <w:tcPr>
            <w:tcW w:w="6309" w:type="dxa"/>
            <w:vAlign w:val="center"/>
          </w:tcPr>
          <w:p w14:paraId="021DC642">
            <w:pPr>
              <w:spacing w:before="63" w:beforeLines="15" w:after="105" w:afterLines="25" w:line="280" w:lineRule="exact"/>
              <w:rPr>
                <w:rFonts w:ascii="汉仪书宋一简" w:hAnsi="Times New Roman" w:eastAsia="汉仪书宋一简" w:cs="Times New Roman"/>
                <w:sz w:val="20"/>
                <w:szCs w:val="20"/>
              </w:rPr>
            </w:pPr>
            <w:r>
              <w:rPr>
                <w:rFonts w:ascii="汉仪书宋一简" w:hAnsi="Times New Roman" w:eastAsia="汉仪书宋一简" w:cs="Times New Roman"/>
                <w:sz w:val="20"/>
                <w:szCs w:val="20"/>
              </w:rPr>
              <w:t>（2）债务免除</w:t>
            </w:r>
          </w:p>
        </w:tc>
      </w:tr>
      <w:tr w14:paraId="5DCB796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9" w:type="dxa"/>
            <w:vMerge w:val="continue"/>
            <w:vAlign w:val="center"/>
          </w:tcPr>
          <w:p w14:paraId="2C51190C">
            <w:pPr>
              <w:spacing w:before="63" w:beforeLines="15" w:after="105" w:afterLines="25" w:line="280" w:lineRule="exact"/>
              <w:jc w:val="center"/>
              <w:rPr>
                <w:rFonts w:ascii="Times New Roman" w:hAnsi="Times New Roman" w:eastAsia="汉仪书宋二简" w:cs="Times New Roman"/>
                <w:b/>
                <w:sz w:val="20"/>
                <w:szCs w:val="20"/>
              </w:rPr>
            </w:pPr>
          </w:p>
        </w:tc>
        <w:tc>
          <w:tcPr>
            <w:tcW w:w="1276" w:type="dxa"/>
            <w:vMerge w:val="continue"/>
            <w:vAlign w:val="center"/>
          </w:tcPr>
          <w:p w14:paraId="3E3AB401">
            <w:pPr>
              <w:spacing w:before="63" w:beforeLines="15" w:after="105" w:afterLines="25" w:line="280" w:lineRule="exact"/>
              <w:rPr>
                <w:rFonts w:ascii="汉仪书宋一简" w:hAnsi="Times New Roman" w:eastAsia="汉仪书宋一简" w:cs="Times New Roman"/>
                <w:sz w:val="20"/>
                <w:szCs w:val="20"/>
              </w:rPr>
            </w:pPr>
          </w:p>
        </w:tc>
        <w:tc>
          <w:tcPr>
            <w:tcW w:w="6309" w:type="dxa"/>
            <w:vAlign w:val="center"/>
          </w:tcPr>
          <w:p w14:paraId="6D18719D">
            <w:pPr>
              <w:spacing w:before="63" w:beforeLines="15" w:after="105" w:afterLines="25" w:line="280" w:lineRule="exact"/>
              <w:rPr>
                <w:rFonts w:ascii="汉仪书宋一简" w:hAnsi="Times New Roman" w:eastAsia="汉仪书宋一简" w:cs="Times New Roman"/>
                <w:sz w:val="20"/>
                <w:szCs w:val="20"/>
              </w:rPr>
            </w:pPr>
            <w:r>
              <w:rPr>
                <w:rFonts w:ascii="汉仪书宋一简" w:hAnsi="Times New Roman" w:eastAsia="汉仪书宋一简" w:cs="Times New Roman"/>
                <w:sz w:val="20"/>
                <w:szCs w:val="20"/>
              </w:rPr>
              <w:t>（3）混同</w:t>
            </w:r>
          </w:p>
        </w:tc>
      </w:tr>
      <w:tr w14:paraId="38AC019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9" w:type="dxa"/>
            <w:vMerge w:val="continue"/>
            <w:vAlign w:val="center"/>
          </w:tcPr>
          <w:p w14:paraId="61FDA834">
            <w:pPr>
              <w:spacing w:before="63" w:beforeLines="15" w:after="105" w:afterLines="25" w:line="280" w:lineRule="exact"/>
              <w:jc w:val="center"/>
              <w:rPr>
                <w:rFonts w:ascii="Times New Roman" w:hAnsi="Times New Roman" w:eastAsia="汉仪书宋二简" w:cs="Times New Roman"/>
                <w:b/>
                <w:sz w:val="20"/>
                <w:szCs w:val="20"/>
              </w:rPr>
            </w:pPr>
          </w:p>
        </w:tc>
        <w:tc>
          <w:tcPr>
            <w:tcW w:w="1276" w:type="dxa"/>
            <w:vMerge w:val="continue"/>
            <w:vAlign w:val="center"/>
          </w:tcPr>
          <w:p w14:paraId="5B2AC4C8">
            <w:pPr>
              <w:spacing w:before="63" w:beforeLines="15" w:after="105" w:afterLines="25" w:line="280" w:lineRule="exact"/>
              <w:rPr>
                <w:rFonts w:ascii="汉仪书宋一简" w:hAnsi="Times New Roman" w:eastAsia="汉仪书宋一简" w:cs="Times New Roman"/>
                <w:sz w:val="20"/>
                <w:szCs w:val="20"/>
              </w:rPr>
            </w:pPr>
          </w:p>
        </w:tc>
        <w:tc>
          <w:tcPr>
            <w:tcW w:w="6309" w:type="dxa"/>
            <w:vAlign w:val="center"/>
          </w:tcPr>
          <w:p w14:paraId="12CC0A18">
            <w:pPr>
              <w:spacing w:before="63" w:beforeLines="15" w:after="105" w:afterLines="25" w:line="280" w:lineRule="exact"/>
              <w:rPr>
                <w:rFonts w:ascii="汉仪书宋一简" w:hAnsi="Times New Roman" w:eastAsia="汉仪书宋一简" w:cs="Times New Roman"/>
                <w:sz w:val="20"/>
                <w:szCs w:val="20"/>
              </w:rPr>
            </w:pPr>
            <w:r>
              <w:rPr>
                <w:rFonts w:ascii="汉仪书宋一简" w:hAnsi="Times New Roman" w:eastAsia="汉仪书宋一简" w:cs="Times New Roman"/>
                <w:sz w:val="20"/>
                <w:szCs w:val="20"/>
              </w:rPr>
              <w:t>（4）债权人受领迟延</w:t>
            </w:r>
          </w:p>
        </w:tc>
      </w:tr>
      <w:tr w14:paraId="5581C81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9" w:type="dxa"/>
            <w:vMerge w:val="continue"/>
            <w:vAlign w:val="center"/>
          </w:tcPr>
          <w:p w14:paraId="39C64457">
            <w:pPr>
              <w:spacing w:before="63" w:beforeLines="15" w:after="105" w:afterLines="25" w:line="280" w:lineRule="exact"/>
              <w:jc w:val="center"/>
              <w:rPr>
                <w:rFonts w:ascii="Times New Roman" w:hAnsi="Times New Roman" w:eastAsia="汉仪书宋二简" w:cs="Times New Roman"/>
                <w:b/>
                <w:sz w:val="20"/>
                <w:szCs w:val="20"/>
              </w:rPr>
            </w:pPr>
          </w:p>
        </w:tc>
        <w:tc>
          <w:tcPr>
            <w:tcW w:w="1276" w:type="dxa"/>
            <w:vMerge w:val="continue"/>
            <w:vAlign w:val="center"/>
          </w:tcPr>
          <w:p w14:paraId="06389DD1">
            <w:pPr>
              <w:spacing w:before="63" w:beforeLines="15" w:after="105" w:afterLines="25" w:line="280" w:lineRule="exact"/>
              <w:rPr>
                <w:rFonts w:ascii="汉仪书宋一简" w:hAnsi="Times New Roman" w:eastAsia="汉仪书宋一简" w:cs="Times New Roman"/>
                <w:sz w:val="20"/>
                <w:szCs w:val="20"/>
              </w:rPr>
            </w:pPr>
          </w:p>
        </w:tc>
        <w:tc>
          <w:tcPr>
            <w:tcW w:w="6309" w:type="dxa"/>
            <w:vAlign w:val="center"/>
          </w:tcPr>
          <w:p w14:paraId="450B1718">
            <w:pPr>
              <w:spacing w:before="63" w:beforeLines="15" w:after="105" w:afterLines="25" w:line="280" w:lineRule="exact"/>
              <w:rPr>
                <w:rFonts w:ascii="汉仪书宋一简" w:hAnsi="Times New Roman" w:eastAsia="汉仪书宋一简" w:cs="Times New Roman"/>
                <w:sz w:val="20"/>
                <w:szCs w:val="20"/>
              </w:rPr>
            </w:pPr>
            <w:r>
              <w:rPr>
                <w:rFonts w:ascii="汉仪书宋一简" w:hAnsi="Times New Roman" w:eastAsia="汉仪书宋一简" w:cs="Times New Roman"/>
                <w:sz w:val="20"/>
                <w:szCs w:val="20"/>
              </w:rPr>
              <w:t>（5）诉讼时效中断</w:t>
            </w:r>
          </w:p>
        </w:tc>
      </w:tr>
      <w:tr w14:paraId="26843F8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12" w:hRule="atLeast"/>
          <w:jc w:val="center"/>
        </w:trPr>
        <w:tc>
          <w:tcPr>
            <w:tcW w:w="1129" w:type="dxa"/>
            <w:vMerge w:val="restart"/>
            <w:vAlign w:val="center"/>
          </w:tcPr>
          <w:p w14:paraId="6EE5E20F">
            <w:pPr>
              <w:spacing w:before="63" w:beforeLines="15" w:after="105" w:afterLines="25" w:line="280" w:lineRule="exact"/>
              <w:jc w:val="center"/>
              <w:rPr>
                <w:rFonts w:ascii="Times New Roman" w:hAnsi="Times New Roman" w:eastAsia="汉仪书宋二简" w:cs="Times New Roman"/>
                <w:b/>
                <w:sz w:val="20"/>
                <w:szCs w:val="20"/>
              </w:rPr>
            </w:pPr>
            <w:r>
              <w:rPr>
                <w:rFonts w:hint="eastAsia" w:ascii="汉仪中黑简" w:hAnsi="Times New Roman" w:eastAsia="汉仪中黑简"/>
                <w:kern w:val="24"/>
                <w:sz w:val="20"/>
                <w:szCs w:val="20"/>
              </w:rPr>
              <w:t>不真正连带债务</w:t>
            </w:r>
          </w:p>
        </w:tc>
        <w:tc>
          <w:tcPr>
            <w:tcW w:w="1276" w:type="dxa"/>
            <w:vAlign w:val="center"/>
          </w:tcPr>
          <w:p w14:paraId="041E5323">
            <w:pPr>
              <w:spacing w:before="63" w:beforeLines="15" w:after="105" w:afterLines="2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1．概念</w:t>
            </w:r>
          </w:p>
        </w:tc>
        <w:tc>
          <w:tcPr>
            <w:tcW w:w="6309" w:type="dxa"/>
            <w:vAlign w:val="center"/>
          </w:tcPr>
          <w:p w14:paraId="1A681898">
            <w:pPr>
              <w:spacing w:before="63" w:beforeLines="15" w:after="105" w:afterLines="2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数个债务人基于不同的发生原因而产生同一内容的给付，各个债务人分别对债权人负全部履行的义务，并因其中一个债务人的履行而使全体债务人的债务都归于消灭</w:t>
            </w:r>
          </w:p>
        </w:tc>
      </w:tr>
      <w:tr w14:paraId="0F572C1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9" w:type="dxa"/>
            <w:vMerge w:val="continue"/>
            <w:vAlign w:val="center"/>
          </w:tcPr>
          <w:p w14:paraId="3A853239">
            <w:pPr>
              <w:spacing w:before="63" w:beforeLines="15" w:after="105" w:afterLines="25" w:line="280" w:lineRule="exact"/>
              <w:jc w:val="center"/>
              <w:rPr>
                <w:rFonts w:ascii="Times New Roman" w:hAnsi="Times New Roman" w:eastAsia="汉仪书宋二简" w:cs="Times New Roman"/>
                <w:b/>
                <w:sz w:val="20"/>
                <w:szCs w:val="20"/>
              </w:rPr>
            </w:pPr>
          </w:p>
        </w:tc>
        <w:tc>
          <w:tcPr>
            <w:tcW w:w="1276" w:type="dxa"/>
            <w:vMerge w:val="restart"/>
            <w:vAlign w:val="center"/>
          </w:tcPr>
          <w:p w14:paraId="22E47FF0">
            <w:pPr>
              <w:spacing w:before="63" w:beforeLines="15" w:after="105" w:afterLines="2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2．法律特征</w:t>
            </w:r>
          </w:p>
        </w:tc>
        <w:tc>
          <w:tcPr>
            <w:tcW w:w="6309" w:type="dxa"/>
            <w:vAlign w:val="center"/>
          </w:tcPr>
          <w:p w14:paraId="330CDBC0">
            <w:pPr>
              <w:spacing w:before="63" w:beforeLines="15" w:after="105" w:afterLines="2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（1）各债务人的债务发生原因不同</w:t>
            </w:r>
          </w:p>
        </w:tc>
      </w:tr>
      <w:tr w14:paraId="25E455C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9" w:type="dxa"/>
            <w:vMerge w:val="continue"/>
            <w:vAlign w:val="center"/>
          </w:tcPr>
          <w:p w14:paraId="1E444CCC">
            <w:pPr>
              <w:spacing w:before="63" w:beforeLines="15" w:after="105" w:afterLines="25" w:line="280" w:lineRule="exact"/>
              <w:jc w:val="center"/>
              <w:rPr>
                <w:rFonts w:ascii="Times New Roman" w:hAnsi="Times New Roman" w:eastAsia="汉仪书宋二简" w:cs="Times New Roman"/>
                <w:b/>
                <w:sz w:val="20"/>
                <w:szCs w:val="20"/>
              </w:rPr>
            </w:pPr>
          </w:p>
        </w:tc>
        <w:tc>
          <w:tcPr>
            <w:tcW w:w="1276" w:type="dxa"/>
            <w:vMerge w:val="continue"/>
            <w:vAlign w:val="center"/>
          </w:tcPr>
          <w:p w14:paraId="3D42F60B">
            <w:pPr>
              <w:spacing w:before="63" w:beforeLines="15" w:after="105" w:afterLines="25" w:line="280" w:lineRule="exact"/>
              <w:rPr>
                <w:rFonts w:ascii="汉仪书宋一简" w:hAnsi="Times New Roman" w:eastAsia="汉仪书宋一简" w:cs="Times New Roman"/>
                <w:sz w:val="20"/>
                <w:szCs w:val="20"/>
              </w:rPr>
            </w:pPr>
          </w:p>
        </w:tc>
        <w:tc>
          <w:tcPr>
            <w:tcW w:w="6309" w:type="dxa"/>
            <w:vAlign w:val="center"/>
          </w:tcPr>
          <w:p w14:paraId="4CE5C5DC">
            <w:pPr>
              <w:spacing w:before="63" w:beforeLines="15" w:after="105" w:afterLines="25" w:line="280" w:lineRule="exact"/>
              <w:rPr>
                <w:rFonts w:hint="default" w:ascii="汉仪书宋一简" w:hAnsi="Times New Roman" w:eastAsia="汉仪书宋一简" w:cs="Times New Roman"/>
                <w:sz w:val="20"/>
                <w:szCs w:val="20"/>
                <w:lang w:val="en-US" w:eastAsia="zh-CN"/>
              </w:rPr>
            </w:pPr>
            <w:r>
              <w:rPr>
                <w:rFonts w:hint="eastAsia" w:ascii="汉仪书宋一简" w:hAnsi="Times New Roman" w:eastAsia="汉仪书宋一简" w:cs="Times New Roman"/>
                <w:sz w:val="20"/>
                <w:szCs w:val="20"/>
              </w:rPr>
              <w:t>（2）各债务人内部有终局责任人（单向追偿）</w:t>
            </w:r>
            <w:r>
              <w:rPr>
                <w:rFonts w:hint="eastAsia" w:ascii="汉仪书宋一简" w:hAnsi="Times New Roman" w:eastAsia="汉仪书宋一简" w:cs="Times New Roman"/>
                <w:color w:val="0000FF"/>
                <w:sz w:val="20"/>
                <w:szCs w:val="20"/>
                <w:lang w:val="en-US" w:eastAsia="zh-CN"/>
              </w:rPr>
              <w:t>最终责任人只有一个</w:t>
            </w:r>
          </w:p>
        </w:tc>
      </w:tr>
      <w:tr w14:paraId="7AB3DA0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9" w:type="dxa"/>
            <w:vMerge w:val="continue"/>
            <w:vAlign w:val="center"/>
          </w:tcPr>
          <w:p w14:paraId="43BC5AE3">
            <w:pPr>
              <w:spacing w:before="63" w:beforeLines="15" w:after="105" w:afterLines="25" w:line="280" w:lineRule="exact"/>
              <w:jc w:val="center"/>
              <w:rPr>
                <w:rFonts w:ascii="Times New Roman" w:hAnsi="Times New Roman" w:eastAsia="汉仪书宋二简" w:cs="Times New Roman"/>
                <w:b/>
                <w:sz w:val="20"/>
                <w:szCs w:val="20"/>
              </w:rPr>
            </w:pPr>
          </w:p>
        </w:tc>
        <w:tc>
          <w:tcPr>
            <w:tcW w:w="1276" w:type="dxa"/>
            <w:vMerge w:val="restart"/>
            <w:vAlign w:val="center"/>
          </w:tcPr>
          <w:p w14:paraId="2BF77FE5">
            <w:pPr>
              <w:spacing w:before="63" w:beforeLines="15" w:after="105" w:afterLines="2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3．类型</w:t>
            </w:r>
          </w:p>
        </w:tc>
        <w:tc>
          <w:tcPr>
            <w:tcW w:w="6309" w:type="dxa"/>
            <w:vAlign w:val="center"/>
          </w:tcPr>
          <w:p w14:paraId="50F24E54">
            <w:pPr>
              <w:spacing w:before="63" w:beforeLines="15" w:after="105" w:afterLines="2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（1）产品缺陷导致损害时——生产者与销售者（民1203）</w:t>
            </w:r>
          </w:p>
        </w:tc>
      </w:tr>
      <w:tr w14:paraId="604B87E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9" w:type="dxa"/>
            <w:vMerge w:val="continue"/>
            <w:vAlign w:val="center"/>
          </w:tcPr>
          <w:p w14:paraId="60C160B7">
            <w:pPr>
              <w:spacing w:before="63" w:beforeLines="15" w:after="105" w:afterLines="25" w:line="280" w:lineRule="exact"/>
              <w:jc w:val="center"/>
              <w:rPr>
                <w:rFonts w:ascii="Times New Roman" w:hAnsi="Times New Roman" w:eastAsia="汉仪书宋二简" w:cs="Times New Roman"/>
                <w:b/>
                <w:sz w:val="20"/>
                <w:szCs w:val="20"/>
              </w:rPr>
            </w:pPr>
          </w:p>
        </w:tc>
        <w:tc>
          <w:tcPr>
            <w:tcW w:w="1276" w:type="dxa"/>
            <w:vMerge w:val="continue"/>
            <w:vAlign w:val="center"/>
          </w:tcPr>
          <w:p w14:paraId="75A842A4">
            <w:pPr>
              <w:spacing w:before="63" w:beforeLines="15" w:after="105" w:afterLines="25" w:line="280" w:lineRule="exact"/>
              <w:rPr>
                <w:rFonts w:ascii="汉仪书宋一简" w:hAnsi="Times New Roman" w:eastAsia="汉仪书宋一简" w:cs="Times New Roman"/>
                <w:sz w:val="20"/>
                <w:szCs w:val="20"/>
              </w:rPr>
            </w:pPr>
          </w:p>
        </w:tc>
        <w:tc>
          <w:tcPr>
            <w:tcW w:w="6309" w:type="dxa"/>
            <w:vAlign w:val="center"/>
          </w:tcPr>
          <w:p w14:paraId="53117893">
            <w:pPr>
              <w:spacing w:before="63" w:beforeLines="15" w:after="105" w:afterLines="2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（2）产品缺陷导致损害时——生产者与销售者（民1204）</w:t>
            </w:r>
          </w:p>
        </w:tc>
      </w:tr>
      <w:tr w14:paraId="459F20A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9" w:type="dxa"/>
            <w:vMerge w:val="continue"/>
            <w:vAlign w:val="center"/>
          </w:tcPr>
          <w:p w14:paraId="4CAA77D9">
            <w:pPr>
              <w:spacing w:before="63" w:beforeLines="15" w:after="105" w:afterLines="25" w:line="280" w:lineRule="exact"/>
              <w:jc w:val="center"/>
              <w:rPr>
                <w:rFonts w:ascii="Times New Roman" w:hAnsi="Times New Roman" w:eastAsia="汉仪书宋二简" w:cs="Times New Roman"/>
                <w:b/>
                <w:sz w:val="20"/>
                <w:szCs w:val="20"/>
              </w:rPr>
            </w:pPr>
          </w:p>
        </w:tc>
        <w:tc>
          <w:tcPr>
            <w:tcW w:w="1276" w:type="dxa"/>
            <w:vMerge w:val="continue"/>
            <w:vAlign w:val="center"/>
          </w:tcPr>
          <w:p w14:paraId="42C49720">
            <w:pPr>
              <w:spacing w:before="63" w:beforeLines="15" w:after="105" w:afterLines="25" w:line="280" w:lineRule="exact"/>
              <w:rPr>
                <w:rFonts w:ascii="汉仪书宋一简" w:hAnsi="Times New Roman" w:eastAsia="汉仪书宋一简" w:cs="Times New Roman"/>
                <w:sz w:val="20"/>
                <w:szCs w:val="20"/>
              </w:rPr>
            </w:pPr>
          </w:p>
        </w:tc>
        <w:tc>
          <w:tcPr>
            <w:tcW w:w="6309" w:type="dxa"/>
            <w:vAlign w:val="center"/>
          </w:tcPr>
          <w:p w14:paraId="0AE6718F">
            <w:pPr>
              <w:spacing w:before="63" w:beforeLines="15" w:after="105" w:afterLines="2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（3）药品、医疗器械等缺陷时——药品上市许可持有人、生产者、血液提供机构与医疗机构（民1223）</w:t>
            </w:r>
          </w:p>
        </w:tc>
      </w:tr>
      <w:tr w14:paraId="7B7C44C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9" w:type="dxa"/>
            <w:vMerge w:val="continue"/>
            <w:vAlign w:val="center"/>
          </w:tcPr>
          <w:p w14:paraId="04B3F512">
            <w:pPr>
              <w:spacing w:before="63" w:beforeLines="15" w:after="105" w:afterLines="25" w:line="280" w:lineRule="exact"/>
              <w:jc w:val="center"/>
              <w:rPr>
                <w:rFonts w:ascii="Times New Roman" w:hAnsi="Times New Roman" w:eastAsia="汉仪书宋二简" w:cs="Times New Roman"/>
                <w:b/>
                <w:sz w:val="20"/>
                <w:szCs w:val="20"/>
              </w:rPr>
            </w:pPr>
          </w:p>
        </w:tc>
        <w:tc>
          <w:tcPr>
            <w:tcW w:w="1276" w:type="dxa"/>
            <w:vMerge w:val="continue"/>
            <w:vAlign w:val="center"/>
          </w:tcPr>
          <w:p w14:paraId="06CD5D94">
            <w:pPr>
              <w:spacing w:before="63" w:beforeLines="15" w:after="105" w:afterLines="25" w:line="280" w:lineRule="exact"/>
              <w:rPr>
                <w:rFonts w:ascii="汉仪书宋一简" w:hAnsi="Times New Roman" w:eastAsia="汉仪书宋一简" w:cs="Times New Roman"/>
                <w:sz w:val="20"/>
                <w:szCs w:val="20"/>
              </w:rPr>
            </w:pPr>
          </w:p>
        </w:tc>
        <w:tc>
          <w:tcPr>
            <w:tcW w:w="6309" w:type="dxa"/>
            <w:vAlign w:val="center"/>
          </w:tcPr>
          <w:p w14:paraId="0F8BA66C">
            <w:pPr>
              <w:spacing w:before="63" w:beforeLines="15" w:after="105" w:afterLines="2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（4）第三人过错导致饲养动物侵权时——第三人与动物饲养人或管理人（民1250）</w:t>
            </w:r>
          </w:p>
        </w:tc>
      </w:tr>
      <w:tr w14:paraId="36FF97F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9" w:type="dxa"/>
            <w:vMerge w:val="continue"/>
            <w:vAlign w:val="center"/>
          </w:tcPr>
          <w:p w14:paraId="6967E521">
            <w:pPr>
              <w:spacing w:before="63" w:beforeLines="15" w:after="105" w:afterLines="25" w:line="280" w:lineRule="exact"/>
              <w:jc w:val="center"/>
              <w:rPr>
                <w:rFonts w:ascii="Times New Roman" w:hAnsi="Times New Roman" w:eastAsia="汉仪书宋二简" w:cs="Times New Roman"/>
                <w:b/>
                <w:sz w:val="20"/>
                <w:szCs w:val="20"/>
              </w:rPr>
            </w:pPr>
          </w:p>
        </w:tc>
        <w:tc>
          <w:tcPr>
            <w:tcW w:w="1276" w:type="dxa"/>
            <w:vMerge w:val="continue"/>
            <w:vAlign w:val="center"/>
          </w:tcPr>
          <w:p w14:paraId="51CE049E">
            <w:pPr>
              <w:spacing w:before="63" w:beforeLines="15" w:after="105" w:afterLines="25" w:line="280" w:lineRule="exact"/>
              <w:rPr>
                <w:rFonts w:ascii="汉仪书宋一简" w:hAnsi="Times New Roman" w:eastAsia="汉仪书宋一简" w:cs="Times New Roman"/>
                <w:sz w:val="20"/>
                <w:szCs w:val="20"/>
              </w:rPr>
            </w:pPr>
          </w:p>
        </w:tc>
        <w:tc>
          <w:tcPr>
            <w:tcW w:w="6309" w:type="dxa"/>
            <w:vAlign w:val="center"/>
          </w:tcPr>
          <w:p w14:paraId="6794153C">
            <w:pPr>
              <w:spacing w:before="63" w:beforeLines="15" w:after="105" w:afterLines="2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（5）其他人导致建筑物倒塌时——建设单位、施工单位与真实责任人（民1252）</w:t>
            </w:r>
          </w:p>
        </w:tc>
      </w:tr>
      <w:tr w14:paraId="50EF090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9" w:type="dxa"/>
            <w:vMerge w:val="continue"/>
            <w:vAlign w:val="center"/>
          </w:tcPr>
          <w:p w14:paraId="067560D5">
            <w:pPr>
              <w:spacing w:before="63" w:beforeLines="15" w:after="105" w:afterLines="25" w:line="280" w:lineRule="exact"/>
              <w:jc w:val="center"/>
              <w:rPr>
                <w:rFonts w:ascii="Times New Roman" w:hAnsi="Times New Roman" w:eastAsia="汉仪书宋二简" w:cs="Times New Roman"/>
                <w:b/>
                <w:sz w:val="20"/>
                <w:szCs w:val="20"/>
              </w:rPr>
            </w:pPr>
          </w:p>
        </w:tc>
        <w:tc>
          <w:tcPr>
            <w:tcW w:w="1276" w:type="dxa"/>
            <w:vMerge w:val="continue"/>
            <w:vAlign w:val="center"/>
          </w:tcPr>
          <w:p w14:paraId="60108226">
            <w:pPr>
              <w:spacing w:before="63" w:beforeLines="15" w:after="105" w:afterLines="25" w:line="280" w:lineRule="exact"/>
              <w:rPr>
                <w:rFonts w:ascii="汉仪书宋一简" w:hAnsi="Times New Roman" w:eastAsia="汉仪书宋一简" w:cs="Times New Roman"/>
                <w:sz w:val="20"/>
                <w:szCs w:val="20"/>
              </w:rPr>
            </w:pPr>
          </w:p>
        </w:tc>
        <w:tc>
          <w:tcPr>
            <w:tcW w:w="6309" w:type="dxa"/>
            <w:vAlign w:val="center"/>
          </w:tcPr>
          <w:p w14:paraId="745DE38A">
            <w:pPr>
              <w:spacing w:before="63" w:beforeLines="15" w:after="105" w:afterLines="2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（6）其他人导致建筑物脱落时——所有人、管理人或者使用人、真实责任人（民1253）</w:t>
            </w:r>
          </w:p>
        </w:tc>
      </w:tr>
    </w:tbl>
    <w:p w14:paraId="7ACCFAA8"/>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汉仪书宋二简">
    <w:altName w:val="宋体"/>
    <w:panose1 w:val="02010609000101010101"/>
    <w:charset w:val="86"/>
    <w:family w:val="modern"/>
    <w:pitch w:val="default"/>
    <w:sig w:usb0="00000000" w:usb1="00000000" w:usb2="00000002" w:usb3="00000000" w:csb0="00040000" w:csb1="00000000"/>
  </w:font>
  <w:font w:name="汉仪书宋一简">
    <w:altName w:val="宋体"/>
    <w:panose1 w:val="02010609000101010101"/>
    <w:charset w:val="86"/>
    <w:family w:val="modern"/>
    <w:pitch w:val="default"/>
    <w:sig w:usb0="00000000" w:usb1="00000000" w:usb2="00000012" w:usb3="00000000" w:csb0="00040000" w:csb1="00000000"/>
  </w:font>
  <w:font w:name="汉仪中黑简">
    <w:altName w:val="黑体"/>
    <w:panose1 w:val="02010609000101010101"/>
    <w:charset w:val="86"/>
    <w:family w:val="modern"/>
    <w:pitch w:val="default"/>
    <w:sig w:usb0="00000000" w:usb1="00000000" w:usb2="00000012" w:usb3="00000000" w:csb0="00040000" w:csb1="00000000"/>
  </w:font>
  <w:font w:name="Cambria">
    <w:panose1 w:val="02040503050406030204"/>
    <w:charset w:val="00"/>
    <w:family w:val="roman"/>
    <w:pitch w:val="default"/>
    <w:sig w:usb0="E00006FF" w:usb1="420024FF" w:usb2="02000000" w:usb3="00000000" w:csb0="2000019F" w:csb1="00000000"/>
  </w:font>
  <w:font w:name="汉仪大宋简">
    <w:altName w:val="微软雅黑"/>
    <w:panose1 w:val="02010609000101010101"/>
    <w:charset w:val="86"/>
    <w:family w:val="modern"/>
    <w:pitch w:val="default"/>
    <w:sig w:usb0="00000000" w:usb1="00000000" w:usb2="00000012" w:usb3="00000000" w:csb0="00040000" w:csb1="00000000"/>
  </w:font>
  <w:font w:name="Calibri Light">
    <w:panose1 w:val="020F0302020204030204"/>
    <w:charset w:val="00"/>
    <w:family w:val="auto"/>
    <w:pitch w:val="default"/>
    <w:sig w:usb0="E4002EFF" w:usb1="C200247B" w:usb2="00000009" w:usb3="00000000" w:csb0="200001FF" w:csb1="00000000"/>
  </w:font>
  <w:font w:name="汉仪粗黑简">
    <w:altName w:val="微软雅黑"/>
    <w:panose1 w:val="02010609000101010101"/>
    <w:charset w:val="86"/>
    <w:family w:val="modern"/>
    <w:pitch w:val="default"/>
    <w:sig w:usb0="00000000" w:usb1="00000000" w:usb2="0000001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60E4B"/>
    <w:multiLevelType w:val="singleLevel"/>
    <w:tmpl w:val="A7060E4B"/>
    <w:lvl w:ilvl="0" w:tentative="0">
      <w:start w:val="1"/>
      <w:numFmt w:val="decimal"/>
      <w:suff w:val="nothing"/>
      <w:lvlText w:val="（%1）"/>
      <w:lvlJc w:val="left"/>
    </w:lvl>
  </w:abstractNum>
  <w:abstractNum w:abstractNumId="1">
    <w:nsid w:val="7D56A90C"/>
    <w:multiLevelType w:val="singleLevel"/>
    <w:tmpl w:val="7D56A90C"/>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2F69E5"/>
    <w:rsid w:val="39D55A01"/>
    <w:rsid w:val="4E5C277E"/>
    <w:rsid w:val="59C27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paragraph" w:styleId="4">
    <w:name w:val="heading 4"/>
    <w:basedOn w:val="1"/>
    <w:next w:val="1"/>
    <w:qFormat/>
    <w:uiPriority w:val="9"/>
    <w:pPr>
      <w:keepNext/>
      <w:keepLines/>
      <w:spacing w:before="280" w:after="290" w:line="376" w:lineRule="auto"/>
      <w:outlineLvl w:val="3"/>
    </w:pPr>
    <w:rPr>
      <w:rFonts w:ascii="Cambria" w:hAnsi="Cambria"/>
      <w:b/>
      <w:bCs/>
      <w:color w:val="auto"/>
      <w:sz w:val="28"/>
      <w:szCs w:val="2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table" w:styleId="6">
    <w:name w:val="Table Grid"/>
    <w:basedOn w:val="5"/>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2025-06-05T14:54:48Z</dcterms:created>
  <dc:creator>cuplh</dc:creator>
  <cp:lastModifiedBy>韩富鹏</cp:lastModifiedBy>
  <dcterms:modified xsi:type="dcterms:W3CDTF">2025-06-05T15:03:36Z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eyJoZGlkIjoiMWFjYzQzMDc3NjcyYmQ4ODllY2M1ZTlhMDk0YzI1ZDQiLCJ1c2VySWQiOiI2MjgyMjQxMTMifQ==</vt:lpwstr>
  </property>
  <property fmtid="{D5CDD505-2E9C-101B-9397-08002B2CF9AE}" pid="4" name="ICV">
    <vt:lpwstr>7259745DFE734AB4A4140E2A63755403_12</vt:lpwstr>
  </property>
</Properties>
</file>