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8D7DA">
      <w:pPr>
        <w:pStyle w:val="6"/>
        <w:spacing w:line="276" w:lineRule="auto"/>
        <w:rPr>
          <w:rFonts w:hint="eastAsia" w:ascii="宋体" w:hAnsi="宋体" w:eastAsia="宋体"/>
          <w:b/>
          <w:szCs w:val="21"/>
          <w:lang w:val="en-US" w:eastAsia="zh-CN"/>
        </w:rPr>
      </w:pPr>
      <w:bookmarkStart w:id="0" w:name="_Toc534638256"/>
      <w:bookmarkStart w:id="1" w:name="_Toc514093055"/>
      <w:bookmarkStart w:id="2" w:name="_Toc536382649"/>
      <w:bookmarkStart w:id="3" w:name="_Toc534638282"/>
      <w:bookmarkStart w:id="4" w:name="_Toc33346101"/>
      <w:bookmarkStart w:id="5" w:name="_Toc4856986"/>
      <w:bookmarkStart w:id="6" w:name="_Toc10669"/>
      <w:r>
        <w:rPr>
          <w:rFonts w:hint="eastAsia"/>
          <w:color w:val="auto"/>
          <w:sz w:val="36"/>
          <w:szCs w:val="36"/>
        </w:rPr>
        <w:t>考点5  代理</w:t>
      </w:r>
      <w:bookmarkEnd w:id="0"/>
      <w:bookmarkEnd w:id="1"/>
      <w:bookmarkEnd w:id="2"/>
      <w:bookmarkEnd w:id="3"/>
      <w:bookmarkEnd w:id="4"/>
      <w:bookmarkEnd w:id="5"/>
      <w:bookmarkEnd w:id="6"/>
    </w:p>
    <w:p w14:paraId="63FF18F9">
      <w:pPr>
        <w:pStyle w:val="3"/>
        <w:rPr>
          <w:rFonts w:ascii="Times New Roman" w:hAnsi="Times New Roman" w:cs="Times New Roman"/>
        </w:rPr>
      </w:pPr>
      <w:r>
        <w:rPr>
          <w:rFonts w:hint="eastAsia" w:ascii="宋体" w:hAnsi="宋体"/>
          <w:b/>
          <w:szCs w:val="21"/>
        </w:rPr>
        <w:t xml:space="preserve">    一</w:t>
      </w:r>
      <w:r>
        <w:rPr>
          <w:rFonts w:ascii="宋体" w:hAnsi="宋体"/>
          <w:b/>
          <w:szCs w:val="21"/>
        </w:rPr>
        <w:t>、</w:t>
      </w:r>
      <w:r>
        <w:t>有权代理</w:t>
      </w:r>
    </w:p>
    <w:p w14:paraId="1914A3E6">
      <w:pPr>
        <w:pStyle w:val="4"/>
        <w:ind w:firstLine="288" w:firstLineChars="120"/>
      </w:pPr>
      <w:r>
        <w:t>（一）有权代理的构成</w:t>
      </w:r>
    </w:p>
    <w:p w14:paraId="5236F40D">
      <w:pPr>
        <w:tabs>
          <w:tab w:val="left" w:pos="420"/>
        </w:tabs>
        <w:ind w:firstLine="420"/>
        <w:rPr>
          <w:rFonts w:ascii="汉仪书宋二简" w:hAnsi="Calibri" w:cs="Arial"/>
          <w:color w:val="000000"/>
        </w:rPr>
      </w:pPr>
      <w:r>
        <w:rPr>
          <w:rFonts w:ascii="汉仪书宋二简" w:hAnsi="Calibri" w:cs="Arial"/>
          <w:color w:val="000000"/>
        </w:rPr>
        <w:t>代理人实施代理行为时，需要满足以下几个要件，才能发生有权代理的法律效果。</w:t>
      </w:r>
    </w:p>
    <w:p w14:paraId="31CA808C">
      <w:pPr>
        <w:tabs>
          <w:tab w:val="left" w:pos="420"/>
        </w:tabs>
        <w:ind w:firstLine="440"/>
        <w:rPr>
          <w:rFonts w:ascii="汉仪中黑简" w:eastAsia="汉仪中黑简" w:cs="Times New Roman"/>
          <w:color w:val="000000"/>
          <w:sz w:val="22"/>
          <w:szCs w:val="22"/>
        </w:rPr>
      </w:pPr>
      <w:r>
        <w:rPr>
          <w:rFonts w:ascii="汉仪中黑简" w:eastAsia="汉仪中黑简" w:cs="Times New Roman"/>
          <w:color w:val="000000"/>
          <w:sz w:val="22"/>
          <w:szCs w:val="22"/>
        </w:rPr>
        <w:t>1</w:t>
      </w:r>
      <w:r>
        <w:rPr>
          <w:rFonts w:hint="eastAsia" w:ascii="汉仪中黑简" w:eastAsia="汉仪中黑简" w:cs="Times New Roman"/>
          <w:color w:val="000000"/>
          <w:sz w:val="22"/>
          <w:szCs w:val="22"/>
        </w:rPr>
        <w:t>．</w:t>
      </w:r>
      <w:r>
        <w:rPr>
          <w:rFonts w:ascii="汉仪中黑简" w:eastAsia="汉仪中黑简" w:cs="Times New Roman"/>
          <w:color w:val="000000"/>
          <w:sz w:val="22"/>
          <w:szCs w:val="22"/>
        </w:rPr>
        <w:t>代理人实施民事法律行为</w:t>
      </w:r>
    </w:p>
    <w:p w14:paraId="578727A8">
      <w:pPr>
        <w:tabs>
          <w:tab w:val="left" w:pos="420"/>
        </w:tabs>
        <w:ind w:firstLine="420"/>
        <w:rPr>
          <w:rFonts w:ascii="汉仪书宋二简" w:hAnsi="Calibri" w:cs="Arial"/>
          <w:color w:val="FF0000"/>
        </w:rPr>
      </w:pPr>
      <w:r>
        <w:rPr>
          <w:rFonts w:ascii="汉仪书宋二简" w:hAnsi="Calibri" w:cs="Arial"/>
          <w:color w:val="000000"/>
        </w:rPr>
        <w:t>有权代理要求代理人独立地实施民事法律行为，即发出或者受领意思表示。</w:t>
      </w:r>
      <w:r>
        <w:rPr>
          <w:rFonts w:ascii="汉仪书宋二简" w:hAnsi="Calibri" w:cs="Arial"/>
          <w:color w:val="FF0000"/>
        </w:rPr>
        <w:t>如果只是将表意人的意思表示传达给相对方，那么只构成传达，而非代理。</w:t>
      </w:r>
    </w:p>
    <w:p w14:paraId="6B5C127F">
      <w:pPr>
        <w:tabs>
          <w:tab w:val="left" w:pos="420"/>
        </w:tabs>
        <w:ind w:firstLine="440"/>
        <w:rPr>
          <w:rFonts w:ascii="汉仪中黑简" w:eastAsia="汉仪中黑简" w:cs="Times New Roman"/>
          <w:color w:val="000000"/>
          <w:sz w:val="22"/>
          <w:szCs w:val="22"/>
        </w:rPr>
      </w:pPr>
      <w:r>
        <w:rPr>
          <w:rFonts w:ascii="汉仪中黑简" w:eastAsia="汉仪中黑简" w:cs="Times New Roman"/>
          <w:color w:val="000000"/>
          <w:sz w:val="22"/>
          <w:szCs w:val="22"/>
        </w:rPr>
        <w:t>2</w:t>
      </w:r>
      <w:r>
        <w:rPr>
          <w:rFonts w:hint="eastAsia" w:ascii="汉仪中黑简" w:eastAsia="汉仪中黑简" w:cs="Times New Roman"/>
          <w:color w:val="000000"/>
          <w:sz w:val="22"/>
          <w:szCs w:val="22"/>
        </w:rPr>
        <w:t>．</w:t>
      </w:r>
      <w:r>
        <w:rPr>
          <w:rFonts w:ascii="汉仪中黑简" w:eastAsia="汉仪中黑简" w:cs="Times New Roman"/>
          <w:color w:val="000000"/>
          <w:sz w:val="22"/>
          <w:szCs w:val="22"/>
        </w:rPr>
        <w:t>代理的公开性（显名原则）</w:t>
      </w:r>
    </w:p>
    <w:p w14:paraId="1FBC633E">
      <w:pPr>
        <w:tabs>
          <w:tab w:val="left" w:pos="420"/>
        </w:tabs>
        <w:ind w:firstLine="420"/>
        <w:rPr>
          <w:rFonts w:ascii="汉仪书宋二简" w:hAnsi="Calibri" w:cs="Arial"/>
          <w:color w:val="000000"/>
        </w:rPr>
      </w:pPr>
      <w:r>
        <w:rPr>
          <w:rFonts w:hint="eastAsia" w:ascii="汉仪书宋二简" w:hAnsi="Calibri" w:cs="Arial"/>
          <w:color w:val="000000"/>
        </w:rPr>
        <w:t>代理人须以被代理人的名义实施民事法律行为。《民法典》第162条中的“以被代理人名义”就是对代理公开性的要求。要求代理具备公开性，其目的在于保护相对方，使得相对方知道自己实施民事法律行为的相对方是谁，进而决定是否交易与如何交易。</w:t>
      </w:r>
    </w:p>
    <w:p w14:paraId="12AC343E">
      <w:pPr>
        <w:tabs>
          <w:tab w:val="left" w:pos="420"/>
        </w:tabs>
        <w:ind w:firstLine="420"/>
        <w:rPr>
          <w:rFonts w:ascii="汉仪书宋二简" w:hAnsi="Calibri" w:cs="Arial"/>
          <w:color w:val="000000"/>
        </w:rPr>
      </w:pPr>
      <w:r>
        <w:rPr>
          <w:rFonts w:hint="eastAsia" w:ascii="汉仪书宋二简" w:hAnsi="Calibri" w:cs="Arial"/>
          <w:color w:val="000000"/>
        </w:rPr>
        <w:t>不符合代理公开性的情形是：代理人缔约时未披露代理关系，也未披露被代理人是谁，且相对方缔约时也不知道代理关系的存在，此时合同只能约束代理人，不能约束被代理人。《民法典》</w:t>
      </w:r>
      <w:r>
        <w:rPr>
          <w:rFonts w:hint="eastAsia" w:ascii="汉仪书宋二简" w:hAnsi="Calibri" w:cs="Arial"/>
          <w:color w:val="FF0000"/>
        </w:rPr>
        <w:t>第</w:t>
      </w:r>
      <w:r>
        <w:rPr>
          <w:rFonts w:ascii="汉仪书宋二简" w:hAnsi="Calibri" w:cs="Arial"/>
          <w:color w:val="FF0000"/>
        </w:rPr>
        <w:t>926条规定的间接代理就是此种情形。</w:t>
      </w:r>
    </w:p>
    <w:p w14:paraId="4DB2E8E8">
      <w:pPr>
        <w:tabs>
          <w:tab w:val="left" w:pos="420"/>
        </w:tabs>
        <w:ind w:firstLine="420"/>
        <w:rPr>
          <w:rFonts w:hint="eastAsia" w:ascii="华文楷体" w:hAnsi="华文楷体" w:eastAsia="华文楷体" w:cs="华文楷体"/>
          <w:color w:val="000000"/>
        </w:rPr>
      </w:pPr>
      <w:r>
        <w:rPr>
          <w:rFonts w:hint="eastAsia" w:ascii="华文楷体" w:hAnsi="华文楷体" w:eastAsia="华文楷体" w:cs="华文楷体"/>
          <w:color w:val="000000"/>
          <w:lang w:val="en-US" w:eastAsia="zh-CN"/>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17F291FE">
      <w:pPr>
        <w:tabs>
          <w:tab w:val="left" w:pos="420"/>
        </w:tabs>
        <w:ind w:firstLine="420"/>
        <w:rPr>
          <w:rFonts w:hint="eastAsia" w:ascii="华文楷体" w:hAnsi="华文楷体" w:eastAsia="华文楷体" w:cs="华文楷体"/>
          <w:color w:val="000000"/>
        </w:rPr>
      </w:pPr>
      <w:r>
        <w:rPr>
          <w:rFonts w:hint="eastAsia" w:ascii="华文楷体" w:hAnsi="华文楷体" w:eastAsia="华文楷体" w:cs="华文楷体"/>
          <w:color w:val="000000"/>
          <w:lang w:val="en-US" w:eastAsia="zh-CN"/>
        </w:rPr>
        <w:t>受托人因委托人的原因对第三人不履行义务，受托人应当向第三人披露委托人，第三人因此可以选择受托人或者委托人作为相对人主张其权利，但是第三人不得变更选定的相对人。</w:t>
      </w:r>
    </w:p>
    <w:p w14:paraId="6CEBEB14">
      <w:pPr>
        <w:tabs>
          <w:tab w:val="left" w:pos="420"/>
        </w:tabs>
        <w:ind w:firstLine="420"/>
        <w:rPr>
          <w:rFonts w:hint="eastAsia" w:ascii="华文楷体" w:hAnsi="华文楷体" w:eastAsia="华文楷体" w:cs="华文楷体"/>
          <w:color w:val="000000"/>
          <w:lang w:val="en-US" w:eastAsia="zh-CN"/>
        </w:rPr>
      </w:pPr>
      <w:r>
        <w:rPr>
          <w:rFonts w:hint="eastAsia" w:ascii="华文楷体" w:hAnsi="华文楷体" w:eastAsia="华文楷体" w:cs="华文楷体"/>
          <w:color w:val="000000"/>
          <w:lang w:val="en-US" w:eastAsia="zh-CN"/>
        </w:rPr>
        <w:t>委托人行使受托人对第三人的权利的，第三人可以向委托人主张其对受托人的抗辩。第三人选定委托人作为其相对人的，委托人可以向第三人主张其对受托人的抗辩以及受托人对第三人的抗辩。</w:t>
      </w:r>
    </w:p>
    <w:p w14:paraId="0C6E64CE">
      <w:pPr>
        <w:tabs>
          <w:tab w:val="left" w:pos="420"/>
        </w:tabs>
        <w:ind w:firstLine="440"/>
        <w:rPr>
          <w:rFonts w:ascii="汉仪中黑简" w:eastAsia="汉仪中黑简" w:cs="Times New Roman"/>
          <w:color w:val="000000"/>
          <w:sz w:val="22"/>
          <w:szCs w:val="22"/>
        </w:rPr>
      </w:pPr>
      <w:r>
        <w:rPr>
          <w:rFonts w:ascii="汉仪中黑简" w:eastAsia="汉仪中黑简" w:cs="Times New Roman"/>
          <w:color w:val="000000"/>
          <w:sz w:val="22"/>
          <w:szCs w:val="22"/>
        </w:rPr>
        <w:t>3</w:t>
      </w:r>
      <w:r>
        <w:rPr>
          <w:rFonts w:hint="eastAsia" w:ascii="汉仪中黑简" w:eastAsia="汉仪中黑简" w:cs="Times New Roman"/>
          <w:color w:val="000000"/>
          <w:sz w:val="22"/>
          <w:szCs w:val="22"/>
        </w:rPr>
        <w:t>．</w:t>
      </w:r>
      <w:r>
        <w:rPr>
          <w:rFonts w:ascii="汉仪中黑简" w:eastAsia="汉仪中黑简" w:cs="Times New Roman"/>
          <w:color w:val="000000"/>
          <w:sz w:val="22"/>
          <w:szCs w:val="22"/>
        </w:rPr>
        <w:t>行为的可代理性</w:t>
      </w:r>
    </w:p>
    <w:p w14:paraId="2E046AF4">
      <w:pPr>
        <w:tabs>
          <w:tab w:val="left" w:pos="420"/>
        </w:tabs>
        <w:ind w:firstLine="420"/>
        <w:rPr>
          <w:rFonts w:ascii="汉仪书宋二简" w:hAnsi="Calibri" w:cs="Arial"/>
          <w:color w:val="000000"/>
        </w:rPr>
      </w:pPr>
      <w:r>
        <w:rPr>
          <w:rFonts w:ascii="汉仪书宋二简" w:hAnsi="Calibri" w:cs="Arial"/>
          <w:color w:val="000000"/>
        </w:rPr>
        <w:t>原则上代理只能针对民事法律行为，事实行为是无所谓代理的。</w:t>
      </w:r>
    </w:p>
    <w:p w14:paraId="195B722A">
      <w:pPr>
        <w:tabs>
          <w:tab w:val="left" w:pos="420"/>
        </w:tabs>
        <w:ind w:firstLine="420"/>
        <w:rPr>
          <w:rFonts w:ascii="汉仪书宋二简" w:hAnsi="Calibri" w:cs="Arial"/>
          <w:color w:val="000000"/>
        </w:rPr>
      </w:pPr>
      <w:r>
        <w:rPr>
          <w:rFonts w:ascii="汉仪书宋二简" w:hAnsi="Calibri" w:cs="Arial"/>
          <w:color w:val="000000"/>
        </w:rPr>
        <w:t>原则上所有的民事法律行为都可以代理，以签订合同最为常见。不过也有一些民事法律行为是不能代理的，必须亲自实施，主要是一些人身性或伦理性较强的民事法律行为，例</w:t>
      </w:r>
      <w:r>
        <w:rPr>
          <w:rFonts w:ascii="汉仪书宋二简" w:hAnsi="Calibri" w:cs="Arial"/>
          <w:color w:val="FF0000"/>
        </w:rPr>
        <w:t>如结婚、离婚、立遗嘱、收养</w:t>
      </w:r>
      <w:r>
        <w:rPr>
          <w:rFonts w:ascii="汉仪书宋二简" w:hAnsi="Calibri" w:cs="Arial"/>
          <w:color w:val="000000"/>
        </w:rPr>
        <w:t>等。</w:t>
      </w:r>
    </w:p>
    <w:p w14:paraId="43E701B2">
      <w:pPr>
        <w:tabs>
          <w:tab w:val="left" w:pos="420"/>
        </w:tabs>
        <w:ind w:firstLine="440"/>
        <w:rPr>
          <w:rFonts w:ascii="汉仪中黑简" w:eastAsia="汉仪中黑简" w:cs="Times New Roman"/>
          <w:color w:val="000000"/>
          <w:sz w:val="22"/>
          <w:szCs w:val="22"/>
        </w:rPr>
      </w:pPr>
      <w:r>
        <w:rPr>
          <w:rFonts w:ascii="汉仪中黑简" w:eastAsia="汉仪中黑简" w:cs="Times New Roman"/>
          <w:color w:val="000000"/>
          <w:sz w:val="22"/>
          <w:szCs w:val="22"/>
        </w:rPr>
        <w:t>4</w:t>
      </w:r>
      <w:r>
        <w:rPr>
          <w:rFonts w:hint="eastAsia" w:ascii="汉仪中黑简" w:eastAsia="汉仪中黑简" w:cs="Times New Roman"/>
          <w:color w:val="000000"/>
          <w:sz w:val="22"/>
          <w:szCs w:val="22"/>
        </w:rPr>
        <w:t>．</w:t>
      </w:r>
      <w:r>
        <w:rPr>
          <w:rFonts w:ascii="汉仪中黑简" w:eastAsia="汉仪中黑简" w:cs="Times New Roman"/>
          <w:color w:val="000000"/>
          <w:sz w:val="22"/>
          <w:szCs w:val="22"/>
        </w:rPr>
        <w:t>代理权</w:t>
      </w:r>
    </w:p>
    <w:p w14:paraId="121E99DA">
      <w:pPr>
        <w:tabs>
          <w:tab w:val="left" w:pos="420"/>
        </w:tabs>
        <w:ind w:firstLine="408"/>
        <w:rPr>
          <w:rFonts w:ascii="汉仪书宋二简" w:hAnsi="Calibri" w:cs="Arial"/>
          <w:color w:val="000000"/>
          <w:spacing w:val="-3"/>
        </w:rPr>
      </w:pPr>
      <w:r>
        <w:rPr>
          <w:rFonts w:ascii="汉仪书宋二简" w:hAnsi="Calibri" w:cs="Arial"/>
          <w:color w:val="000000"/>
          <w:spacing w:val="-3"/>
        </w:rPr>
        <w:t>要发生有权代理的法律效果，代理人须有代理权。如果代理人没有代理权，构成无权代理行为。</w:t>
      </w:r>
    </w:p>
    <w:p w14:paraId="6365FC0E">
      <w:pPr>
        <w:tabs>
          <w:tab w:val="left" w:pos="420"/>
        </w:tabs>
        <w:ind w:firstLine="420"/>
        <w:rPr>
          <w:rFonts w:ascii="Times New Roman" w:hAnsi="Times New Roman" w:cs="Times New Roman"/>
        </w:rPr>
      </w:pPr>
    </w:p>
    <w:p w14:paraId="3316856C">
      <w:pPr>
        <w:pStyle w:val="4"/>
        <w:ind w:firstLine="288" w:firstLineChars="120"/>
      </w:pPr>
      <w:r>
        <w:t>（二）有权代理的法律效果</w:t>
      </w:r>
    </w:p>
    <w:p w14:paraId="4907C539">
      <w:pPr>
        <w:tabs>
          <w:tab w:val="left" w:pos="420"/>
        </w:tabs>
        <w:ind w:firstLine="420"/>
        <w:rPr>
          <w:rFonts w:ascii="汉仪书宋二简" w:hAnsi="Calibri" w:cs="Arial"/>
          <w:color w:val="000000"/>
        </w:rPr>
      </w:pPr>
      <w:r>
        <w:rPr>
          <w:rFonts w:ascii="汉仪书宋二简" w:hAnsi="Calibri" w:cs="Arial"/>
          <w:color w:val="000000"/>
        </w:rPr>
        <w:t>有权代理会发生以下法律效果：</w:t>
      </w:r>
    </w:p>
    <w:p w14:paraId="29FCA9C3">
      <w:pPr>
        <w:tabs>
          <w:tab w:val="left" w:pos="420"/>
        </w:tabs>
        <w:ind w:firstLine="420"/>
        <w:rPr>
          <w:rFonts w:ascii="汉仪书宋二简" w:hAnsi="Calibri" w:cs="Arial"/>
          <w:color w:val="000000"/>
        </w:rPr>
      </w:pPr>
      <w:r>
        <w:rPr>
          <w:rFonts w:ascii="汉仪书宋二简" w:hAnsi="Calibri" w:cs="Arial"/>
          <w:color w:val="000000"/>
        </w:rPr>
        <w:t>1</w:t>
      </w:r>
      <w:r>
        <w:rPr>
          <w:rFonts w:hint="eastAsia" w:ascii="汉仪书宋二简" w:hAnsi="Calibri" w:cs="Arial"/>
          <w:color w:val="000000"/>
        </w:rPr>
        <w:t>．</w:t>
      </w:r>
      <w:r>
        <w:rPr>
          <w:rFonts w:ascii="汉仪书宋二简" w:hAnsi="Calibri" w:cs="Arial"/>
          <w:color w:val="000000"/>
        </w:rPr>
        <w:t>代理行为的法律效果由被代理人承受。</w:t>
      </w:r>
    </w:p>
    <w:p w14:paraId="4063F365">
      <w:pPr>
        <w:tabs>
          <w:tab w:val="left" w:pos="420"/>
        </w:tabs>
        <w:ind w:firstLine="420"/>
        <w:rPr>
          <w:rFonts w:hint="eastAsia" w:ascii="宋体" w:hAnsi="宋体"/>
          <w:b/>
          <w:szCs w:val="21"/>
        </w:rPr>
      </w:pPr>
      <w:r>
        <w:rPr>
          <w:rFonts w:ascii="汉仪书宋二简" w:hAnsi="Calibri" w:cs="Arial"/>
          <w:color w:val="000000"/>
        </w:rPr>
        <w:t>2</w:t>
      </w:r>
      <w:r>
        <w:rPr>
          <w:rFonts w:hint="eastAsia" w:ascii="汉仪书宋二简" w:hAnsi="Calibri" w:cs="Arial"/>
          <w:color w:val="000000"/>
        </w:rPr>
        <w:t>．</w:t>
      </w:r>
      <w:r>
        <w:rPr>
          <w:rFonts w:ascii="汉仪书宋二简" w:hAnsi="Calibri" w:cs="Arial"/>
          <w:color w:val="FF0000"/>
        </w:rPr>
        <w:t>代理人不因代理行为而承受权利义务，代理人与第三人之间没有法律关系。在例1中，乙与丙之间没有法律关系</w:t>
      </w:r>
      <w:r>
        <w:rPr>
          <w:rFonts w:ascii="汉仪书宋二简" w:hAnsi="Calibri" w:cs="Arial"/>
          <w:color w:val="000000"/>
        </w:rPr>
        <w:t>。</w:t>
      </w:r>
    </w:p>
    <w:p w14:paraId="332B161D">
      <w:pPr>
        <w:spacing w:line="276" w:lineRule="auto"/>
        <w:jc w:val="left"/>
        <w:outlineLvl w:val="1"/>
        <w:rPr>
          <w:rFonts w:ascii="宋体" w:hAnsi="宋体"/>
          <w:b/>
          <w:strike/>
          <w:szCs w:val="21"/>
        </w:rPr>
      </w:pPr>
      <w:r>
        <w:rPr>
          <w:rFonts w:hint="eastAsia" w:ascii="宋体" w:hAnsi="宋体"/>
          <w:b/>
          <w:szCs w:val="21"/>
          <w:lang w:val="en-US" w:eastAsia="zh-CN"/>
        </w:rPr>
        <w:t>二、</w:t>
      </w:r>
      <w:r>
        <w:rPr>
          <w:rFonts w:hint="eastAsia" w:ascii="宋体" w:hAnsi="宋体"/>
          <w:b/>
          <w:szCs w:val="21"/>
        </w:rPr>
        <w:t>代理权</w:t>
      </w:r>
    </w:p>
    <w:p w14:paraId="4B6E7B93">
      <w:pPr>
        <w:spacing w:line="276" w:lineRule="auto"/>
        <w:ind w:firstLine="422" w:firstLineChars="200"/>
        <w:outlineLvl w:val="2"/>
        <w:rPr>
          <w:rFonts w:ascii="宋体" w:hAnsi="宋体"/>
          <w:b/>
          <w:szCs w:val="21"/>
        </w:rPr>
      </w:pPr>
      <w:r>
        <w:rPr>
          <w:rFonts w:hint="eastAsia" w:ascii="宋体" w:hAnsi="宋体"/>
          <w:b/>
          <w:szCs w:val="21"/>
        </w:rPr>
        <w:t>（一）代理权的产生</w:t>
      </w:r>
    </w:p>
    <w:p w14:paraId="1D3289DC">
      <w:pPr>
        <w:spacing w:line="276" w:lineRule="auto"/>
        <w:ind w:firstLine="422" w:firstLineChars="200"/>
        <w:outlineLvl w:val="2"/>
        <w:rPr>
          <w:rFonts w:ascii="宋体" w:hAnsi="宋体"/>
          <w:b/>
          <w:szCs w:val="21"/>
        </w:rPr>
      </w:pPr>
      <w:r>
        <w:rPr>
          <w:rFonts w:hint="eastAsia" w:ascii="宋体" w:hAnsi="宋体"/>
          <w:b/>
          <w:szCs w:val="21"/>
        </w:rPr>
        <w:t>1．法定代理权的产生</w:t>
      </w:r>
    </w:p>
    <w:p w14:paraId="3365591C">
      <w:pPr>
        <w:spacing w:line="276" w:lineRule="auto"/>
        <w:ind w:firstLine="420" w:firstLineChars="200"/>
        <w:rPr>
          <w:rFonts w:ascii="宋体" w:hAnsi="宋体"/>
          <w:strike/>
        </w:rPr>
      </w:pPr>
      <w:r>
        <w:rPr>
          <w:rFonts w:hint="eastAsia" w:ascii="宋体" w:hAnsi="宋体"/>
        </w:rPr>
        <w:t>法定代理权来源于法律的规定</w:t>
      </w:r>
      <w:r>
        <w:rPr>
          <w:rFonts w:hint="eastAsia" w:ascii="宋体" w:hAnsi="宋体"/>
          <w:lang w:eastAsia="zh-CN"/>
        </w:rPr>
        <w:t>，</w:t>
      </w:r>
      <w:r>
        <w:rPr>
          <w:rFonts w:hint="eastAsia" w:ascii="宋体" w:hAnsi="宋体"/>
          <w:lang w:val="en-US" w:eastAsia="zh-CN"/>
        </w:rPr>
        <w:t>法定代理人代理权、家事代理权等</w:t>
      </w:r>
      <w:r>
        <w:rPr>
          <w:rFonts w:hint="eastAsia" w:ascii="宋体" w:hAnsi="宋体"/>
        </w:rPr>
        <w:t>。</w:t>
      </w:r>
    </w:p>
    <w:p w14:paraId="1B51D5F4">
      <w:pPr>
        <w:spacing w:line="276" w:lineRule="auto"/>
        <w:ind w:firstLine="422" w:firstLineChars="200"/>
        <w:outlineLvl w:val="2"/>
        <w:rPr>
          <w:rFonts w:ascii="宋体" w:hAnsi="宋体"/>
          <w:b/>
          <w:szCs w:val="21"/>
        </w:rPr>
      </w:pPr>
      <w:r>
        <w:rPr>
          <w:rFonts w:hint="eastAsia" w:ascii="宋体" w:hAnsi="宋体"/>
          <w:b/>
          <w:szCs w:val="21"/>
        </w:rPr>
        <w:t>2．委托代理权的产生（代理权授予）</w:t>
      </w:r>
    </w:p>
    <w:p w14:paraId="62A9CC70">
      <w:pPr>
        <w:spacing w:line="276" w:lineRule="auto"/>
        <w:ind w:firstLine="420" w:firstLineChars="200"/>
        <w:rPr>
          <w:rFonts w:hint="eastAsia"/>
          <w:lang w:val="en-US" w:eastAsia="zh-CN"/>
        </w:rPr>
      </w:pPr>
      <w:r>
        <w:rPr>
          <w:rFonts w:hint="eastAsia" w:ascii="宋体" w:hAnsi="宋体"/>
        </w:rPr>
        <w:t>委托代理权来源于被代理人的授权行为。</w:t>
      </w:r>
      <w:r>
        <w:rPr>
          <w:rFonts w:hint="eastAsia"/>
          <w:color w:val="FF0000"/>
        </w:rPr>
        <w:t>授权行为具有单方性、独立性、无因性</w:t>
      </w:r>
      <w:r>
        <w:rPr>
          <w:rFonts w:hint="eastAsia"/>
        </w:rPr>
        <w:t>。</w:t>
      </w:r>
      <w:r>
        <w:rPr>
          <w:rFonts w:hint="eastAsia"/>
          <w:lang w:val="en-US" w:eastAsia="zh-CN"/>
        </w:rPr>
        <w:t>可以授权给限制行为能力人。</w:t>
      </w:r>
    </w:p>
    <w:p w14:paraId="224D28AE">
      <w:pPr>
        <w:spacing w:line="276" w:lineRule="auto"/>
        <w:ind w:firstLine="420" w:firstLineChars="200"/>
        <w:rPr>
          <w:rFonts w:hint="eastAsia" w:ascii="汉仪书宋二简" w:hAnsi="Calibri" w:cs="Arial"/>
          <w:color w:val="000000"/>
        </w:rPr>
      </w:pPr>
      <w:r>
        <w:rPr>
          <w:rFonts w:ascii="汉仪书宋二简" w:hAnsi="Calibri" w:cs="Arial"/>
          <w:color w:val="000000"/>
        </w:rPr>
        <w:t>意定代理权的授予以信赖关系为基础，代理权授予后，如果被代理人与代理人之间的信赖关系不复存在，应当允许被代理人撤回代理权。</w:t>
      </w:r>
      <w:r>
        <w:rPr>
          <w:rFonts w:hint="eastAsia" w:ascii="汉仪书宋二简" w:hAnsi="Calibri" w:cs="Arial"/>
          <w:color w:val="000000"/>
        </w:rPr>
        <w:t>被代理人撤回代理权后，代理权就会消灭，如果代理人仍然实施代理行为，构成无权代理。</w:t>
      </w:r>
    </w:p>
    <w:p w14:paraId="0FB1C3E9">
      <w:pPr>
        <w:spacing w:line="276" w:lineRule="auto"/>
        <w:ind w:firstLine="422" w:firstLineChars="200"/>
        <w:outlineLvl w:val="2"/>
        <w:rPr>
          <w:rFonts w:ascii="宋体" w:hAnsi="宋体"/>
          <w:b/>
          <w:szCs w:val="21"/>
        </w:rPr>
      </w:pPr>
      <w:r>
        <w:rPr>
          <w:rFonts w:hint="eastAsia" w:ascii="宋体" w:hAnsi="宋体"/>
          <w:b/>
          <w:szCs w:val="21"/>
        </w:rPr>
        <w:t>（二）代理权的滥用</w:t>
      </w:r>
    </w:p>
    <w:p w14:paraId="130FA6B3">
      <w:pPr>
        <w:spacing w:line="276" w:lineRule="auto"/>
        <w:ind w:firstLine="420" w:firstLineChars="200"/>
        <w:rPr>
          <w:rFonts w:ascii="宋体" w:hAnsi="宋体"/>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775"/>
        <w:gridCol w:w="4523"/>
      </w:tblGrid>
      <w:tr w14:paraId="72BD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14:paraId="5AD3DDFA">
            <w:pPr>
              <w:spacing w:line="276" w:lineRule="auto"/>
              <w:jc w:val="center"/>
              <w:rPr>
                <w:b/>
                <w:kern w:val="0"/>
                <w:szCs w:val="21"/>
              </w:rPr>
            </w:pPr>
            <w:r>
              <w:rPr>
                <w:rFonts w:hint="eastAsia"/>
                <w:b/>
                <w:kern w:val="0"/>
                <w:szCs w:val="21"/>
              </w:rPr>
              <w:t>类型</w:t>
            </w:r>
          </w:p>
        </w:tc>
        <w:tc>
          <w:tcPr>
            <w:tcW w:w="2775" w:type="dxa"/>
            <w:noWrap w:val="0"/>
            <w:vAlign w:val="center"/>
          </w:tcPr>
          <w:p w14:paraId="400F5772">
            <w:pPr>
              <w:spacing w:line="276" w:lineRule="auto"/>
              <w:jc w:val="center"/>
              <w:rPr>
                <w:b/>
                <w:kern w:val="0"/>
                <w:szCs w:val="21"/>
              </w:rPr>
            </w:pPr>
            <w:r>
              <w:rPr>
                <w:rFonts w:hint="eastAsia"/>
                <w:b/>
                <w:kern w:val="0"/>
                <w:szCs w:val="21"/>
              </w:rPr>
              <w:t>定义</w:t>
            </w:r>
          </w:p>
        </w:tc>
        <w:tc>
          <w:tcPr>
            <w:tcW w:w="4523" w:type="dxa"/>
            <w:noWrap w:val="0"/>
            <w:vAlign w:val="center"/>
          </w:tcPr>
          <w:p w14:paraId="6E52EAD2">
            <w:pPr>
              <w:spacing w:line="276" w:lineRule="auto"/>
              <w:jc w:val="center"/>
              <w:rPr>
                <w:b/>
                <w:kern w:val="0"/>
                <w:szCs w:val="21"/>
              </w:rPr>
            </w:pPr>
            <w:r>
              <w:rPr>
                <w:rFonts w:hint="eastAsia"/>
                <w:b/>
                <w:kern w:val="0"/>
                <w:szCs w:val="21"/>
              </w:rPr>
              <w:t>法律效果</w:t>
            </w:r>
          </w:p>
        </w:tc>
      </w:tr>
      <w:tr w14:paraId="0457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14:paraId="4D56E60B">
            <w:pPr>
              <w:spacing w:line="276" w:lineRule="auto"/>
              <w:jc w:val="center"/>
              <w:rPr>
                <w:kern w:val="0"/>
                <w:szCs w:val="21"/>
              </w:rPr>
            </w:pPr>
            <w:r>
              <w:rPr>
                <w:rFonts w:hint="eastAsia"/>
                <w:kern w:val="0"/>
                <w:szCs w:val="21"/>
              </w:rPr>
              <w:t>自己代理</w:t>
            </w:r>
          </w:p>
        </w:tc>
        <w:tc>
          <w:tcPr>
            <w:tcW w:w="2775" w:type="dxa"/>
            <w:noWrap w:val="0"/>
            <w:vAlign w:val="center"/>
          </w:tcPr>
          <w:p w14:paraId="034EFEA5">
            <w:pPr>
              <w:spacing w:line="276" w:lineRule="auto"/>
              <w:jc w:val="left"/>
              <w:rPr>
                <w:kern w:val="0"/>
                <w:szCs w:val="21"/>
              </w:rPr>
            </w:pPr>
            <w:r>
              <w:rPr>
                <w:rFonts w:hint="eastAsia"/>
                <w:kern w:val="0"/>
                <w:szCs w:val="21"/>
              </w:rPr>
              <w:t>指代理人以被代理人的名义与自己实施民事法律行为</w:t>
            </w:r>
          </w:p>
        </w:tc>
        <w:tc>
          <w:tcPr>
            <w:tcW w:w="4523" w:type="dxa"/>
            <w:noWrap w:val="0"/>
            <w:vAlign w:val="center"/>
          </w:tcPr>
          <w:p w14:paraId="04195AD2">
            <w:pPr>
              <w:spacing w:line="276" w:lineRule="auto"/>
              <w:jc w:val="left"/>
              <w:rPr>
                <w:color w:val="FF0000"/>
                <w:kern w:val="0"/>
                <w:szCs w:val="21"/>
              </w:rPr>
            </w:pPr>
            <w:r>
              <w:rPr>
                <w:rFonts w:hint="eastAsia"/>
                <w:color w:val="FF0000"/>
                <w:kern w:val="0"/>
                <w:szCs w:val="21"/>
              </w:rPr>
              <w:t>经被代理人事前同意或事后追认者，有效。</w:t>
            </w:r>
          </w:p>
        </w:tc>
      </w:tr>
      <w:tr w14:paraId="60CB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14:paraId="7F1B1981">
            <w:pPr>
              <w:spacing w:line="276" w:lineRule="auto"/>
              <w:jc w:val="center"/>
              <w:rPr>
                <w:kern w:val="0"/>
                <w:szCs w:val="21"/>
              </w:rPr>
            </w:pPr>
            <w:r>
              <w:rPr>
                <w:rFonts w:hint="eastAsia"/>
                <w:kern w:val="0"/>
                <w:szCs w:val="21"/>
              </w:rPr>
              <w:t>双方代理</w:t>
            </w:r>
          </w:p>
        </w:tc>
        <w:tc>
          <w:tcPr>
            <w:tcW w:w="2775" w:type="dxa"/>
            <w:noWrap w:val="0"/>
            <w:vAlign w:val="center"/>
          </w:tcPr>
          <w:p w14:paraId="57998DDA">
            <w:pPr>
              <w:spacing w:line="276" w:lineRule="auto"/>
              <w:jc w:val="left"/>
              <w:rPr>
                <w:kern w:val="0"/>
                <w:szCs w:val="21"/>
              </w:rPr>
            </w:pPr>
            <w:r>
              <w:rPr>
                <w:rFonts w:hint="eastAsia"/>
                <w:kern w:val="0"/>
                <w:szCs w:val="21"/>
              </w:rPr>
              <w:t>指代理人以被代理人的名义与自己同时代理的其他人实施同一民事法律行为</w:t>
            </w:r>
          </w:p>
        </w:tc>
        <w:tc>
          <w:tcPr>
            <w:tcW w:w="4523" w:type="dxa"/>
            <w:noWrap w:val="0"/>
            <w:vAlign w:val="center"/>
          </w:tcPr>
          <w:p w14:paraId="3198030C">
            <w:pPr>
              <w:spacing w:line="276" w:lineRule="auto"/>
              <w:jc w:val="left"/>
              <w:rPr>
                <w:color w:val="FF0000"/>
                <w:kern w:val="0"/>
                <w:szCs w:val="21"/>
              </w:rPr>
            </w:pPr>
            <w:r>
              <w:rPr>
                <w:rFonts w:hint="eastAsia"/>
                <w:color w:val="FF0000"/>
                <w:kern w:val="0"/>
                <w:szCs w:val="21"/>
              </w:rPr>
              <w:t>经被代理的双方事前同意或事后追认者，有效。</w:t>
            </w:r>
          </w:p>
        </w:tc>
      </w:tr>
      <w:tr w14:paraId="046D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14:paraId="67901F8C">
            <w:pPr>
              <w:spacing w:line="276" w:lineRule="auto"/>
              <w:jc w:val="center"/>
              <w:rPr>
                <w:kern w:val="0"/>
                <w:szCs w:val="21"/>
              </w:rPr>
            </w:pPr>
            <w:r>
              <w:rPr>
                <w:rFonts w:hint="eastAsia"/>
                <w:kern w:val="0"/>
                <w:szCs w:val="21"/>
              </w:rPr>
              <w:t>恶意串通代理</w:t>
            </w:r>
          </w:p>
        </w:tc>
        <w:tc>
          <w:tcPr>
            <w:tcW w:w="2775" w:type="dxa"/>
            <w:noWrap w:val="0"/>
            <w:vAlign w:val="center"/>
          </w:tcPr>
          <w:p w14:paraId="00A34905">
            <w:pPr>
              <w:spacing w:line="276" w:lineRule="auto"/>
              <w:jc w:val="left"/>
              <w:rPr>
                <w:kern w:val="0"/>
                <w:szCs w:val="21"/>
              </w:rPr>
            </w:pPr>
            <w:r>
              <w:rPr>
                <w:rFonts w:hint="eastAsia"/>
                <w:kern w:val="0"/>
                <w:szCs w:val="21"/>
              </w:rPr>
              <w:t>指代理人与相对人恶意串通，损害被代理人的利益</w:t>
            </w:r>
          </w:p>
        </w:tc>
        <w:tc>
          <w:tcPr>
            <w:tcW w:w="4523" w:type="dxa"/>
            <w:noWrap w:val="0"/>
            <w:vAlign w:val="center"/>
          </w:tcPr>
          <w:p w14:paraId="0C8DB30F">
            <w:pPr>
              <w:spacing w:line="276" w:lineRule="auto"/>
              <w:jc w:val="left"/>
              <w:rPr>
                <w:kern w:val="0"/>
                <w:szCs w:val="21"/>
              </w:rPr>
            </w:pPr>
            <w:r>
              <w:rPr>
                <w:rFonts w:hint="eastAsia" w:ascii="汉仪中黑简" w:hAnsi="Calibri" w:eastAsia="汉仪中黑简" w:cs="Arial"/>
                <w:color w:val="FF0000"/>
              </w:rPr>
              <w:t>串通型代理权滥用时代理行为效力待定，其最终效力取决于被代理人是否追认。</w:t>
            </w:r>
            <w:r>
              <w:rPr>
                <w:rFonts w:hint="eastAsia"/>
                <w:kern w:val="0"/>
                <w:szCs w:val="21"/>
              </w:rPr>
              <w:t>。</w:t>
            </w:r>
          </w:p>
        </w:tc>
      </w:tr>
    </w:tbl>
    <w:p w14:paraId="144A7763">
      <w:pPr>
        <w:spacing w:line="276" w:lineRule="auto"/>
        <w:ind w:firstLine="420" w:firstLineChars="200"/>
      </w:pPr>
    </w:p>
    <w:p w14:paraId="7A368AB4">
      <w:pPr>
        <w:spacing w:line="276" w:lineRule="auto"/>
        <w:jc w:val="left"/>
        <w:outlineLvl w:val="1"/>
        <w:rPr>
          <w:rFonts w:ascii="宋体" w:hAnsi="宋体"/>
          <w:b/>
          <w:szCs w:val="21"/>
        </w:rPr>
      </w:pPr>
      <w:r>
        <w:rPr>
          <w:rFonts w:hint="eastAsia" w:ascii="宋体" w:hAnsi="宋体"/>
          <w:b/>
          <w:szCs w:val="21"/>
        </w:rPr>
        <w:t xml:space="preserve">    </w:t>
      </w:r>
      <w:r>
        <w:rPr>
          <w:rFonts w:hint="eastAsia" w:ascii="宋体" w:hAnsi="宋体"/>
          <w:b/>
          <w:szCs w:val="21"/>
          <w:lang w:val="en-US" w:eastAsia="zh-CN"/>
        </w:rPr>
        <w:t>三</w:t>
      </w:r>
      <w:r>
        <w:rPr>
          <w:rFonts w:ascii="宋体" w:hAnsi="宋体"/>
          <w:b/>
          <w:szCs w:val="21"/>
        </w:rPr>
        <w:t>、</w:t>
      </w:r>
      <w:r>
        <w:rPr>
          <w:rFonts w:hint="eastAsia" w:ascii="宋体" w:hAnsi="宋体"/>
          <w:b/>
          <w:szCs w:val="21"/>
        </w:rPr>
        <w:t>无权</w:t>
      </w:r>
      <w:r>
        <w:rPr>
          <w:rFonts w:ascii="宋体" w:hAnsi="宋体"/>
          <w:b/>
          <w:szCs w:val="21"/>
        </w:rPr>
        <w:t>代理</w:t>
      </w:r>
    </w:p>
    <w:p w14:paraId="319E4EC2">
      <w:pPr>
        <w:spacing w:line="276" w:lineRule="auto"/>
        <w:ind w:firstLine="422" w:firstLineChars="200"/>
        <w:outlineLvl w:val="2"/>
        <w:rPr>
          <w:rFonts w:ascii="宋体" w:hAnsi="宋体"/>
          <w:b/>
          <w:szCs w:val="21"/>
        </w:rPr>
      </w:pPr>
      <w:r>
        <w:rPr>
          <w:rFonts w:hint="eastAsia" w:ascii="宋体" w:hAnsi="宋体"/>
          <w:b/>
          <w:szCs w:val="21"/>
        </w:rPr>
        <w:t>（一）表见代理</w:t>
      </w:r>
    </w:p>
    <w:p w14:paraId="333C85F8">
      <w:pPr>
        <w:spacing w:line="276" w:lineRule="auto"/>
        <w:ind w:firstLine="420" w:firstLineChars="200"/>
        <w:rPr>
          <w:rFonts w:ascii="宋体" w:hAnsi="宋体"/>
          <w:szCs w:val="21"/>
        </w:rPr>
      </w:pPr>
      <w:r>
        <w:rPr>
          <w:rFonts w:hint="eastAsia" w:ascii="宋体" w:hAnsi="宋体"/>
          <w:szCs w:val="21"/>
        </w:rPr>
        <w:t>1.构成要件</w:t>
      </w:r>
    </w:p>
    <w:p w14:paraId="53C65AE8">
      <w:pPr>
        <w:spacing w:line="276" w:lineRule="auto"/>
        <w:ind w:firstLine="420" w:firstLineChars="200"/>
        <w:rPr>
          <w:rFonts w:ascii="宋体" w:hAnsi="宋体"/>
          <w:szCs w:val="21"/>
        </w:rPr>
      </w:pPr>
      <w:r>
        <w:rPr>
          <w:rFonts w:hint="eastAsia" w:ascii="宋体" w:hAnsi="宋体"/>
          <w:szCs w:val="21"/>
        </w:rPr>
        <w:t>（1）无权代理人以他人名义实施代理行为；</w:t>
      </w:r>
    </w:p>
    <w:p w14:paraId="62787718">
      <w:pPr>
        <w:spacing w:line="276" w:lineRule="auto"/>
        <w:ind w:firstLine="420" w:firstLineChars="200"/>
        <w:rPr>
          <w:szCs w:val="21"/>
        </w:rPr>
      </w:pPr>
      <w:r>
        <w:rPr>
          <w:rFonts w:hint="eastAsia" w:ascii="宋体" w:hAnsi="宋体"/>
          <w:szCs w:val="21"/>
        </w:rPr>
        <w:t>（2）</w:t>
      </w:r>
      <w:r>
        <w:rPr>
          <w:rFonts w:hint="eastAsia"/>
          <w:szCs w:val="21"/>
        </w:rPr>
        <w:t>代理人欠缺代理权；</w:t>
      </w:r>
    </w:p>
    <w:p w14:paraId="726AC727">
      <w:pPr>
        <w:spacing w:line="276"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）有使相对人相信行为人具有代理权的事实和理由，相对人善意且无过失（</w:t>
      </w:r>
      <w:r>
        <w:rPr>
          <w:rFonts w:hint="eastAsia" w:ascii="宋体" w:hAnsi="宋体"/>
          <w:color w:val="FF0000"/>
          <w:szCs w:val="21"/>
        </w:rPr>
        <w:t>不知代理人欠缺代理权，且没有疏忽或懈怠</w:t>
      </w:r>
      <w:r>
        <w:rPr>
          <w:rFonts w:hint="eastAsia" w:ascii="宋体" w:hAnsi="宋体"/>
          <w:szCs w:val="21"/>
        </w:rPr>
        <w:t>）；</w:t>
      </w:r>
    </w:p>
    <w:p w14:paraId="53180710">
      <w:pPr>
        <w:spacing w:line="276" w:lineRule="auto"/>
        <w:ind w:firstLine="420" w:firstLineChars="200"/>
        <w:rPr>
          <w:rFonts w:hint="default" w:ascii="宋体" w:hAnsi="宋体" w:eastAsia="宋体"/>
          <w:szCs w:val="21"/>
          <w:lang w:val="en-US" w:eastAsia="zh-CN"/>
        </w:rPr>
      </w:pPr>
      <w:r>
        <w:rPr>
          <w:rFonts w:hint="eastAsia" w:ascii="宋体" w:hAnsi="宋体"/>
          <w:szCs w:val="21"/>
        </w:rPr>
        <w:t>（</w:t>
      </w:r>
      <w:r>
        <w:rPr>
          <w:rFonts w:ascii="宋体" w:hAnsi="宋体"/>
          <w:szCs w:val="21"/>
        </w:rPr>
        <w:t>4</w:t>
      </w:r>
      <w:r>
        <w:rPr>
          <w:rFonts w:hint="eastAsia" w:ascii="宋体" w:hAnsi="宋体"/>
          <w:szCs w:val="21"/>
        </w:rPr>
        <w:t>）</w:t>
      </w:r>
      <w:r>
        <w:rPr>
          <w:rFonts w:hint="eastAsia" w:ascii="宋体" w:hAnsi="宋体"/>
          <w:color w:val="FF0000"/>
          <w:szCs w:val="21"/>
          <w:u w:val="single"/>
        </w:rPr>
        <w:t>被代理人有主观上的可归咎性</w:t>
      </w:r>
      <w:r>
        <w:rPr>
          <w:rFonts w:hint="eastAsia" w:ascii="宋体" w:hAnsi="宋体"/>
          <w:szCs w:val="21"/>
        </w:rPr>
        <w:t>。</w:t>
      </w:r>
      <w:r>
        <w:rPr>
          <w:rFonts w:hint="eastAsia" w:ascii="宋体" w:hAnsi="宋体"/>
          <w:szCs w:val="21"/>
          <w:lang w:val="en-US" w:eastAsia="zh-CN"/>
        </w:rPr>
        <w:t>伪造公章等不构成表见代理</w:t>
      </w:r>
    </w:p>
    <w:p w14:paraId="2212AC1F">
      <w:pPr>
        <w:spacing w:line="276" w:lineRule="auto"/>
        <w:ind w:firstLine="420" w:firstLineChars="200"/>
        <w:rPr>
          <w:rFonts w:hint="eastAsia" w:ascii="宋体" w:hAnsi="宋体"/>
          <w:szCs w:val="21"/>
        </w:rPr>
      </w:pPr>
      <w:r>
        <w:rPr>
          <w:rFonts w:hint="eastAsia" w:ascii="宋体" w:hAnsi="宋体"/>
          <w:szCs w:val="21"/>
        </w:rPr>
        <w:t>同时符合下列条件的，人民法院可以认定为民法典第一百七十二条规定的相对人有理由相信行为人有代理权：</w:t>
      </w:r>
    </w:p>
    <w:p w14:paraId="2C22414F">
      <w:pPr>
        <w:spacing w:line="276" w:lineRule="auto"/>
        <w:ind w:firstLine="420" w:firstLineChars="200"/>
        <w:rPr>
          <w:rFonts w:hint="eastAsia" w:ascii="宋体" w:hAnsi="宋体"/>
          <w:szCs w:val="21"/>
        </w:rPr>
      </w:pPr>
      <w:r>
        <w:rPr>
          <w:rFonts w:hint="eastAsia" w:ascii="宋体" w:hAnsi="宋体"/>
          <w:szCs w:val="21"/>
        </w:rPr>
        <w:t>（一）存在代理权的外观；</w:t>
      </w:r>
    </w:p>
    <w:p w14:paraId="5DB6256A">
      <w:pPr>
        <w:spacing w:line="276" w:lineRule="auto"/>
        <w:ind w:firstLine="420" w:firstLineChars="200"/>
        <w:rPr>
          <w:rFonts w:hint="eastAsia" w:ascii="宋体" w:hAnsi="宋体"/>
          <w:szCs w:val="21"/>
        </w:rPr>
      </w:pPr>
      <w:r>
        <w:rPr>
          <w:rFonts w:hint="eastAsia" w:ascii="宋体" w:hAnsi="宋体"/>
          <w:szCs w:val="21"/>
        </w:rPr>
        <w:t>（二）相对人不知道行为人行为时没有代理权，且无过失。</w:t>
      </w:r>
    </w:p>
    <w:p w14:paraId="468B5AE1">
      <w:pPr>
        <w:spacing w:line="276" w:lineRule="auto"/>
        <w:ind w:firstLine="420" w:firstLineChars="200"/>
        <w:rPr>
          <w:rFonts w:hint="eastAsia" w:ascii="宋体" w:hAnsi="宋体"/>
          <w:szCs w:val="21"/>
        </w:rPr>
      </w:pPr>
      <w:r>
        <w:rPr>
          <w:rFonts w:hint="eastAsia" w:ascii="宋体" w:hAnsi="宋体"/>
          <w:color w:val="FF0000"/>
          <w:szCs w:val="21"/>
        </w:rPr>
        <w:t>因是否构成表见代理发生争议的，相对人应当就无权代理符合前款第一项规定的条件承担举证责任；被代理人应当就相对人不符合前款第二项规定的条件承担举证责任</w:t>
      </w:r>
      <w:r>
        <w:rPr>
          <w:rFonts w:hint="eastAsia" w:ascii="宋体" w:hAnsi="宋体"/>
          <w:szCs w:val="21"/>
        </w:rPr>
        <w:t>。</w:t>
      </w:r>
    </w:p>
    <w:p w14:paraId="69EE18D6">
      <w:pPr>
        <w:spacing w:line="276" w:lineRule="auto"/>
        <w:ind w:firstLine="420" w:firstLineChars="200"/>
        <w:rPr>
          <w:rFonts w:ascii="宋体" w:hAnsi="宋体"/>
          <w:szCs w:val="21"/>
        </w:rPr>
      </w:pPr>
      <w:r>
        <w:rPr>
          <w:rFonts w:hint="eastAsia" w:ascii="宋体" w:hAnsi="宋体"/>
          <w:szCs w:val="21"/>
        </w:rPr>
        <w:t>2.效力</w:t>
      </w:r>
    </w:p>
    <w:p w14:paraId="49358521">
      <w:pPr>
        <w:spacing w:line="276" w:lineRule="auto"/>
        <w:ind w:firstLine="420" w:firstLineChars="200"/>
        <w:rPr>
          <w:rFonts w:ascii="宋体" w:hAnsi="宋体"/>
          <w:szCs w:val="21"/>
        </w:rPr>
      </w:pPr>
      <w:r>
        <w:rPr>
          <w:rFonts w:hint="eastAsia" w:ascii="宋体" w:hAnsi="宋体"/>
          <w:szCs w:val="21"/>
        </w:rPr>
        <w:t>相对人有权主张表见代理有效，</w:t>
      </w:r>
      <w:r>
        <w:rPr>
          <w:rFonts w:hint="eastAsia" w:ascii="宋体" w:hAnsi="宋体"/>
          <w:color w:val="FF0000"/>
          <w:szCs w:val="21"/>
        </w:rPr>
        <w:t>故对本人产生有权代理的法律后果</w:t>
      </w:r>
      <w:r>
        <w:rPr>
          <w:rFonts w:hint="eastAsia" w:ascii="宋体" w:hAnsi="宋体"/>
          <w:szCs w:val="21"/>
          <w:lang w:eastAsia="zh-CN"/>
        </w:rPr>
        <w:t>。</w:t>
      </w:r>
      <w:r>
        <w:rPr>
          <w:rFonts w:hint="eastAsia" w:ascii="宋体" w:hAnsi="宋体"/>
          <w:szCs w:val="21"/>
        </w:rPr>
        <w:t>被代理人承担表见代理行为后果而蒙受损失的，可以向无权代理人追偿。</w:t>
      </w:r>
    </w:p>
    <w:p w14:paraId="494D85EB">
      <w:pPr>
        <w:spacing w:line="480" w:lineRule="auto"/>
        <w:ind w:firstLine="422" w:firstLineChars="200"/>
        <w:outlineLvl w:val="2"/>
        <w:rPr>
          <w:rFonts w:ascii="宋体" w:hAnsi="宋体"/>
          <w:b/>
          <w:szCs w:val="21"/>
        </w:rPr>
      </w:pPr>
      <w:r>
        <w:rPr>
          <w:rFonts w:hint="eastAsia" w:ascii="宋体" w:hAnsi="宋体"/>
          <w:b/>
          <w:szCs w:val="21"/>
        </w:rPr>
        <w:t>（二）狭义的无权代理</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21"/>
      </w:tblGrid>
      <w:tr w14:paraId="0F57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101" w:type="dxa"/>
            <w:vMerge w:val="restart"/>
            <w:noWrap w:val="0"/>
            <w:vAlign w:val="center"/>
          </w:tcPr>
          <w:p w14:paraId="3081D31F">
            <w:pPr>
              <w:spacing w:line="276" w:lineRule="auto"/>
              <w:jc w:val="center"/>
              <w:rPr>
                <w:rFonts w:ascii="宋体" w:hAnsi="宋体"/>
                <w:b/>
                <w:kern w:val="0"/>
                <w:szCs w:val="21"/>
              </w:rPr>
            </w:pPr>
            <w:r>
              <w:rPr>
                <w:rFonts w:hint="eastAsia" w:ascii="宋体" w:hAnsi="宋体"/>
                <w:b/>
                <w:kern w:val="0"/>
                <w:szCs w:val="21"/>
              </w:rPr>
              <w:t>类型</w:t>
            </w:r>
          </w:p>
        </w:tc>
        <w:tc>
          <w:tcPr>
            <w:tcW w:w="7421" w:type="dxa"/>
            <w:noWrap w:val="0"/>
            <w:vAlign w:val="center"/>
          </w:tcPr>
          <w:p w14:paraId="1A390BC4">
            <w:pPr>
              <w:spacing w:line="276" w:lineRule="auto"/>
              <w:jc w:val="left"/>
              <w:rPr>
                <w:rFonts w:ascii="宋体" w:hAnsi="宋体"/>
                <w:kern w:val="0"/>
                <w:szCs w:val="21"/>
              </w:rPr>
            </w:pPr>
            <w:r>
              <w:rPr>
                <w:rFonts w:hint="eastAsia" w:ascii="宋体" w:hAnsi="宋体"/>
                <w:kern w:val="0"/>
                <w:szCs w:val="21"/>
              </w:rPr>
              <w:t>1.没有代理权的无权代理</w:t>
            </w:r>
          </w:p>
        </w:tc>
      </w:tr>
      <w:tr w14:paraId="7C4A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101" w:type="dxa"/>
            <w:vMerge w:val="continue"/>
            <w:noWrap w:val="0"/>
            <w:vAlign w:val="center"/>
          </w:tcPr>
          <w:p w14:paraId="4F62D1B3">
            <w:pPr>
              <w:spacing w:line="276" w:lineRule="auto"/>
              <w:jc w:val="center"/>
              <w:rPr>
                <w:rFonts w:ascii="宋体" w:hAnsi="宋体"/>
                <w:b/>
                <w:kern w:val="0"/>
                <w:szCs w:val="21"/>
              </w:rPr>
            </w:pPr>
          </w:p>
        </w:tc>
        <w:tc>
          <w:tcPr>
            <w:tcW w:w="7421" w:type="dxa"/>
            <w:noWrap w:val="0"/>
            <w:vAlign w:val="center"/>
          </w:tcPr>
          <w:p w14:paraId="2E7838DE">
            <w:pPr>
              <w:spacing w:line="276" w:lineRule="auto"/>
              <w:jc w:val="left"/>
              <w:rPr>
                <w:rFonts w:ascii="宋体" w:hAnsi="宋体"/>
                <w:kern w:val="0"/>
                <w:szCs w:val="21"/>
              </w:rPr>
            </w:pPr>
            <w:r>
              <w:rPr>
                <w:rFonts w:hint="eastAsia" w:ascii="宋体" w:hAnsi="宋体"/>
                <w:kern w:val="0"/>
                <w:szCs w:val="21"/>
              </w:rPr>
              <w:t>2.超越代理权的无权代理</w:t>
            </w:r>
          </w:p>
        </w:tc>
      </w:tr>
      <w:tr w14:paraId="3B2F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101" w:type="dxa"/>
            <w:vMerge w:val="continue"/>
            <w:noWrap w:val="0"/>
            <w:vAlign w:val="center"/>
          </w:tcPr>
          <w:p w14:paraId="34623CBB">
            <w:pPr>
              <w:spacing w:line="276" w:lineRule="auto"/>
              <w:jc w:val="center"/>
              <w:rPr>
                <w:rFonts w:ascii="宋体" w:hAnsi="宋体"/>
                <w:b/>
                <w:kern w:val="0"/>
                <w:szCs w:val="21"/>
              </w:rPr>
            </w:pPr>
          </w:p>
        </w:tc>
        <w:tc>
          <w:tcPr>
            <w:tcW w:w="7421" w:type="dxa"/>
            <w:noWrap w:val="0"/>
            <w:vAlign w:val="center"/>
          </w:tcPr>
          <w:p w14:paraId="0A11D1EE">
            <w:pPr>
              <w:spacing w:line="276" w:lineRule="auto"/>
              <w:jc w:val="left"/>
              <w:rPr>
                <w:rFonts w:ascii="宋体" w:hAnsi="宋体"/>
                <w:kern w:val="0"/>
                <w:szCs w:val="21"/>
              </w:rPr>
            </w:pPr>
            <w:r>
              <w:rPr>
                <w:rFonts w:hint="eastAsia" w:ascii="宋体" w:hAnsi="宋体"/>
                <w:kern w:val="0"/>
                <w:szCs w:val="21"/>
              </w:rPr>
              <w:t>3.代理权终止后的无权代理</w:t>
            </w:r>
          </w:p>
        </w:tc>
      </w:tr>
      <w:tr w14:paraId="3885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1101" w:type="dxa"/>
            <w:noWrap w:val="0"/>
            <w:vAlign w:val="center"/>
          </w:tcPr>
          <w:p w14:paraId="2DD7B2F9">
            <w:pPr>
              <w:spacing w:line="276" w:lineRule="auto"/>
              <w:jc w:val="center"/>
              <w:rPr>
                <w:rFonts w:ascii="宋体" w:hAnsi="宋体"/>
                <w:b/>
                <w:kern w:val="0"/>
                <w:szCs w:val="21"/>
              </w:rPr>
            </w:pPr>
            <w:r>
              <w:rPr>
                <w:rFonts w:hint="eastAsia" w:ascii="宋体" w:hAnsi="宋体"/>
                <w:b/>
                <w:kern w:val="0"/>
                <w:szCs w:val="21"/>
              </w:rPr>
              <w:t>被代理人的权利</w:t>
            </w:r>
          </w:p>
        </w:tc>
        <w:tc>
          <w:tcPr>
            <w:tcW w:w="7421" w:type="dxa"/>
            <w:noWrap w:val="0"/>
            <w:vAlign w:val="center"/>
          </w:tcPr>
          <w:p w14:paraId="257CA054">
            <w:pPr>
              <w:spacing w:line="276" w:lineRule="auto"/>
              <w:jc w:val="left"/>
              <w:rPr>
                <w:rFonts w:ascii="宋体" w:hAnsi="宋体"/>
                <w:kern w:val="0"/>
                <w:szCs w:val="21"/>
              </w:rPr>
            </w:pPr>
            <w:r>
              <w:rPr>
                <w:rFonts w:hint="eastAsia" w:ascii="宋体" w:hAnsi="宋体"/>
                <w:kern w:val="0"/>
                <w:szCs w:val="21"/>
              </w:rPr>
              <w:t>追认权：被代理人可通过追认对无权代理行为予以事后承认，使行为人代理权得以补正，</w:t>
            </w:r>
            <w:r>
              <w:rPr>
                <w:rFonts w:hint="eastAsia" w:ascii="宋体" w:hAnsi="宋体"/>
                <w:color w:val="FF0000"/>
                <w:kern w:val="0"/>
                <w:szCs w:val="21"/>
              </w:rPr>
              <w:t>代理行为有效，代理行为的法律后果归属于被代理人</w:t>
            </w:r>
            <w:r>
              <w:rPr>
                <w:rFonts w:hint="eastAsia" w:ascii="宋体" w:hAnsi="宋体"/>
                <w:kern w:val="0"/>
                <w:szCs w:val="21"/>
              </w:rPr>
              <w:t>；</w:t>
            </w:r>
          </w:p>
        </w:tc>
      </w:tr>
      <w:tr w14:paraId="752E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101" w:type="dxa"/>
            <w:vMerge w:val="restart"/>
            <w:noWrap w:val="0"/>
            <w:vAlign w:val="center"/>
          </w:tcPr>
          <w:p w14:paraId="41674348">
            <w:pPr>
              <w:spacing w:line="276" w:lineRule="auto"/>
              <w:jc w:val="center"/>
              <w:rPr>
                <w:rFonts w:ascii="宋体" w:hAnsi="宋体"/>
                <w:b/>
                <w:kern w:val="0"/>
                <w:szCs w:val="21"/>
              </w:rPr>
            </w:pPr>
            <w:r>
              <w:rPr>
                <w:rFonts w:hint="eastAsia" w:ascii="宋体" w:hAnsi="宋体"/>
                <w:b/>
                <w:kern w:val="0"/>
                <w:szCs w:val="21"/>
              </w:rPr>
              <w:t>相对人的权利</w:t>
            </w:r>
          </w:p>
        </w:tc>
        <w:tc>
          <w:tcPr>
            <w:tcW w:w="7421" w:type="dxa"/>
            <w:noWrap w:val="0"/>
            <w:vAlign w:val="center"/>
          </w:tcPr>
          <w:p w14:paraId="5B0DE403">
            <w:pPr>
              <w:spacing w:line="276" w:lineRule="auto"/>
              <w:jc w:val="left"/>
              <w:rPr>
                <w:rFonts w:ascii="宋体" w:hAnsi="宋体"/>
                <w:kern w:val="0"/>
                <w:szCs w:val="21"/>
              </w:rPr>
            </w:pPr>
            <w:r>
              <w:rPr>
                <w:rFonts w:hint="eastAsia" w:ascii="宋体" w:hAnsi="宋体"/>
                <w:kern w:val="0"/>
                <w:szCs w:val="21"/>
              </w:rPr>
              <w:t>1.催告权：相对人可向被代理人催告，</w:t>
            </w:r>
            <w:r>
              <w:rPr>
                <w:rFonts w:hint="eastAsia" w:ascii="宋体" w:hAnsi="宋体"/>
                <w:color w:val="FF0000"/>
                <w:kern w:val="0"/>
                <w:szCs w:val="21"/>
                <w:lang w:val="en-US" w:eastAsia="zh-CN"/>
              </w:rPr>
              <w:t>30天未表示视为拒绝</w:t>
            </w:r>
            <w:r>
              <w:rPr>
                <w:rFonts w:hint="eastAsia" w:ascii="宋体" w:hAnsi="宋体"/>
                <w:kern w:val="0"/>
                <w:szCs w:val="21"/>
              </w:rPr>
              <w:t>；</w:t>
            </w:r>
          </w:p>
        </w:tc>
      </w:tr>
      <w:tr w14:paraId="63BD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01" w:type="dxa"/>
            <w:vMerge w:val="continue"/>
            <w:noWrap w:val="0"/>
            <w:vAlign w:val="center"/>
          </w:tcPr>
          <w:p w14:paraId="03B72B5E">
            <w:pPr>
              <w:spacing w:line="276" w:lineRule="auto"/>
              <w:jc w:val="center"/>
              <w:rPr>
                <w:rFonts w:ascii="宋体" w:hAnsi="宋体"/>
                <w:kern w:val="0"/>
                <w:szCs w:val="21"/>
              </w:rPr>
            </w:pPr>
          </w:p>
        </w:tc>
        <w:tc>
          <w:tcPr>
            <w:tcW w:w="7421" w:type="dxa"/>
            <w:noWrap w:val="0"/>
            <w:vAlign w:val="center"/>
          </w:tcPr>
          <w:p w14:paraId="415CD61F">
            <w:pPr>
              <w:spacing w:line="276" w:lineRule="auto"/>
              <w:jc w:val="left"/>
              <w:rPr>
                <w:rFonts w:ascii="宋体" w:hAnsi="宋体"/>
                <w:kern w:val="0"/>
                <w:szCs w:val="21"/>
              </w:rPr>
            </w:pPr>
            <w:r>
              <w:rPr>
                <w:rFonts w:hint="eastAsia" w:ascii="宋体" w:hAnsi="宋体"/>
                <w:kern w:val="0"/>
                <w:szCs w:val="21"/>
              </w:rPr>
              <w:t>2.撤销权：仅善意相对人享有，</w:t>
            </w:r>
            <w:r>
              <w:rPr>
                <w:rFonts w:hint="eastAsia" w:ascii="宋体" w:hAnsi="宋体"/>
                <w:color w:val="FF0000"/>
                <w:kern w:val="0"/>
                <w:szCs w:val="21"/>
              </w:rPr>
              <w:t>可在追认生效前以通知的方式撤销其意思表示</w:t>
            </w:r>
            <w:r>
              <w:rPr>
                <w:rFonts w:hint="eastAsia" w:ascii="宋体" w:hAnsi="宋体"/>
                <w:kern w:val="0"/>
                <w:szCs w:val="21"/>
              </w:rPr>
              <w:t>。</w:t>
            </w:r>
          </w:p>
        </w:tc>
      </w:tr>
      <w:tr w14:paraId="0A58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01" w:type="dxa"/>
            <w:noWrap w:val="0"/>
            <w:vAlign w:val="center"/>
          </w:tcPr>
          <w:p w14:paraId="2EB6D874">
            <w:pPr>
              <w:spacing w:line="276" w:lineRule="auto"/>
              <w:jc w:val="center"/>
              <w:rPr>
                <w:rFonts w:hint="default" w:ascii="宋体" w:hAnsi="宋体" w:eastAsia="宋体"/>
                <w:kern w:val="0"/>
                <w:szCs w:val="21"/>
                <w:lang w:val="en-US" w:eastAsia="zh-CN"/>
              </w:rPr>
            </w:pPr>
            <w:r>
              <w:rPr>
                <w:rFonts w:hint="eastAsia" w:ascii="宋体" w:hAnsi="宋体"/>
                <w:b/>
                <w:bCs/>
                <w:kern w:val="0"/>
                <w:szCs w:val="21"/>
                <w:lang w:val="en-US" w:eastAsia="zh-CN"/>
              </w:rPr>
              <w:t>无权代理人赔偿责任</w:t>
            </w:r>
          </w:p>
        </w:tc>
        <w:tc>
          <w:tcPr>
            <w:tcW w:w="7421" w:type="dxa"/>
            <w:noWrap w:val="0"/>
            <w:vAlign w:val="center"/>
          </w:tcPr>
          <w:p w14:paraId="14EFC338">
            <w:pPr>
              <w:spacing w:line="276" w:lineRule="auto"/>
              <w:jc w:val="left"/>
              <w:rPr>
                <w:rFonts w:hint="eastAsia" w:ascii="宋体" w:hAnsi="宋体"/>
                <w:kern w:val="0"/>
                <w:szCs w:val="21"/>
              </w:rPr>
            </w:pPr>
            <w:r>
              <w:rPr>
                <w:rFonts w:hint="eastAsia" w:ascii="宋体" w:hAnsi="宋体"/>
                <w:kern w:val="0"/>
                <w:szCs w:val="21"/>
              </w:rPr>
              <w:t>行为人实施的行为未被追认的，善意相对人</w:t>
            </w:r>
            <w:r>
              <w:rPr>
                <w:rFonts w:hint="eastAsia" w:ascii="宋体" w:hAnsi="宋体"/>
                <w:color w:val="FF0000"/>
                <w:kern w:val="0"/>
                <w:szCs w:val="21"/>
                <w:lang w:eastAsia="zh-CN"/>
              </w:rPr>
              <w:t>（</w:t>
            </w:r>
            <w:r>
              <w:rPr>
                <w:rFonts w:hint="eastAsia" w:ascii="宋体" w:hAnsi="宋体"/>
                <w:color w:val="FF0000"/>
                <w:kern w:val="0"/>
                <w:szCs w:val="21"/>
                <w:lang w:val="en-US" w:eastAsia="zh-CN"/>
              </w:rPr>
              <w:t>未满足表见代理要件</w:t>
            </w:r>
            <w:r>
              <w:rPr>
                <w:rFonts w:hint="eastAsia" w:ascii="宋体" w:hAnsi="宋体"/>
                <w:color w:val="FF0000"/>
                <w:kern w:val="0"/>
                <w:szCs w:val="21"/>
                <w:lang w:eastAsia="zh-CN"/>
              </w:rPr>
              <w:t>）</w:t>
            </w:r>
            <w:r>
              <w:rPr>
                <w:rFonts w:hint="eastAsia" w:ascii="宋体" w:hAnsi="宋体"/>
                <w:kern w:val="0"/>
                <w:szCs w:val="21"/>
              </w:rPr>
              <w:t>有权请求</w:t>
            </w:r>
            <w:r>
              <w:rPr>
                <w:rFonts w:hint="eastAsia" w:ascii="宋体" w:hAnsi="宋体"/>
                <w:color w:val="FF0000"/>
                <w:kern w:val="0"/>
                <w:szCs w:val="21"/>
              </w:rPr>
              <w:t>行为人履行债务或者就其受到的损害请求行为人赔偿。但是，赔偿的范围不得超过被代理人追认时相对人所能获得的利益</w:t>
            </w:r>
            <w:r>
              <w:rPr>
                <w:rFonts w:hint="eastAsia" w:ascii="宋体" w:hAnsi="宋体"/>
                <w:kern w:val="0"/>
                <w:szCs w:val="21"/>
              </w:rPr>
              <w:t>。</w:t>
            </w:r>
          </w:p>
          <w:p w14:paraId="1B7AA91E">
            <w:pPr>
              <w:spacing w:line="276" w:lineRule="auto"/>
              <w:jc w:val="left"/>
              <w:rPr>
                <w:rFonts w:hint="eastAsia" w:ascii="宋体" w:hAnsi="宋体"/>
                <w:kern w:val="0"/>
                <w:szCs w:val="21"/>
              </w:rPr>
            </w:pPr>
            <w:r>
              <w:rPr>
                <w:rFonts w:hint="eastAsia" w:ascii="宋体" w:hAnsi="宋体"/>
                <w:kern w:val="0"/>
                <w:szCs w:val="21"/>
              </w:rPr>
              <w:t>相对人知道或者应当知道行为人无权代理的，相对人和行为人按照各自的过错承担责任。</w:t>
            </w:r>
          </w:p>
        </w:tc>
      </w:tr>
    </w:tbl>
    <w:p w14:paraId="35493CF3">
      <w:pPr>
        <w:spacing w:line="276" w:lineRule="auto"/>
        <w:rPr>
          <w:rFonts w:ascii="仿宋" w:hAnsi="仿宋" w:eastAsia="仿宋" w:cs="仿宋"/>
          <w:b/>
          <w:szCs w:val="21"/>
        </w:rPr>
      </w:pPr>
    </w:p>
    <w:p w14:paraId="1B0AED0C">
      <w:pPr>
        <w:pStyle w:val="6"/>
        <w:spacing w:line="276" w:lineRule="auto"/>
        <w:rPr>
          <w:rFonts w:hint="eastAsia" w:ascii="宋体" w:hAnsi="宋体" w:eastAsia="宋体" w:cs="宋体"/>
          <w:kern w:val="0"/>
          <w:szCs w:val="21"/>
          <w:lang w:eastAsia="zh-CN"/>
        </w:rPr>
      </w:pPr>
      <w:bookmarkStart w:id="7" w:name="_Toc514093056"/>
      <w:bookmarkStart w:id="8" w:name="_Toc33346102"/>
      <w:bookmarkStart w:id="9" w:name="_Toc28035"/>
      <w:bookmarkStart w:id="10" w:name="_Toc4856987"/>
      <w:r>
        <w:rPr>
          <w:rFonts w:hint="eastAsia"/>
          <w:color w:val="auto"/>
          <w:sz w:val="36"/>
          <w:szCs w:val="36"/>
        </w:rPr>
        <w:t>考点6  诉讼时效</w:t>
      </w:r>
      <w:bookmarkEnd w:id="7"/>
      <w:bookmarkEnd w:id="8"/>
      <w:bookmarkEnd w:id="9"/>
      <w:bookmarkEnd w:id="10"/>
    </w:p>
    <w:p w14:paraId="706595ED">
      <w:pPr>
        <w:spacing w:line="276" w:lineRule="auto"/>
        <w:jc w:val="left"/>
        <w:outlineLvl w:val="1"/>
        <w:rPr>
          <w:rFonts w:ascii="宋体" w:hAnsi="宋体"/>
          <w:b/>
          <w:strike/>
          <w:szCs w:val="21"/>
        </w:rPr>
      </w:pPr>
      <w:r>
        <w:rPr>
          <w:rFonts w:hint="eastAsia" w:ascii="宋体" w:hAnsi="宋体"/>
          <w:b/>
          <w:szCs w:val="21"/>
        </w:rPr>
        <w:t xml:space="preserve">    一、诉讼时效规范的强行法规范属性</w:t>
      </w:r>
    </w:p>
    <w:p w14:paraId="09D459E3">
      <w:pPr>
        <w:spacing w:line="276" w:lineRule="auto"/>
        <w:ind w:firstLine="480"/>
        <w:rPr>
          <w:rFonts w:hint="eastAsia"/>
          <w:szCs w:val="21"/>
        </w:rPr>
      </w:pPr>
      <w:r>
        <w:rPr>
          <w:rFonts w:hint="eastAsia"/>
          <w:szCs w:val="21"/>
          <w:u w:val="single"/>
        </w:rPr>
        <w:t>时效期间具有法定性</w:t>
      </w:r>
      <w:r>
        <w:rPr>
          <w:rFonts w:hint="eastAsia"/>
          <w:szCs w:val="21"/>
        </w:rPr>
        <w:t>，当事人不可以约定改变。以约定延长、缩短或预先抛弃时效抗辩利益的，该约定均无效。</w:t>
      </w:r>
    </w:p>
    <w:p w14:paraId="770D3AFB">
      <w:pPr>
        <w:spacing w:line="276" w:lineRule="auto"/>
        <w:ind w:firstLine="480"/>
        <w:rPr>
          <w:rFonts w:ascii="宋体" w:hAnsi="宋体"/>
          <w:b/>
          <w:szCs w:val="28"/>
        </w:rPr>
      </w:pPr>
      <w:r>
        <w:rPr>
          <w:rFonts w:hint="eastAsia"/>
          <w:color w:val="FF0000"/>
          <w:szCs w:val="21"/>
          <w:lang w:val="en-US" w:eastAsia="zh-CN"/>
        </w:rPr>
        <w:t>诉讼时效也不能预先放弃</w:t>
      </w:r>
    </w:p>
    <w:p w14:paraId="14C297AA">
      <w:pPr>
        <w:spacing w:line="276" w:lineRule="auto"/>
        <w:jc w:val="left"/>
        <w:outlineLvl w:val="1"/>
        <w:rPr>
          <w:rFonts w:ascii="宋体" w:hAnsi="宋体"/>
          <w:b/>
          <w:szCs w:val="21"/>
        </w:rPr>
      </w:pPr>
      <w:r>
        <w:rPr>
          <w:rFonts w:hint="eastAsia" w:ascii="宋体" w:hAnsi="宋体"/>
          <w:b/>
          <w:szCs w:val="21"/>
        </w:rPr>
        <w:t xml:space="preserve">    二</w:t>
      </w:r>
      <w:r>
        <w:rPr>
          <w:rFonts w:ascii="宋体" w:hAnsi="宋体"/>
          <w:b/>
          <w:szCs w:val="21"/>
        </w:rPr>
        <w:t>、诉讼时效的客体</w:t>
      </w:r>
    </w:p>
    <w:p w14:paraId="1670C72D">
      <w:pPr>
        <w:spacing w:line="276" w:lineRule="auto"/>
        <w:ind w:firstLine="420"/>
        <w:rPr>
          <w:rFonts w:hint="default" w:eastAsia="宋体"/>
          <w:color w:val="FF0000"/>
          <w:lang w:val="en-US" w:eastAsia="zh-CN"/>
        </w:rPr>
      </w:pPr>
      <w:r>
        <w:rPr>
          <w:rFonts w:hint="eastAsia"/>
        </w:rPr>
        <w:t>诉讼时效的客体仅限于请求权，不适用于形成权（另有除斥期间）</w:t>
      </w:r>
      <w:r>
        <w:rPr>
          <w:rFonts w:hint="eastAsia"/>
          <w:lang w:eastAsia="zh-CN"/>
        </w:rPr>
        <w:t>，</w:t>
      </w:r>
      <w:r>
        <w:rPr>
          <w:rFonts w:hint="eastAsia"/>
          <w:color w:val="FF0000"/>
          <w:lang w:val="en-US" w:eastAsia="zh-CN"/>
        </w:rPr>
        <w:t>也不适用支配权、抗辩权</w:t>
      </w:r>
    </w:p>
    <w:tbl>
      <w:tblPr>
        <w:tblStyle w:val="7"/>
        <w:tblpPr w:leftFromText="180" w:rightFromText="180" w:vertAnchor="text" w:horzAnchor="page" w:tblpXSpec="center" w:tblpY="29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7311"/>
      </w:tblGrid>
      <w:tr w14:paraId="3F61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015" w:type="dxa"/>
            <w:vMerge w:val="restart"/>
            <w:noWrap w:val="0"/>
            <w:vAlign w:val="center"/>
          </w:tcPr>
          <w:p w14:paraId="52162338">
            <w:pPr>
              <w:spacing w:line="276" w:lineRule="auto"/>
              <w:rPr>
                <w:b/>
                <w:kern w:val="0"/>
                <w:szCs w:val="21"/>
              </w:rPr>
            </w:pPr>
            <w:r>
              <w:rPr>
                <w:rFonts w:hint="eastAsia"/>
                <w:b/>
                <w:kern w:val="0"/>
                <w:szCs w:val="21"/>
              </w:rPr>
              <w:t>不适用诉讼时效的请求权归类</w:t>
            </w:r>
          </w:p>
        </w:tc>
        <w:tc>
          <w:tcPr>
            <w:tcW w:w="7311" w:type="dxa"/>
            <w:noWrap w:val="0"/>
            <w:vAlign w:val="center"/>
          </w:tcPr>
          <w:p w14:paraId="69A193DF">
            <w:pPr>
              <w:spacing w:line="276" w:lineRule="auto"/>
              <w:rPr>
                <w:rFonts w:ascii="宋体" w:hAnsi="宋体"/>
                <w:b/>
                <w:kern w:val="0"/>
                <w:szCs w:val="21"/>
              </w:rPr>
            </w:pPr>
            <w:r>
              <w:rPr>
                <w:rFonts w:hint="eastAsia" w:ascii="宋体" w:hAnsi="宋体"/>
                <w:b/>
                <w:kern w:val="0"/>
                <w:szCs w:val="21"/>
              </w:rPr>
              <w:t>《民法典》第1</w:t>
            </w:r>
            <w:r>
              <w:rPr>
                <w:rFonts w:ascii="宋体" w:hAnsi="宋体"/>
                <w:b/>
                <w:kern w:val="0"/>
                <w:szCs w:val="21"/>
              </w:rPr>
              <w:t>96条的规定</w:t>
            </w:r>
            <w:r>
              <w:rPr>
                <w:rFonts w:hint="eastAsia" w:ascii="宋体" w:hAnsi="宋体"/>
                <w:b/>
                <w:kern w:val="0"/>
                <w:szCs w:val="21"/>
              </w:rPr>
              <w:t>：</w:t>
            </w:r>
          </w:p>
          <w:p w14:paraId="009F5A1A">
            <w:pPr>
              <w:spacing w:line="276" w:lineRule="auto"/>
              <w:rPr>
                <w:rFonts w:ascii="宋体" w:hAnsi="宋体" w:cs="宋体"/>
                <w:kern w:val="0"/>
                <w:szCs w:val="21"/>
              </w:rPr>
            </w:pPr>
            <w:r>
              <w:rPr>
                <w:rFonts w:ascii="宋体" w:hAnsi="宋体"/>
                <w:kern w:val="0"/>
                <w:szCs w:val="21"/>
              </w:rPr>
              <w:t>1.</w:t>
            </w:r>
            <w:r>
              <w:rPr>
                <w:rFonts w:ascii="宋体" w:hAnsi="宋体" w:cs="宋体"/>
                <w:kern w:val="0"/>
                <w:szCs w:val="21"/>
              </w:rPr>
              <w:t>请求停止侵害、排除妨碍、消除危险不适用诉讼时效</w:t>
            </w:r>
            <w:r>
              <w:rPr>
                <w:rFonts w:hint="eastAsia" w:ascii="宋体" w:hAnsi="宋体" w:cs="宋体"/>
                <w:kern w:val="0"/>
                <w:szCs w:val="21"/>
              </w:rPr>
              <w:t>；</w:t>
            </w:r>
          </w:p>
          <w:p w14:paraId="02981F70">
            <w:pPr>
              <w:spacing w:line="276" w:lineRule="auto"/>
              <w:rPr>
                <w:rFonts w:ascii="宋体" w:hAnsi="宋体" w:cs="宋体"/>
                <w:color w:val="FF0000"/>
                <w:kern w:val="0"/>
                <w:szCs w:val="21"/>
              </w:rPr>
            </w:pPr>
            <w:r>
              <w:rPr>
                <w:rFonts w:hint="eastAsia" w:ascii="宋体" w:hAnsi="宋体"/>
                <w:kern w:val="0"/>
                <w:szCs w:val="21"/>
              </w:rPr>
              <w:t>【</w:t>
            </w:r>
            <w:r>
              <w:rPr>
                <w:rFonts w:hint="eastAsia" w:ascii="宋体" w:hAnsi="宋体"/>
                <w:kern w:val="0"/>
                <w:szCs w:val="21"/>
                <w:u w:val="single"/>
              </w:rPr>
              <w:t>绝对性权利的支配状态的维持不受时效限制</w:t>
            </w:r>
            <w:r>
              <w:rPr>
                <w:rFonts w:hint="eastAsia" w:ascii="宋体" w:hAnsi="宋体"/>
                <w:kern w:val="0"/>
                <w:szCs w:val="21"/>
                <w:u w:val="single"/>
                <w:lang w:eastAsia="zh-CN"/>
              </w:rPr>
              <w:t>、</w:t>
            </w:r>
            <w:r>
              <w:rPr>
                <w:rFonts w:hint="eastAsia" w:ascii="宋体" w:hAnsi="宋体"/>
                <w:color w:val="FF0000"/>
                <w:kern w:val="0"/>
                <w:szCs w:val="21"/>
                <w:u w:val="single"/>
                <w:lang w:val="en-US" w:eastAsia="zh-CN"/>
              </w:rPr>
              <w:t>人格权请求权也不适用诉讼时效</w:t>
            </w:r>
            <w:r>
              <w:rPr>
                <w:rFonts w:hint="eastAsia" w:ascii="宋体" w:hAnsi="宋体"/>
                <w:color w:val="FF0000"/>
                <w:kern w:val="0"/>
                <w:szCs w:val="21"/>
              </w:rPr>
              <w:t>】</w:t>
            </w:r>
          </w:p>
          <w:p w14:paraId="2AC5F55E">
            <w:pPr>
              <w:spacing w:line="276" w:lineRule="auto"/>
              <w:rPr>
                <w:rFonts w:ascii="宋体" w:hAnsi="宋体" w:cs="宋体"/>
                <w:kern w:val="0"/>
                <w:szCs w:val="21"/>
              </w:rPr>
            </w:pPr>
            <w:r>
              <w:rPr>
                <w:rFonts w:ascii="宋体" w:hAnsi="宋体"/>
                <w:kern w:val="0"/>
                <w:szCs w:val="21"/>
              </w:rPr>
              <w:t>2.</w:t>
            </w:r>
            <w:r>
              <w:rPr>
                <w:rFonts w:ascii="宋体" w:hAnsi="宋体" w:cs="宋体"/>
                <w:kern w:val="0"/>
                <w:szCs w:val="21"/>
              </w:rPr>
              <w:t>不动产物权和登记的动产物权的权利人请求返还财产；</w:t>
            </w:r>
          </w:p>
          <w:p w14:paraId="0939A956">
            <w:pPr>
              <w:spacing w:line="276" w:lineRule="auto"/>
              <w:rPr>
                <w:rFonts w:ascii="宋体" w:hAnsi="宋体" w:cs="宋体"/>
                <w:kern w:val="0"/>
                <w:szCs w:val="21"/>
                <w:u w:val="single"/>
              </w:rPr>
            </w:pPr>
            <w:r>
              <w:rPr>
                <w:rFonts w:hint="eastAsia" w:ascii="宋体" w:hAnsi="宋体" w:cs="宋体"/>
                <w:kern w:val="0"/>
                <w:szCs w:val="21"/>
              </w:rPr>
              <w:t>【</w:t>
            </w:r>
            <w:r>
              <w:rPr>
                <w:rFonts w:hint="eastAsia" w:ascii="宋体" w:hAnsi="宋体" w:cs="宋体"/>
                <w:color w:val="FF0000"/>
                <w:kern w:val="0"/>
                <w:szCs w:val="21"/>
                <w:lang w:val="en-US" w:eastAsia="zh-CN"/>
              </w:rPr>
              <w:t>未</w:t>
            </w:r>
            <w:r>
              <w:rPr>
                <w:rFonts w:hint="eastAsia" w:ascii="宋体" w:hAnsi="宋体" w:cs="宋体"/>
                <w:color w:val="FF0000"/>
                <w:kern w:val="0"/>
                <w:szCs w:val="21"/>
                <w:u w:val="single"/>
              </w:rPr>
              <w:t>登记之动产的返还，适用诉讼时效期间】</w:t>
            </w:r>
          </w:p>
          <w:p w14:paraId="0CEBE8F5">
            <w:pPr>
              <w:spacing w:line="276" w:lineRule="auto"/>
              <w:rPr>
                <w:rFonts w:ascii="宋体" w:hAnsi="宋体" w:cs="宋体"/>
                <w:kern w:val="0"/>
                <w:szCs w:val="21"/>
              </w:rPr>
            </w:pPr>
            <w:r>
              <w:rPr>
                <w:rFonts w:ascii="宋体" w:hAnsi="宋体" w:cs="宋体"/>
                <w:kern w:val="0"/>
                <w:szCs w:val="21"/>
              </w:rPr>
              <w:t>3.请求支付抚养费、赡养费或者扶养费；</w:t>
            </w:r>
          </w:p>
          <w:p w14:paraId="6D407C71">
            <w:pPr>
              <w:spacing w:line="276" w:lineRule="auto"/>
              <w:rPr>
                <w:rFonts w:ascii="宋体" w:hAnsi="宋体"/>
                <w:kern w:val="0"/>
                <w:szCs w:val="21"/>
              </w:rPr>
            </w:pPr>
            <w:r>
              <w:rPr>
                <w:rFonts w:hint="eastAsia" w:ascii="宋体" w:hAnsi="宋体"/>
                <w:kern w:val="0"/>
                <w:szCs w:val="21"/>
              </w:rPr>
              <w:t>【基于身份关系的债权请求权不受时效限制】</w:t>
            </w:r>
          </w:p>
          <w:p w14:paraId="736934B5">
            <w:pPr>
              <w:numPr>
                <w:ilvl w:val="0"/>
                <w:numId w:val="1"/>
              </w:numPr>
              <w:spacing w:line="276" w:lineRule="auto"/>
              <w:rPr>
                <w:rFonts w:hint="eastAsia" w:ascii="宋体" w:hAnsi="宋体"/>
                <w:kern w:val="0"/>
                <w:szCs w:val="21"/>
              </w:rPr>
            </w:pPr>
            <w:r>
              <w:rPr>
                <w:rFonts w:ascii="宋体" w:hAnsi="宋体" w:cs="宋体"/>
                <w:kern w:val="0"/>
                <w:szCs w:val="21"/>
              </w:rPr>
              <w:t>依法不适用诉讼时效的其他请求权</w:t>
            </w:r>
            <w:r>
              <w:rPr>
                <w:rFonts w:hint="eastAsia" w:ascii="宋体" w:hAnsi="宋体"/>
                <w:kern w:val="0"/>
                <w:szCs w:val="21"/>
              </w:rPr>
              <w:t>【如向人民法院请求确认合同效力、婚姻效力、失踪状态、行为能力状态等事实状态的权利，不受限制】。</w:t>
            </w:r>
          </w:p>
          <w:p w14:paraId="6F9628E1">
            <w:pPr>
              <w:numPr>
                <w:ilvl w:val="0"/>
                <w:numId w:val="0"/>
              </w:numPr>
              <w:spacing w:line="276" w:lineRule="auto"/>
              <w:rPr>
                <w:rFonts w:hint="default" w:ascii="宋体" w:hAnsi="宋体" w:eastAsia="汉仪中黑简"/>
                <w:kern w:val="0"/>
                <w:szCs w:val="21"/>
                <w:lang w:val="en-US" w:eastAsia="zh-CN"/>
              </w:rPr>
            </w:pPr>
            <w:r>
              <w:rPr>
                <w:rFonts w:hint="eastAsia" w:ascii="汉仪书宋二简" w:eastAsia="汉仪中黑简"/>
                <w:color w:val="FF0000"/>
              </w:rPr>
              <w:t>业主大会请求业主缴付公共维修基金</w:t>
            </w:r>
            <w:r>
              <w:rPr>
                <w:rFonts w:hint="eastAsia" w:ascii="汉仪书宋二简" w:eastAsia="汉仪中黑简"/>
                <w:color w:val="FF0000"/>
                <w:lang w:eastAsia="zh-CN"/>
              </w:rPr>
              <w:t>，</w:t>
            </w:r>
            <w:r>
              <w:rPr>
                <w:rFonts w:hint="eastAsia" w:ascii="汉仪书宋二简" w:eastAsia="汉仪中黑简"/>
                <w:color w:val="FF0000"/>
                <w:lang w:val="en-US" w:eastAsia="zh-CN"/>
              </w:rPr>
              <w:t>不适用诉讼时效</w:t>
            </w:r>
          </w:p>
        </w:tc>
      </w:tr>
      <w:tr w14:paraId="7E8C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vMerge w:val="continue"/>
            <w:noWrap w:val="0"/>
            <w:vAlign w:val="center"/>
          </w:tcPr>
          <w:p w14:paraId="61622158">
            <w:pPr>
              <w:spacing w:line="276" w:lineRule="auto"/>
              <w:rPr>
                <w:kern w:val="0"/>
                <w:szCs w:val="21"/>
              </w:rPr>
            </w:pPr>
          </w:p>
        </w:tc>
        <w:tc>
          <w:tcPr>
            <w:tcW w:w="7311" w:type="dxa"/>
            <w:noWrap w:val="0"/>
            <w:vAlign w:val="center"/>
          </w:tcPr>
          <w:p w14:paraId="39B6EA5F">
            <w:pPr>
              <w:spacing w:line="276" w:lineRule="auto"/>
              <w:rPr>
                <w:rFonts w:ascii="宋体" w:hAnsi="宋体"/>
                <w:b/>
                <w:kern w:val="0"/>
                <w:szCs w:val="21"/>
              </w:rPr>
            </w:pPr>
            <w:r>
              <w:rPr>
                <w:rFonts w:hint="eastAsia" w:ascii="宋体" w:hAnsi="宋体"/>
                <w:b/>
                <w:kern w:val="0"/>
                <w:szCs w:val="21"/>
              </w:rPr>
              <w:t>《诉讼时效规定》第1条规定：</w:t>
            </w:r>
          </w:p>
          <w:p w14:paraId="4C172226">
            <w:pPr>
              <w:spacing w:line="276" w:lineRule="auto"/>
              <w:rPr>
                <w:rFonts w:ascii="宋体" w:hAnsi="宋体" w:cs="宋体"/>
                <w:kern w:val="0"/>
                <w:szCs w:val="21"/>
              </w:rPr>
            </w:pPr>
            <w:r>
              <w:rPr>
                <w:rFonts w:ascii="宋体" w:hAnsi="宋体" w:cs="宋体"/>
                <w:kern w:val="0"/>
                <w:szCs w:val="21"/>
              </w:rPr>
              <w:t>1.支付存款本金及利息请求权；</w:t>
            </w:r>
          </w:p>
          <w:p w14:paraId="28A7F08B">
            <w:pPr>
              <w:spacing w:line="276" w:lineRule="auto"/>
              <w:rPr>
                <w:rFonts w:ascii="宋体" w:hAnsi="宋体"/>
                <w:kern w:val="0"/>
                <w:szCs w:val="21"/>
              </w:rPr>
            </w:pPr>
            <w:r>
              <w:rPr>
                <w:rFonts w:ascii="宋体" w:hAnsi="宋体"/>
                <w:kern w:val="0"/>
                <w:szCs w:val="21"/>
              </w:rPr>
              <w:t>2.兑付国债、金融债券以及向不特定对象发行的企业债券本息请求权；</w:t>
            </w:r>
          </w:p>
          <w:p w14:paraId="20E5F054">
            <w:pPr>
              <w:spacing w:line="276" w:lineRule="auto"/>
              <w:rPr>
                <w:rFonts w:ascii="宋体" w:hAnsi="宋体" w:cs="宋体"/>
                <w:kern w:val="0"/>
                <w:szCs w:val="21"/>
              </w:rPr>
            </w:pPr>
            <w:r>
              <w:rPr>
                <w:rFonts w:ascii="宋体" w:hAnsi="宋体"/>
                <w:kern w:val="0"/>
                <w:szCs w:val="21"/>
              </w:rPr>
              <w:t>3.</w:t>
            </w:r>
            <w:r>
              <w:rPr>
                <w:rFonts w:ascii="宋体" w:hAnsi="宋体" w:cs="宋体"/>
                <w:color w:val="FF0000"/>
                <w:kern w:val="0"/>
                <w:szCs w:val="21"/>
              </w:rPr>
              <w:t>基于投资关系产生的缴付出资请求权</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为了资本充实</w:t>
            </w:r>
            <w:r>
              <w:rPr>
                <w:rFonts w:hint="eastAsia" w:ascii="宋体" w:hAnsi="宋体" w:cs="宋体"/>
                <w:color w:val="FF0000"/>
                <w:kern w:val="0"/>
                <w:szCs w:val="21"/>
                <w:lang w:eastAsia="zh-CN"/>
              </w:rPr>
              <w:t>）</w:t>
            </w:r>
            <w:r>
              <w:rPr>
                <w:rFonts w:ascii="宋体" w:hAnsi="宋体" w:cs="宋体"/>
                <w:kern w:val="0"/>
                <w:szCs w:val="21"/>
              </w:rPr>
              <w:t>；</w:t>
            </w:r>
          </w:p>
          <w:p w14:paraId="42795D70">
            <w:pPr>
              <w:spacing w:line="276" w:lineRule="auto"/>
              <w:rPr>
                <w:rFonts w:ascii="宋体" w:hAnsi="宋体"/>
                <w:kern w:val="0"/>
                <w:szCs w:val="21"/>
              </w:rPr>
            </w:pPr>
            <w:r>
              <w:rPr>
                <w:rFonts w:ascii="宋体" w:hAnsi="宋体" w:cs="宋体"/>
                <w:kern w:val="0"/>
                <w:szCs w:val="21"/>
              </w:rPr>
              <w:t>4.其他依法不适用诉讼时效规定的债权请求权。</w:t>
            </w:r>
          </w:p>
        </w:tc>
      </w:tr>
    </w:tbl>
    <w:p w14:paraId="0A9AB580">
      <w:pPr>
        <w:spacing w:line="276" w:lineRule="auto"/>
        <w:ind w:firstLine="420"/>
      </w:pPr>
    </w:p>
    <w:p w14:paraId="6F486FEF">
      <w:pPr>
        <w:spacing w:line="276" w:lineRule="auto"/>
        <w:ind w:firstLine="420"/>
      </w:pPr>
    </w:p>
    <w:p w14:paraId="1681D06E">
      <w:pPr>
        <w:spacing w:line="276" w:lineRule="auto"/>
        <w:jc w:val="left"/>
        <w:outlineLvl w:val="1"/>
        <w:rPr>
          <w:rFonts w:ascii="宋体" w:hAnsi="宋体"/>
          <w:b/>
          <w:szCs w:val="21"/>
        </w:rPr>
      </w:pPr>
      <w:r>
        <w:rPr>
          <w:rFonts w:hint="eastAsia" w:ascii="宋体" w:hAnsi="宋体"/>
          <w:b/>
          <w:szCs w:val="21"/>
        </w:rPr>
        <w:t>三、诉讼时效期间的起算</w:t>
      </w:r>
    </w:p>
    <w:p w14:paraId="65C6F1AD">
      <w:pPr>
        <w:spacing w:line="276" w:lineRule="auto"/>
        <w:ind w:firstLine="480"/>
        <w:rPr>
          <w:rFonts w:hint="default" w:ascii="宋体" w:hAnsi="宋体" w:eastAsia="宋体"/>
          <w:szCs w:val="21"/>
          <w:lang w:val="en-US" w:eastAsia="zh-CN"/>
        </w:rPr>
      </w:pPr>
      <w:r>
        <w:rPr>
          <w:rFonts w:hint="eastAsia" w:ascii="宋体" w:hAnsi="宋体"/>
          <w:szCs w:val="21"/>
          <w:lang w:val="en-US" w:eastAsia="zh-CN"/>
        </w:rPr>
        <w:t>长度：主观期间3年、客观期间20年</w:t>
      </w:r>
    </w:p>
    <w:p w14:paraId="41A2530F">
      <w:pPr>
        <w:spacing w:line="276" w:lineRule="auto"/>
        <w:ind w:firstLine="480"/>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诉讼时效</w:t>
      </w:r>
      <w:r>
        <w:rPr>
          <w:rFonts w:hint="eastAsia" w:ascii="宋体" w:hAnsi="宋体"/>
          <w:szCs w:val="21"/>
          <w:u w:val="single"/>
        </w:rPr>
        <w:t>一般标准：当事人知道或应当知道债权请求权存在；该请求权已具备行使条件</w:t>
      </w:r>
      <w:r>
        <w:rPr>
          <w:rFonts w:hint="eastAsia" w:ascii="宋体" w:hAnsi="宋体"/>
          <w:szCs w:val="21"/>
        </w:rPr>
        <w:t>。</w:t>
      </w:r>
      <w:r>
        <w:rPr>
          <w:rFonts w:hint="eastAsia" w:ascii="宋体" w:hAnsi="宋体"/>
          <w:color w:val="FF0000"/>
          <w:szCs w:val="21"/>
          <w:lang w:eastAsia="zh-CN"/>
        </w:rPr>
        <w:t>（</w:t>
      </w:r>
      <w:r>
        <w:rPr>
          <w:rFonts w:hint="eastAsia" w:ascii="宋体" w:hAnsi="宋体"/>
          <w:color w:val="FF0000"/>
          <w:szCs w:val="21"/>
          <w:lang w:val="en-US" w:eastAsia="zh-CN"/>
        </w:rPr>
        <w:t>权利可得行使</w:t>
      </w:r>
      <w:r>
        <w:rPr>
          <w:rFonts w:hint="eastAsia" w:ascii="宋体" w:hAnsi="宋体"/>
          <w:color w:val="FF0000"/>
          <w:szCs w:val="21"/>
          <w:lang w:eastAsia="zh-CN"/>
        </w:rPr>
        <w:t>）</w:t>
      </w:r>
    </w:p>
    <w:p w14:paraId="0B480422">
      <w:pPr>
        <w:spacing w:line="276" w:lineRule="auto"/>
        <w:ind w:firstLine="480"/>
        <w:rPr>
          <w:rFonts w:ascii="宋体" w:hAnsi="宋体"/>
          <w:szCs w:val="21"/>
        </w:rPr>
      </w:pPr>
      <w:r>
        <w:rPr>
          <w:rFonts w:hint="eastAsia" w:ascii="宋体" w:hAnsi="宋体"/>
          <w:szCs w:val="21"/>
        </w:rPr>
        <w:t>2.债务有清偿期的，自清偿期届满起开始计算；不能确定履行期限的，</w:t>
      </w:r>
      <w:r>
        <w:rPr>
          <w:rFonts w:hint="eastAsia" w:ascii="宋体" w:hAnsi="宋体"/>
          <w:color w:val="FF0000"/>
          <w:szCs w:val="21"/>
        </w:rPr>
        <w:t>诉讼时效期间</w:t>
      </w:r>
      <w:r>
        <w:rPr>
          <w:rFonts w:hint="eastAsia" w:ascii="宋体" w:hAnsi="宋体"/>
          <w:color w:val="FF0000"/>
          <w:szCs w:val="21"/>
          <w:u w:val="single"/>
        </w:rPr>
        <w:t>从债权人要求债务人履行义务的宽限期届满之日起计算</w:t>
      </w:r>
      <w:r>
        <w:rPr>
          <w:rFonts w:hint="eastAsia" w:ascii="宋体" w:hAnsi="宋体"/>
          <w:color w:val="FF0000"/>
          <w:szCs w:val="21"/>
          <w:u w:val="single"/>
          <w:lang w:eastAsia="zh-CN"/>
        </w:rPr>
        <w:t>（</w:t>
      </w:r>
      <w:r>
        <w:rPr>
          <w:rFonts w:hint="eastAsia" w:ascii="宋体" w:hAnsi="宋体"/>
          <w:color w:val="FF0000"/>
          <w:szCs w:val="21"/>
          <w:u w:val="single"/>
          <w:lang w:val="en-US" w:eastAsia="zh-CN"/>
        </w:rPr>
        <w:t>此时债权人可以随时请求行使权利，但应当给予必要准备期间</w:t>
      </w:r>
      <w:r>
        <w:rPr>
          <w:rFonts w:hint="eastAsia" w:ascii="宋体" w:hAnsi="宋体"/>
          <w:color w:val="FF0000"/>
          <w:szCs w:val="21"/>
          <w:u w:val="single"/>
          <w:lang w:eastAsia="zh-CN"/>
        </w:rPr>
        <w:t>）</w:t>
      </w:r>
      <w:r>
        <w:rPr>
          <w:rFonts w:hint="eastAsia" w:ascii="宋体" w:hAnsi="宋体"/>
          <w:szCs w:val="21"/>
        </w:rPr>
        <w:t>，但债务人在债权人第一次向其主张权利之时明确表示不履行义务的，诉讼时效期间从债务人明确表示不履行义务之日起计算。</w:t>
      </w:r>
    </w:p>
    <w:p w14:paraId="55404541">
      <w:pPr>
        <w:spacing w:line="276" w:lineRule="auto"/>
        <w:ind w:firstLine="480"/>
        <w:rPr>
          <w:rFonts w:hint="eastAsia" w:ascii="宋体" w:hAnsi="宋体" w:eastAsia="宋体"/>
          <w:szCs w:val="21"/>
          <w:lang w:eastAsia="zh-CN"/>
        </w:rPr>
      </w:pPr>
      <w:r>
        <w:rPr>
          <w:rFonts w:hint="eastAsia" w:ascii="宋体" w:hAnsi="宋体"/>
          <w:szCs w:val="21"/>
        </w:rPr>
        <w:t>3.当事人约定同一债务分期履行的，诉讼时效期间从</w:t>
      </w:r>
      <w:r>
        <w:rPr>
          <w:rFonts w:hint="eastAsia" w:ascii="宋体" w:hAnsi="宋体"/>
          <w:color w:val="FF0000"/>
          <w:szCs w:val="21"/>
          <w:u w:val="single"/>
        </w:rPr>
        <w:t>最后一期</w:t>
      </w:r>
      <w:r>
        <w:rPr>
          <w:rFonts w:hint="eastAsia" w:ascii="宋体" w:hAnsi="宋体"/>
          <w:szCs w:val="21"/>
        </w:rPr>
        <w:t>履行期限届满之日起计算。</w:t>
      </w:r>
      <w:r>
        <w:rPr>
          <w:rFonts w:hint="eastAsia" w:ascii="宋体" w:hAnsi="宋体"/>
          <w:szCs w:val="21"/>
          <w:lang w:eastAsia="zh-CN"/>
        </w:rPr>
        <w:t>（</w:t>
      </w:r>
      <w:r>
        <w:rPr>
          <w:rFonts w:hint="eastAsia" w:ascii="宋体" w:hAnsi="宋体"/>
          <w:color w:val="FF0000"/>
          <w:szCs w:val="21"/>
          <w:lang w:val="en-US" w:eastAsia="zh-CN"/>
        </w:rPr>
        <w:t>分期付款是分期，租金不是</w:t>
      </w:r>
      <w:r>
        <w:rPr>
          <w:rFonts w:hint="eastAsia" w:ascii="宋体" w:hAnsi="宋体"/>
          <w:szCs w:val="21"/>
          <w:lang w:eastAsia="zh-CN"/>
        </w:rPr>
        <w:t>）</w:t>
      </w:r>
    </w:p>
    <w:p w14:paraId="50EB4990">
      <w:pPr>
        <w:spacing w:line="276" w:lineRule="auto"/>
        <w:ind w:firstLine="480"/>
        <w:rPr>
          <w:rFonts w:ascii="宋体" w:hAnsi="宋体"/>
          <w:szCs w:val="21"/>
        </w:rPr>
      </w:pPr>
      <w:r>
        <w:rPr>
          <w:rFonts w:hint="eastAsia" w:ascii="宋体" w:hAnsi="宋体"/>
          <w:szCs w:val="21"/>
        </w:rPr>
        <w:t>4.无民事行为能力人或者限制民事行为能力人与其法定代理人之间的请求权的诉讼时效，</w:t>
      </w:r>
      <w:r>
        <w:rPr>
          <w:rFonts w:hint="eastAsia" w:ascii="宋体" w:hAnsi="宋体"/>
          <w:color w:val="FF0000"/>
          <w:szCs w:val="21"/>
        </w:rPr>
        <w:t>自</w:t>
      </w:r>
      <w:r>
        <w:rPr>
          <w:rFonts w:hint="eastAsia" w:ascii="宋体" w:hAnsi="宋体"/>
          <w:color w:val="FF0000"/>
          <w:szCs w:val="21"/>
          <w:u w:val="single"/>
        </w:rPr>
        <w:t>该法定代理关系终止之日</w:t>
      </w:r>
      <w:r>
        <w:rPr>
          <w:rFonts w:hint="eastAsia" w:ascii="宋体" w:hAnsi="宋体"/>
          <w:color w:val="FF0000"/>
          <w:szCs w:val="21"/>
        </w:rPr>
        <w:t>起开始计算</w:t>
      </w:r>
      <w:r>
        <w:rPr>
          <w:rFonts w:hint="eastAsia" w:ascii="宋体" w:hAnsi="宋体"/>
          <w:szCs w:val="21"/>
        </w:rPr>
        <w:t>。</w:t>
      </w:r>
    </w:p>
    <w:p w14:paraId="243B68AE">
      <w:pPr>
        <w:spacing w:line="276" w:lineRule="auto"/>
        <w:ind w:firstLine="480"/>
        <w:rPr>
          <w:rFonts w:ascii="宋体" w:hAnsi="宋体"/>
          <w:b/>
          <w:szCs w:val="28"/>
        </w:rPr>
      </w:pPr>
      <w:r>
        <w:rPr>
          <w:rFonts w:hint="eastAsia" w:ascii="宋体" w:hAnsi="宋体"/>
          <w:szCs w:val="21"/>
        </w:rPr>
        <w:t>5.未成年人遭</w:t>
      </w:r>
      <w:r>
        <w:rPr>
          <w:rFonts w:hint="eastAsia" w:ascii="宋体" w:hAnsi="宋体"/>
          <w:color w:val="FF0000"/>
          <w:szCs w:val="21"/>
        </w:rPr>
        <w:t>受性侵害</w:t>
      </w:r>
      <w:r>
        <w:rPr>
          <w:rFonts w:hint="eastAsia" w:ascii="宋体" w:hAnsi="宋体"/>
          <w:szCs w:val="21"/>
        </w:rPr>
        <w:t>的损害赔偿请求权的诉讼时效期间，自</w:t>
      </w:r>
      <w:r>
        <w:rPr>
          <w:rFonts w:hint="eastAsia" w:ascii="宋体" w:hAnsi="宋体"/>
          <w:color w:val="FF0000"/>
          <w:szCs w:val="21"/>
          <w:u w:val="single"/>
        </w:rPr>
        <w:t>受害人年满十八周岁</w:t>
      </w:r>
      <w:r>
        <w:rPr>
          <w:rFonts w:hint="eastAsia" w:ascii="宋体" w:hAnsi="宋体"/>
          <w:szCs w:val="21"/>
        </w:rPr>
        <w:t>之日起计算。</w:t>
      </w:r>
    </w:p>
    <w:p w14:paraId="3AF21D76">
      <w:pPr>
        <w:spacing w:line="276" w:lineRule="auto"/>
        <w:jc w:val="left"/>
        <w:outlineLvl w:val="1"/>
        <w:rPr>
          <w:rFonts w:hint="eastAsia" w:ascii="宋体" w:hAnsi="宋体" w:eastAsia="宋体"/>
          <w:b/>
          <w:szCs w:val="21"/>
          <w:lang w:eastAsia="zh-CN"/>
        </w:rPr>
      </w:pPr>
      <w:r>
        <w:rPr>
          <w:rFonts w:hint="eastAsia" w:ascii="宋体" w:hAnsi="宋体"/>
          <w:b/>
          <w:szCs w:val="21"/>
          <w:lang w:val="en-US" w:eastAsia="zh-CN"/>
        </w:rPr>
        <w:t>四</w:t>
      </w:r>
      <w:r>
        <w:rPr>
          <w:rFonts w:hint="eastAsia" w:ascii="宋体" w:hAnsi="宋体"/>
          <w:b/>
          <w:szCs w:val="21"/>
        </w:rPr>
        <w:t>、诉讼时效期间的中止</w:t>
      </w:r>
      <w:r>
        <w:rPr>
          <w:rFonts w:hint="eastAsia" w:ascii="宋体" w:hAnsi="宋体"/>
          <w:b/>
          <w:szCs w:val="21"/>
          <w:lang w:eastAsia="zh-CN"/>
        </w:rPr>
        <w:t>（</w:t>
      </w:r>
      <w:r>
        <w:rPr>
          <w:rFonts w:hint="eastAsia" w:ascii="宋体" w:hAnsi="宋体"/>
          <w:color w:val="FF0000"/>
          <w:szCs w:val="21"/>
          <w:lang w:val="en-US" w:eastAsia="zh-CN"/>
        </w:rPr>
        <w:t>权利行使遇到暂时障碍</w:t>
      </w:r>
      <w:r>
        <w:rPr>
          <w:rFonts w:hint="eastAsia" w:ascii="宋体" w:hAnsi="宋体"/>
          <w:b/>
          <w:szCs w:val="21"/>
          <w:lang w:eastAsia="zh-CN"/>
        </w:rPr>
        <w:t>）</w:t>
      </w:r>
    </w:p>
    <w:p w14:paraId="47C9BF49">
      <w:pPr>
        <w:spacing w:line="276" w:lineRule="auto"/>
        <w:ind w:firstLine="480"/>
        <w:rPr>
          <w:rFonts w:ascii="宋体" w:hAnsi="宋体"/>
          <w:szCs w:val="21"/>
        </w:rPr>
      </w:pPr>
      <w:r>
        <w:rPr>
          <w:rFonts w:hint="eastAsia" w:ascii="宋体" w:hAnsi="宋体"/>
          <w:szCs w:val="21"/>
        </w:rPr>
        <w:t>1.只有在诉讼时效期间的</w:t>
      </w:r>
      <w:r>
        <w:rPr>
          <w:rFonts w:hint="eastAsia" w:ascii="宋体" w:hAnsi="宋体"/>
          <w:color w:val="FF0000"/>
          <w:szCs w:val="21"/>
          <w:u w:val="single"/>
        </w:rPr>
        <w:t>最后6个月</w:t>
      </w:r>
      <w:r>
        <w:rPr>
          <w:rFonts w:hint="eastAsia" w:ascii="宋体" w:hAnsi="宋体"/>
          <w:color w:val="FF0000"/>
          <w:szCs w:val="21"/>
        </w:rPr>
        <w:t>内</w:t>
      </w:r>
      <w:r>
        <w:rPr>
          <w:rFonts w:hint="eastAsia" w:ascii="宋体" w:hAnsi="宋体"/>
          <w:szCs w:val="21"/>
        </w:rPr>
        <w:t>，才发生时效中止问题。</w:t>
      </w:r>
    </w:p>
    <w:p w14:paraId="10846182">
      <w:pPr>
        <w:spacing w:line="276" w:lineRule="auto"/>
        <w:ind w:firstLine="480"/>
        <w:rPr>
          <w:rFonts w:ascii="宋体" w:hAnsi="宋体"/>
          <w:szCs w:val="21"/>
        </w:rPr>
      </w:pPr>
      <w:r>
        <w:rPr>
          <w:rFonts w:hint="eastAsia" w:ascii="宋体" w:hAnsi="宋体"/>
          <w:szCs w:val="21"/>
        </w:rPr>
        <w:t>2.中止事由是出现了权利行使的</w:t>
      </w:r>
      <w:r>
        <w:rPr>
          <w:rFonts w:hint="eastAsia" w:ascii="宋体" w:hAnsi="宋体"/>
          <w:szCs w:val="21"/>
          <w:u w:val="single"/>
        </w:rPr>
        <w:t>客观障碍</w:t>
      </w:r>
      <w:r>
        <w:rPr>
          <w:rFonts w:hint="eastAsia" w:ascii="宋体" w:hAnsi="宋体"/>
          <w:szCs w:val="21"/>
        </w:rPr>
        <w:t>，即权利人无法行使请求权的情形</w:t>
      </w:r>
      <w:r>
        <w:rPr>
          <w:rFonts w:hint="eastAsia" w:ascii="宋体" w:hAnsi="宋体"/>
          <w:szCs w:val="21"/>
          <w:lang w:eastAsia="zh-CN"/>
        </w:rPr>
        <w:t>（</w:t>
      </w:r>
      <w:r>
        <w:rPr>
          <w:rFonts w:hint="eastAsia" w:ascii="宋体" w:hAnsi="宋体"/>
          <w:color w:val="FF0000"/>
          <w:szCs w:val="21"/>
          <w:lang w:val="en-US" w:eastAsia="zh-CN"/>
        </w:rPr>
        <w:t>权利行使遇到暂时障碍，诉讼时效暂停</w:t>
      </w:r>
      <w:r>
        <w:rPr>
          <w:rFonts w:hint="eastAsia" w:ascii="宋体" w:hAnsi="宋体"/>
          <w:color w:val="FF0000"/>
          <w:szCs w:val="21"/>
          <w:lang w:eastAsia="zh-CN"/>
        </w:rPr>
        <w:t>）</w:t>
      </w:r>
      <w:r>
        <w:rPr>
          <w:rFonts w:hint="eastAsia" w:ascii="宋体" w:hAnsi="宋体"/>
          <w:szCs w:val="21"/>
        </w:rPr>
        <w:t>，例如，因自然灾害引起交通、通讯中断；权利被侵害的无民事行为能力人、限制民事行为能力人没有法定代理人，或者法定代理人死亡、丧失代理权、丧失行为能力；继承开始后未确定继承人或者遗产管理人；权利人被义务人或者其他人控制无法主张权利。</w:t>
      </w:r>
    </w:p>
    <w:p w14:paraId="4E76A51A">
      <w:pPr>
        <w:spacing w:line="276" w:lineRule="auto"/>
        <w:ind w:firstLine="480"/>
        <w:rPr>
          <w:rFonts w:ascii="宋体" w:hAnsi="宋体"/>
          <w:szCs w:val="21"/>
        </w:rPr>
      </w:pPr>
      <w:r>
        <w:rPr>
          <w:rFonts w:hint="eastAsia" w:ascii="宋体" w:hAnsi="宋体"/>
          <w:szCs w:val="21"/>
        </w:rPr>
        <w:t>3.诉讼时效中止的效果是暂停时效的计算，自导致时效中止的原因消除之日起满6个月的，时效期间届满。</w:t>
      </w:r>
    </w:p>
    <w:p w14:paraId="165184BB">
      <w:pPr>
        <w:spacing w:line="276" w:lineRule="auto"/>
        <w:jc w:val="left"/>
        <w:outlineLvl w:val="1"/>
        <w:rPr>
          <w:rFonts w:ascii="宋体" w:hAnsi="宋体"/>
          <w:b/>
          <w:szCs w:val="21"/>
        </w:rPr>
      </w:pPr>
      <w:r>
        <w:rPr>
          <w:rFonts w:hint="eastAsia" w:ascii="宋体" w:hAnsi="宋体"/>
          <w:b/>
          <w:szCs w:val="21"/>
        </w:rPr>
        <w:t xml:space="preserve">    </w:t>
      </w:r>
      <w:r>
        <w:rPr>
          <w:rFonts w:hint="eastAsia" w:ascii="宋体" w:hAnsi="宋体"/>
          <w:b/>
          <w:szCs w:val="21"/>
          <w:lang w:val="en-US" w:eastAsia="zh-CN"/>
        </w:rPr>
        <w:t>五</w:t>
      </w:r>
      <w:r>
        <w:rPr>
          <w:rFonts w:hint="eastAsia" w:ascii="宋体" w:hAnsi="宋体"/>
          <w:b/>
          <w:szCs w:val="21"/>
        </w:rPr>
        <w:t>、诉讼时效期间的中断</w:t>
      </w:r>
      <w:r>
        <w:rPr>
          <w:rFonts w:ascii="宋体" w:hAnsi="宋体"/>
          <w:b/>
          <w:szCs w:val="21"/>
        </w:rPr>
        <w:t xml:space="preserve"> </w:t>
      </w:r>
    </w:p>
    <w:p w14:paraId="7FCCB970">
      <w:pPr>
        <w:spacing w:line="276" w:lineRule="auto"/>
        <w:ind w:firstLine="480"/>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诉讼时效中断的后果并不是导致时效期间计算的暂停，而是</w:t>
      </w:r>
      <w:r>
        <w:rPr>
          <w:rFonts w:hint="eastAsia" w:ascii="宋体" w:hAnsi="宋体"/>
          <w:szCs w:val="21"/>
          <w:u w:val="single"/>
        </w:rPr>
        <w:t>重新开始计算</w:t>
      </w:r>
      <w:r>
        <w:rPr>
          <w:rFonts w:hint="eastAsia" w:ascii="宋体" w:hAnsi="宋体"/>
          <w:szCs w:val="21"/>
        </w:rPr>
        <w:t>。</w:t>
      </w:r>
    </w:p>
    <w:p w14:paraId="50A44C4B">
      <w:pPr>
        <w:spacing w:line="276" w:lineRule="auto"/>
        <w:ind w:firstLine="480"/>
        <w:rPr>
          <w:rFonts w:hint="eastAsia" w:ascii="宋体" w:hAnsi="宋体" w:eastAsia="宋体"/>
          <w:color w:val="FF0000"/>
          <w:szCs w:val="21"/>
          <w:lang w:eastAsia="zh-CN"/>
        </w:rPr>
      </w:pPr>
      <w:r>
        <w:rPr>
          <w:rFonts w:hint="eastAsia" w:ascii="宋体" w:hAnsi="宋体"/>
          <w:szCs w:val="21"/>
        </w:rPr>
        <w:t>2.导致时效中断的一般标准是</w:t>
      </w:r>
      <w:r>
        <w:rPr>
          <w:rFonts w:hint="eastAsia" w:ascii="宋体" w:hAnsi="宋体"/>
          <w:color w:val="FF0000"/>
          <w:szCs w:val="21"/>
          <w:u w:val="single"/>
        </w:rPr>
        <w:t>债权人行使权利</w:t>
      </w:r>
      <w:r>
        <w:rPr>
          <w:rFonts w:hint="eastAsia" w:ascii="宋体" w:hAnsi="宋体"/>
          <w:color w:val="FF0000"/>
          <w:szCs w:val="21"/>
        </w:rPr>
        <w:t>，或债务人对</w:t>
      </w:r>
      <w:r>
        <w:rPr>
          <w:rFonts w:hint="eastAsia" w:ascii="宋体" w:hAnsi="宋体"/>
          <w:color w:val="FF0000"/>
          <w:szCs w:val="21"/>
          <w:u w:val="single"/>
        </w:rPr>
        <w:t>债务的自认</w:t>
      </w:r>
      <w:r>
        <w:rPr>
          <w:rFonts w:hint="eastAsia" w:ascii="宋体" w:hAnsi="宋体"/>
          <w:color w:val="FF0000"/>
          <w:szCs w:val="21"/>
        </w:rPr>
        <w:t>。</w:t>
      </w:r>
      <w:r>
        <w:rPr>
          <w:rFonts w:hint="eastAsia" w:ascii="宋体" w:hAnsi="宋体"/>
          <w:szCs w:val="21"/>
        </w:rPr>
        <w:t>一切具有权利行使或债务自认的事实皆可导致诉讼时效中断。</w:t>
      </w:r>
      <w:r>
        <w:rPr>
          <w:rFonts w:hint="eastAsia" w:ascii="宋体" w:hAnsi="宋体"/>
          <w:color w:val="FF0000"/>
          <w:szCs w:val="21"/>
          <w:lang w:eastAsia="zh-CN"/>
        </w:rPr>
        <w:t>（</w:t>
      </w:r>
      <w:r>
        <w:rPr>
          <w:rFonts w:hint="eastAsia" w:ascii="宋体" w:hAnsi="宋体"/>
          <w:color w:val="FF0000"/>
          <w:szCs w:val="21"/>
          <w:lang w:val="en-US" w:eastAsia="zh-CN"/>
        </w:rPr>
        <w:t>诉讼行使或诉外行使都可以</w:t>
      </w:r>
      <w:r>
        <w:rPr>
          <w:rFonts w:hint="eastAsia" w:ascii="宋体" w:hAnsi="宋体"/>
          <w:color w:val="FF0000"/>
          <w:szCs w:val="21"/>
          <w:lang w:eastAsia="zh-CN"/>
        </w:rPr>
        <w:t>）</w:t>
      </w:r>
    </w:p>
    <w:p w14:paraId="3FA85AAB">
      <w:pPr>
        <w:spacing w:line="276" w:lineRule="auto"/>
        <w:ind w:firstLine="480"/>
        <w:rPr>
          <w:rFonts w:ascii="宋体" w:hAnsi="宋体"/>
          <w:szCs w:val="21"/>
        </w:rPr>
      </w:pPr>
      <w:r>
        <w:rPr>
          <w:rFonts w:hint="eastAsia" w:ascii="宋体" w:hAnsi="宋体"/>
          <w:szCs w:val="21"/>
        </w:rPr>
        <w:t>3.具体而言，须掌握以下导致时效中断的事由：债权人在诉讼外向债务人主张债权；当事人一方下落不明，对方当事人在国家级或者下落不明的当事人一方住所地的省级有影响的媒体上刊登具有主张权利内容的公告；债权人提起诉讼</w:t>
      </w:r>
      <w:r>
        <w:rPr>
          <w:rFonts w:hint="eastAsia" w:ascii="宋体" w:hAnsi="宋体"/>
          <w:szCs w:val="21"/>
          <w:lang w:eastAsia="zh-CN"/>
        </w:rPr>
        <w:t>（</w:t>
      </w:r>
      <w:r>
        <w:rPr>
          <w:rFonts w:hint="eastAsia" w:ascii="宋体" w:hAnsi="宋体"/>
          <w:color w:val="FF0000"/>
          <w:szCs w:val="21"/>
          <w:lang w:val="en-US" w:eastAsia="zh-CN"/>
        </w:rPr>
        <w:t>撤诉了也算起诉</w:t>
      </w:r>
      <w:r>
        <w:rPr>
          <w:rFonts w:hint="eastAsia" w:ascii="宋体" w:hAnsi="宋体"/>
          <w:szCs w:val="21"/>
          <w:lang w:eastAsia="zh-CN"/>
        </w:rPr>
        <w:t>）</w:t>
      </w:r>
      <w:r>
        <w:rPr>
          <w:rFonts w:hint="eastAsia" w:ascii="宋体" w:hAnsi="宋体"/>
          <w:szCs w:val="21"/>
        </w:rPr>
        <w:t>或以其他方式向债务人主张权利（与诉讼相关的申请支付令、申请执行等；请求调解；向公安机关等控告请求保护民事权利）；债务人作出分期履行、部分履行、提供担保、请求延期履行等承诺或者行为。</w:t>
      </w:r>
    </w:p>
    <w:p w14:paraId="1BE61260">
      <w:pPr>
        <w:spacing w:line="276" w:lineRule="auto"/>
        <w:ind w:firstLine="480"/>
        <w:rPr>
          <w:rFonts w:ascii="宋体" w:hAnsi="宋体"/>
          <w:szCs w:val="21"/>
        </w:rPr>
      </w:pPr>
      <w:r>
        <w:rPr>
          <w:rFonts w:hint="eastAsia" w:ascii="宋体" w:hAnsi="宋体"/>
          <w:szCs w:val="21"/>
        </w:rPr>
        <w:t>4.对于连带债权人中的一人发生诉讼时效中断效力的事由，</w:t>
      </w:r>
      <w:r>
        <w:rPr>
          <w:rFonts w:hint="eastAsia" w:ascii="宋体" w:hAnsi="宋体"/>
          <w:color w:val="FF0000"/>
          <w:szCs w:val="21"/>
        </w:rPr>
        <w:t>应当认定对其他连带债权人也发生诉讼时效中断的效力。对于连带债务人中的一人发生诉讼时效中断效力的事由，应当认定对其他连带债务人也发生诉讼时效中断的效力</w:t>
      </w:r>
      <w:r>
        <w:rPr>
          <w:rFonts w:hint="eastAsia" w:ascii="宋体" w:hAnsi="宋体"/>
          <w:szCs w:val="21"/>
        </w:rPr>
        <w:t>。（《诉讼时效解释》第1</w:t>
      </w:r>
      <w:r>
        <w:rPr>
          <w:rFonts w:ascii="宋体" w:hAnsi="宋体"/>
          <w:szCs w:val="21"/>
        </w:rPr>
        <w:t>5</w:t>
      </w:r>
      <w:r>
        <w:rPr>
          <w:rFonts w:hint="eastAsia" w:ascii="宋体" w:hAnsi="宋体"/>
          <w:szCs w:val="21"/>
        </w:rPr>
        <w:t>条）</w:t>
      </w:r>
    </w:p>
    <w:p w14:paraId="0671AB45">
      <w:pPr>
        <w:spacing w:line="276" w:lineRule="auto"/>
        <w:ind w:firstLine="480"/>
        <w:rPr>
          <w:rFonts w:ascii="宋体" w:hAnsi="宋体"/>
          <w:szCs w:val="21"/>
        </w:rPr>
      </w:pPr>
      <w:r>
        <w:rPr>
          <w:rFonts w:hint="eastAsia" w:ascii="宋体" w:hAnsi="宋体"/>
          <w:szCs w:val="21"/>
        </w:rPr>
        <w:t>5.债权人提起代位权诉讼的，应当认定对债权人的债权和债务人的债权均发生诉讼时效中断的效力。</w:t>
      </w:r>
    </w:p>
    <w:p w14:paraId="7F94CA16">
      <w:pPr>
        <w:spacing w:line="276" w:lineRule="auto"/>
        <w:ind w:firstLine="480"/>
        <w:rPr>
          <w:rFonts w:ascii="宋体" w:hAnsi="宋体"/>
          <w:b/>
          <w:szCs w:val="24"/>
        </w:rPr>
      </w:pPr>
      <w:r>
        <w:rPr>
          <w:rFonts w:hint="eastAsia" w:ascii="宋体" w:hAnsi="宋体"/>
          <w:szCs w:val="21"/>
        </w:rPr>
        <w:t>6.债权转让的，应当认定诉讼时效从债权</w:t>
      </w:r>
      <w:r>
        <w:rPr>
          <w:rFonts w:hint="eastAsia" w:ascii="宋体" w:hAnsi="宋体"/>
          <w:color w:val="FF0000"/>
          <w:szCs w:val="21"/>
        </w:rPr>
        <w:t>转让通知到达债务人之日</w:t>
      </w:r>
      <w:r>
        <w:rPr>
          <w:rFonts w:hint="eastAsia" w:ascii="宋体" w:hAnsi="宋体"/>
          <w:szCs w:val="21"/>
        </w:rPr>
        <w:t>起中断。</w:t>
      </w:r>
      <w:r>
        <w:rPr>
          <w:rFonts w:hint="eastAsia" w:ascii="宋体" w:hAnsi="宋体"/>
          <w:color w:val="FF0000"/>
          <w:szCs w:val="21"/>
        </w:rPr>
        <w:t>债务承担情形下，构成原债务人对债务承认的</w:t>
      </w:r>
      <w:r>
        <w:rPr>
          <w:rFonts w:hint="eastAsia" w:ascii="宋体" w:hAnsi="宋体"/>
          <w:szCs w:val="21"/>
        </w:rPr>
        <w:t>，应当认定诉讼时效从债务承担意思表示到达债权人之日起中断。</w:t>
      </w:r>
    </w:p>
    <w:p w14:paraId="1249F149">
      <w:pPr>
        <w:spacing w:line="276" w:lineRule="auto"/>
        <w:jc w:val="left"/>
        <w:outlineLvl w:val="1"/>
        <w:rPr>
          <w:rFonts w:ascii="宋体" w:hAnsi="宋体"/>
          <w:b/>
          <w:szCs w:val="21"/>
        </w:rPr>
      </w:pPr>
      <w:r>
        <w:rPr>
          <w:rFonts w:hint="eastAsia" w:ascii="宋体" w:hAnsi="宋体"/>
          <w:b/>
          <w:szCs w:val="21"/>
        </w:rPr>
        <w:t xml:space="preserve">    </w:t>
      </w:r>
      <w:r>
        <w:rPr>
          <w:rFonts w:hint="eastAsia" w:ascii="宋体" w:hAnsi="宋体"/>
          <w:b/>
          <w:szCs w:val="21"/>
          <w:lang w:val="en-US" w:eastAsia="zh-CN"/>
        </w:rPr>
        <w:t>六</w:t>
      </w:r>
      <w:r>
        <w:rPr>
          <w:rFonts w:hint="eastAsia" w:ascii="宋体" w:hAnsi="宋体"/>
          <w:b/>
          <w:szCs w:val="21"/>
        </w:rPr>
        <w:t>、诉讼时间期间届满的效力</w:t>
      </w:r>
    </w:p>
    <w:p w14:paraId="05BB23D6">
      <w:pPr>
        <w:spacing w:line="276" w:lineRule="auto"/>
        <w:ind w:firstLine="210" w:firstLineChars="100"/>
        <w:rPr>
          <w:rFonts w:hint="eastAsia" w:ascii="宋体" w:hAnsi="宋体" w:eastAsia="宋体"/>
          <w:color w:val="FF0000"/>
          <w:lang w:eastAsia="zh-CN"/>
        </w:rPr>
      </w:pPr>
      <w:r>
        <w:rPr>
          <w:rFonts w:hint="eastAsia" w:ascii="宋体" w:hAnsi="宋体"/>
        </w:rPr>
        <w:t xml:space="preserve">  </w:t>
      </w:r>
      <w:r>
        <w:rPr>
          <w:rFonts w:hint="eastAsia" w:ascii="宋体" w:hAnsi="宋体"/>
          <w:b/>
        </w:rPr>
        <w:t>（一）义务人的履行抗辩</w:t>
      </w:r>
      <w:r>
        <w:rPr>
          <w:rFonts w:hint="eastAsia" w:ascii="宋体" w:hAnsi="宋体"/>
          <w:b/>
          <w:color w:val="FF0000"/>
          <w:lang w:eastAsia="zh-CN"/>
        </w:rPr>
        <w:t>（</w:t>
      </w:r>
      <w:r>
        <w:rPr>
          <w:rFonts w:hint="eastAsia" w:ascii="宋体" w:hAnsi="宋体"/>
          <w:b/>
          <w:color w:val="FF0000"/>
          <w:lang w:val="en-US" w:eastAsia="zh-CN"/>
        </w:rPr>
        <w:t>抗辩权发生并非胜诉权消灭</w:t>
      </w:r>
      <w:r>
        <w:rPr>
          <w:rFonts w:hint="eastAsia" w:ascii="宋体" w:hAnsi="宋体"/>
          <w:b/>
          <w:color w:val="FF0000"/>
          <w:lang w:eastAsia="zh-CN"/>
        </w:rPr>
        <w:t>）</w:t>
      </w:r>
    </w:p>
    <w:p w14:paraId="20E4A30D">
      <w:pPr>
        <w:spacing w:line="276" w:lineRule="auto"/>
        <w:ind w:firstLine="420" w:firstLineChars="200"/>
        <w:rPr>
          <w:rFonts w:ascii="宋体" w:hAnsi="宋体" w:cs="宋体"/>
          <w:szCs w:val="21"/>
        </w:rPr>
      </w:pPr>
      <w:r>
        <w:rPr>
          <w:rFonts w:hint="eastAsia" w:ascii="宋体" w:hAnsi="宋体" w:cs="宋体"/>
          <w:szCs w:val="21"/>
        </w:rPr>
        <w:t>诉讼时效期间届满的，</w:t>
      </w:r>
      <w:r>
        <w:rPr>
          <w:rFonts w:hint="eastAsia" w:ascii="宋体" w:hAnsi="宋体" w:cs="宋体"/>
          <w:szCs w:val="21"/>
          <w:u w:val="single"/>
        </w:rPr>
        <w:t>义务人可以提出不履行义务的抗辩</w:t>
      </w:r>
      <w:r>
        <w:rPr>
          <w:rFonts w:hint="eastAsia" w:ascii="宋体" w:hAnsi="宋体" w:cs="宋体"/>
          <w:szCs w:val="21"/>
        </w:rPr>
        <w:t>。</w:t>
      </w:r>
    </w:p>
    <w:p w14:paraId="7CBFA5AA">
      <w:pPr>
        <w:spacing w:line="276" w:lineRule="auto"/>
        <w:ind w:firstLine="210" w:firstLineChars="100"/>
        <w:rPr>
          <w:rFonts w:ascii="宋体" w:hAnsi="宋体"/>
          <w:b/>
        </w:rPr>
      </w:pPr>
      <w:r>
        <w:rPr>
          <w:rFonts w:hint="eastAsia" w:ascii="宋体" w:hAnsi="宋体"/>
        </w:rPr>
        <w:t xml:space="preserve">  </w:t>
      </w:r>
      <w:r>
        <w:rPr>
          <w:rFonts w:hint="eastAsia" w:ascii="宋体" w:hAnsi="宋体"/>
          <w:b/>
        </w:rPr>
        <w:t>（二）时效抗辩的援引规则</w:t>
      </w:r>
    </w:p>
    <w:p w14:paraId="37C4CD45">
      <w:pPr>
        <w:spacing w:line="276" w:lineRule="auto"/>
        <w:ind w:firstLine="480"/>
        <w:rPr>
          <w:rFonts w:ascii="宋体" w:hAnsi="宋体" w:cs="宋体"/>
          <w:szCs w:val="21"/>
        </w:rPr>
      </w:pPr>
      <w:r>
        <w:rPr>
          <w:rFonts w:hint="eastAsia" w:ascii="宋体" w:hAnsi="宋体" w:cs="宋体"/>
          <w:szCs w:val="21"/>
        </w:rPr>
        <w:t>诉讼时效期间届满后，债务人主张时效抗辩的，人民法院应判决驳回原告诉讼请求。</w:t>
      </w:r>
      <w:r>
        <w:rPr>
          <w:rFonts w:hint="eastAsia" w:ascii="宋体" w:hAnsi="宋体" w:cs="宋体"/>
          <w:szCs w:val="21"/>
          <w:u w:val="single"/>
        </w:rPr>
        <w:t>法院不能依职权适用及释明</w:t>
      </w:r>
      <w:r>
        <w:rPr>
          <w:rFonts w:hint="eastAsia" w:ascii="宋体" w:hAnsi="宋体" w:cs="宋体"/>
          <w:szCs w:val="21"/>
        </w:rPr>
        <w:t>。</w:t>
      </w:r>
    </w:p>
    <w:p w14:paraId="22D465C4">
      <w:pPr>
        <w:spacing w:line="276" w:lineRule="auto"/>
        <w:ind w:firstLine="480"/>
        <w:rPr>
          <w:rFonts w:ascii="宋体" w:hAnsi="宋体" w:cs="宋体"/>
          <w:szCs w:val="21"/>
        </w:rPr>
      </w:pPr>
      <w:r>
        <w:rPr>
          <w:rFonts w:hint="eastAsia" w:ascii="宋体" w:hAnsi="宋体" w:cs="宋体"/>
          <w:color w:val="2F2F2F"/>
          <w:kern w:val="0"/>
          <w:szCs w:val="21"/>
        </w:rPr>
        <w:t>当事人在一审期间未提出诉讼时效抗辩，</w:t>
      </w:r>
      <w:r>
        <w:rPr>
          <w:rFonts w:hint="eastAsia" w:ascii="宋体" w:hAnsi="宋体" w:cs="宋体"/>
          <w:color w:val="FF0000"/>
          <w:kern w:val="0"/>
          <w:szCs w:val="21"/>
        </w:rPr>
        <w:t>在</w:t>
      </w:r>
      <w:r>
        <w:rPr>
          <w:rFonts w:hint="eastAsia" w:ascii="宋体" w:hAnsi="宋体" w:cs="宋体"/>
          <w:color w:val="FF0000"/>
          <w:kern w:val="0"/>
          <w:szCs w:val="21"/>
          <w:u w:val="single"/>
        </w:rPr>
        <w:t>二审期间提出的，人民法院不予支持</w:t>
      </w:r>
      <w:r>
        <w:rPr>
          <w:rFonts w:hint="eastAsia" w:ascii="宋体" w:hAnsi="宋体" w:cs="宋体"/>
          <w:color w:val="FF0000"/>
          <w:kern w:val="0"/>
          <w:szCs w:val="21"/>
        </w:rPr>
        <w:t>，但其基于</w:t>
      </w:r>
      <w:r>
        <w:rPr>
          <w:rFonts w:hint="eastAsia" w:ascii="宋体" w:hAnsi="宋体" w:cs="宋体"/>
          <w:color w:val="FF0000"/>
          <w:kern w:val="0"/>
          <w:szCs w:val="21"/>
          <w:u w:val="single"/>
        </w:rPr>
        <w:t>新的证据</w:t>
      </w:r>
      <w:r>
        <w:rPr>
          <w:rFonts w:hint="eastAsia" w:ascii="宋体" w:hAnsi="宋体" w:cs="宋体"/>
          <w:color w:val="FF0000"/>
          <w:kern w:val="0"/>
          <w:szCs w:val="21"/>
        </w:rPr>
        <w:t>能够证明对方当事人的请求权已过诉讼时效期间的情形除外</w:t>
      </w:r>
      <w:r>
        <w:rPr>
          <w:rFonts w:hint="eastAsia" w:ascii="宋体" w:hAnsi="宋体" w:cs="宋体"/>
          <w:color w:val="2F2F2F"/>
          <w:kern w:val="0"/>
          <w:szCs w:val="21"/>
        </w:rPr>
        <w:t>。</w:t>
      </w:r>
    </w:p>
    <w:p w14:paraId="2D1ADD74">
      <w:pPr>
        <w:spacing w:line="276" w:lineRule="auto"/>
        <w:ind w:firstLine="210" w:firstLineChars="100"/>
        <w:rPr>
          <w:rFonts w:ascii="宋体" w:hAnsi="宋体" w:cs="宋体"/>
          <w:szCs w:val="21"/>
        </w:rPr>
      </w:pPr>
      <w:r>
        <w:rPr>
          <w:rFonts w:hint="eastAsia" w:ascii="宋体" w:hAnsi="宋体"/>
        </w:rPr>
        <w:t xml:space="preserve">  </w:t>
      </w:r>
      <w:r>
        <w:rPr>
          <w:rFonts w:hint="eastAsia" w:ascii="宋体" w:hAnsi="宋体"/>
          <w:b/>
        </w:rPr>
        <w:t>（三）债务人自愿履行或允诺履行的效力</w:t>
      </w:r>
    </w:p>
    <w:p w14:paraId="27134C34">
      <w:pPr>
        <w:spacing w:line="276" w:lineRule="auto"/>
        <w:ind w:firstLine="480"/>
        <w:rPr>
          <w:rFonts w:hint="eastAsia" w:ascii="宋体" w:hAnsi="宋体" w:cs="宋体"/>
          <w:color w:val="FF0000"/>
          <w:szCs w:val="21"/>
          <w:lang w:eastAsia="zh-CN"/>
        </w:rPr>
      </w:pPr>
      <w:r>
        <w:rPr>
          <w:rFonts w:hint="eastAsia" w:ascii="宋体" w:hAnsi="宋体" w:cs="宋体"/>
          <w:szCs w:val="21"/>
        </w:rPr>
        <w:t>1.债务人自愿履行已过诉讼时效期间之债务，发生清偿的效果。债权人不构成不当得利，</w:t>
      </w:r>
      <w:r>
        <w:rPr>
          <w:rFonts w:hint="eastAsia" w:ascii="宋体" w:hAnsi="宋体" w:cs="宋体"/>
          <w:szCs w:val="21"/>
          <w:u w:val="single"/>
        </w:rPr>
        <w:t>债务人不得要求返还</w:t>
      </w:r>
      <w:r>
        <w:rPr>
          <w:rFonts w:hint="eastAsia" w:ascii="宋体" w:hAnsi="宋体" w:cs="宋体"/>
          <w:szCs w:val="21"/>
        </w:rPr>
        <w:t>。</w:t>
      </w:r>
      <w:r>
        <w:rPr>
          <w:rFonts w:hint="eastAsia" w:ascii="宋体" w:hAnsi="宋体" w:cs="宋体"/>
          <w:color w:val="FF0000"/>
          <w:szCs w:val="21"/>
          <w:lang w:eastAsia="zh-CN"/>
        </w:rPr>
        <w:t>（</w:t>
      </w:r>
      <w:r>
        <w:rPr>
          <w:rFonts w:hint="eastAsia" w:ascii="宋体" w:hAnsi="宋体" w:cs="宋体"/>
          <w:color w:val="FF0000"/>
          <w:szCs w:val="21"/>
          <w:lang w:val="en-US" w:eastAsia="zh-CN"/>
        </w:rPr>
        <w:t>受领权能依然存在</w:t>
      </w:r>
      <w:r>
        <w:rPr>
          <w:rFonts w:hint="eastAsia" w:ascii="宋体" w:hAnsi="宋体" w:cs="宋体"/>
          <w:color w:val="FF0000"/>
          <w:szCs w:val="21"/>
          <w:lang w:eastAsia="zh-CN"/>
        </w:rPr>
        <w:t>）</w:t>
      </w:r>
    </w:p>
    <w:p w14:paraId="15E9E959">
      <w:pPr>
        <w:spacing w:line="276" w:lineRule="auto"/>
        <w:ind w:firstLine="480"/>
        <w:rPr>
          <w:rFonts w:hint="eastAsia" w:ascii="宋体" w:hAnsi="宋体" w:eastAsia="宋体" w:cs="宋体"/>
          <w:color w:val="FF0000"/>
          <w:szCs w:val="21"/>
          <w:lang w:eastAsia="zh-CN"/>
        </w:rPr>
      </w:pPr>
      <w:r>
        <w:rPr>
          <w:rFonts w:hint="eastAsia" w:ascii="宋体" w:hAnsi="宋体" w:cs="宋体"/>
          <w:color w:val="000000"/>
          <w:szCs w:val="21"/>
        </w:rPr>
        <w:t>部分清偿的，部分消灭；而未清偿的部分债务仍属于自然债务存续，也不能视为更新。</w:t>
      </w:r>
      <w:r>
        <w:rPr>
          <w:rFonts w:hint="eastAsia" w:ascii="宋体" w:hAnsi="宋体" w:cs="宋体"/>
          <w:color w:val="000000"/>
          <w:szCs w:val="21"/>
          <w:lang w:eastAsia="zh-CN"/>
        </w:rPr>
        <w:t>（</w:t>
      </w:r>
      <w:r>
        <w:rPr>
          <w:rFonts w:hint="eastAsia" w:ascii="宋体" w:hAnsi="宋体" w:cs="宋体"/>
          <w:color w:val="000000"/>
          <w:szCs w:val="21"/>
          <w:lang w:val="en-US" w:eastAsia="zh-CN"/>
        </w:rPr>
        <w:t>债务人就剩余部分仍可以主张诉讼时效经过的抗辩</w:t>
      </w:r>
      <w:r>
        <w:rPr>
          <w:rFonts w:hint="eastAsia" w:ascii="宋体" w:hAnsi="宋体" w:cs="宋体"/>
          <w:color w:val="000000"/>
          <w:szCs w:val="21"/>
          <w:lang w:eastAsia="zh-CN"/>
        </w:rPr>
        <w:t>）</w:t>
      </w:r>
    </w:p>
    <w:p w14:paraId="02E7A728">
      <w:pPr>
        <w:spacing w:line="276" w:lineRule="auto"/>
        <w:ind w:firstLine="480"/>
        <w:rPr>
          <w:rFonts w:ascii="宋体" w:hAnsi="宋体"/>
          <w:szCs w:val="21"/>
        </w:rPr>
      </w:pPr>
      <w:r>
        <w:rPr>
          <w:rFonts w:hint="eastAsia" w:ascii="宋体" w:hAnsi="宋体" w:cs="宋体"/>
          <w:szCs w:val="21"/>
        </w:rPr>
        <w:t>2.时效期间届满后，债务人又向债权人表示同意继续履行的，视为放弃时效抗辩</w:t>
      </w:r>
      <w:r>
        <w:rPr>
          <w:rFonts w:hint="eastAsia" w:ascii="宋体" w:hAnsi="宋体" w:cs="宋体"/>
          <w:color w:val="FF0000"/>
          <w:szCs w:val="21"/>
        </w:rPr>
        <w:t>，债务人</w:t>
      </w:r>
      <w:r>
        <w:rPr>
          <w:rFonts w:hint="eastAsia" w:ascii="宋体" w:hAnsi="宋体" w:cs="宋体"/>
          <w:color w:val="FF0000"/>
          <w:szCs w:val="21"/>
          <w:u w:val="single"/>
        </w:rPr>
        <w:t>不得再做时效期间届满的抗辩</w:t>
      </w:r>
      <w:r>
        <w:rPr>
          <w:rFonts w:hint="eastAsia" w:ascii="宋体" w:hAnsi="宋体" w:cs="宋体"/>
          <w:color w:val="FF0000"/>
          <w:szCs w:val="21"/>
          <w:u w:val="single"/>
          <w:lang w:eastAsia="zh-CN"/>
        </w:rPr>
        <w:t>（</w:t>
      </w:r>
      <w:r>
        <w:rPr>
          <w:rFonts w:hint="eastAsia" w:ascii="宋体" w:hAnsi="宋体" w:cs="宋体"/>
          <w:color w:val="FF0000"/>
          <w:szCs w:val="21"/>
          <w:u w:val="single"/>
          <w:lang w:val="en-US" w:eastAsia="zh-CN"/>
        </w:rPr>
        <w:t>禁反言</w:t>
      </w:r>
      <w:r>
        <w:rPr>
          <w:rFonts w:hint="eastAsia" w:ascii="宋体" w:hAnsi="宋体" w:cs="宋体"/>
          <w:color w:val="FF0000"/>
          <w:szCs w:val="21"/>
          <w:u w:val="single"/>
          <w:lang w:eastAsia="zh-CN"/>
        </w:rPr>
        <w:t>）</w:t>
      </w:r>
      <w:r>
        <w:rPr>
          <w:rFonts w:hint="eastAsia" w:ascii="宋体" w:hAnsi="宋体"/>
          <w:szCs w:val="21"/>
        </w:rPr>
        <w:t>。</w:t>
      </w:r>
    </w:p>
    <w:p w14:paraId="2A1CA777">
      <w:pPr>
        <w:spacing w:line="276" w:lineRule="auto"/>
        <w:ind w:firstLine="480"/>
        <w:rPr>
          <w:rFonts w:ascii="宋体" w:hAnsi="宋体"/>
          <w:szCs w:val="21"/>
        </w:rPr>
      </w:pPr>
    </w:p>
    <w:p w14:paraId="44333960">
      <w:pPr>
        <w:pStyle w:val="6"/>
        <w:spacing w:line="276" w:lineRule="auto"/>
        <w:rPr>
          <w:rFonts w:hint="eastAsia" w:eastAsia="宋体"/>
          <w:color w:val="auto"/>
          <w:sz w:val="36"/>
          <w:szCs w:val="36"/>
          <w:lang w:eastAsia="zh-CN"/>
        </w:rPr>
      </w:pPr>
      <w:bookmarkStart w:id="11" w:name="_Toc11480"/>
      <w:bookmarkStart w:id="12" w:name="_Toc4856988"/>
      <w:bookmarkStart w:id="13" w:name="_Toc33346103"/>
      <w:r>
        <w:rPr>
          <w:rFonts w:hint="eastAsia"/>
          <w:color w:val="auto"/>
          <w:sz w:val="36"/>
          <w:szCs w:val="36"/>
        </w:rPr>
        <w:t>考点7  物权一般原理</w:t>
      </w:r>
      <w:bookmarkEnd w:id="11"/>
      <w:bookmarkEnd w:id="12"/>
      <w:bookmarkEnd w:id="13"/>
    </w:p>
    <w:p w14:paraId="63F36CFB">
      <w:pPr>
        <w:spacing w:line="276" w:lineRule="auto"/>
        <w:rPr>
          <w:rFonts w:ascii="宋体" w:hAnsi="宋体"/>
          <w:b/>
          <w:szCs w:val="28"/>
        </w:rPr>
      </w:pPr>
      <w:r>
        <w:rPr>
          <w:rFonts w:hint="eastAsia" w:ascii="宋体" w:hAnsi="宋体"/>
          <w:b/>
          <w:szCs w:val="21"/>
        </w:rPr>
        <w:t xml:space="preserve">    一、</w:t>
      </w:r>
      <w:r>
        <w:rPr>
          <w:rFonts w:hint="eastAsia" w:ascii="宋体" w:hAnsi="宋体"/>
          <w:b/>
          <w:szCs w:val="28"/>
        </w:rPr>
        <w:t>不动产登记</w:t>
      </w:r>
    </w:p>
    <w:p w14:paraId="6F744D50">
      <w:pPr>
        <w:spacing w:line="276" w:lineRule="auto"/>
        <w:ind w:firstLine="480"/>
        <w:rPr>
          <w:b/>
          <w:szCs w:val="21"/>
        </w:rPr>
      </w:pPr>
      <w:r>
        <w:rPr>
          <w:rFonts w:hint="eastAsia"/>
          <w:b/>
          <w:szCs w:val="21"/>
        </w:rPr>
        <w:t>（一）不动产登记对于不动产物权归属的意义</w:t>
      </w:r>
    </w:p>
    <w:p w14:paraId="5788AB44">
      <w:pPr>
        <w:spacing w:line="276" w:lineRule="auto"/>
        <w:ind w:firstLine="480"/>
        <w:rPr>
          <w:rFonts w:ascii="楷体" w:hAnsi="楷体" w:eastAsia="楷体"/>
          <w:szCs w:val="21"/>
        </w:rPr>
      </w:pPr>
      <w:r>
        <w:rPr>
          <w:rFonts w:hint="eastAsia" w:ascii="楷体" w:hAnsi="楷体" w:eastAsia="楷体"/>
          <w:szCs w:val="21"/>
        </w:rPr>
        <w:t>当事人有证据证明不动产登记簿的记载与真实权利状态不符、其为该不动产物权的真实权利人，请求确认其享有物权的，应予支持。</w:t>
      </w:r>
    </w:p>
    <w:p w14:paraId="0F477C66">
      <w:pPr>
        <w:spacing w:line="276" w:lineRule="auto"/>
        <w:ind w:firstLine="480"/>
        <w:rPr>
          <w:rFonts w:hint="eastAsia" w:ascii="宋体" w:hAnsi="宋体" w:cs="宋体"/>
          <w:szCs w:val="21"/>
        </w:rPr>
      </w:pPr>
      <w:r>
        <w:rPr>
          <w:rFonts w:hint="eastAsia" w:ascii="宋体" w:hAnsi="宋体" w:cs="宋体"/>
          <w:color w:val="FF0000"/>
          <w:szCs w:val="21"/>
          <w:u w:val="single"/>
        </w:rPr>
        <w:t>不动产登记簿的记载具有权利推定的效力</w:t>
      </w:r>
      <w:r>
        <w:rPr>
          <w:rFonts w:hint="eastAsia" w:ascii="宋体" w:hAnsi="宋体" w:cs="宋体"/>
          <w:color w:val="FF0000"/>
          <w:szCs w:val="21"/>
        </w:rPr>
        <w:t>。</w:t>
      </w:r>
      <w:r>
        <w:rPr>
          <w:rFonts w:hint="eastAsia" w:ascii="宋体" w:hAnsi="宋体" w:cs="宋体"/>
          <w:color w:val="FF0000"/>
          <w:szCs w:val="21"/>
          <w:lang w:val="en-US" w:eastAsia="zh-CN"/>
        </w:rPr>
        <w:t>静态效力实事求是，登记可能与实际状态不一致</w:t>
      </w:r>
      <w:r>
        <w:rPr>
          <w:rFonts w:hint="eastAsia" w:ascii="宋体" w:hAnsi="宋体" w:cs="宋体"/>
          <w:szCs w:val="21"/>
        </w:rPr>
        <w:t>在发生不动产实际权属与登记不一致的情形，</w:t>
      </w:r>
      <w:r>
        <w:rPr>
          <w:rFonts w:hint="eastAsia" w:ascii="宋体" w:hAnsi="宋体" w:cs="宋体"/>
          <w:szCs w:val="21"/>
          <w:u w:val="single"/>
        </w:rPr>
        <w:t>应不受登记影响而认定权属</w:t>
      </w:r>
      <w:r>
        <w:rPr>
          <w:rFonts w:hint="eastAsia" w:ascii="宋体" w:hAnsi="宋体" w:cs="宋体"/>
          <w:szCs w:val="21"/>
        </w:rPr>
        <w:t>。</w:t>
      </w:r>
    </w:p>
    <w:p w14:paraId="6730100E">
      <w:pPr>
        <w:spacing w:line="276" w:lineRule="auto"/>
        <w:ind w:firstLine="480"/>
        <w:rPr>
          <w:rFonts w:hint="eastAsia" w:ascii="宋体" w:hAnsi="宋体" w:eastAsia="宋体" w:cs="宋体"/>
          <w:szCs w:val="21"/>
          <w:lang w:eastAsia="zh-CN"/>
        </w:rPr>
      </w:pPr>
      <w:r>
        <w:rPr>
          <w:rFonts w:hint="eastAsia" w:ascii="宋体" w:hAnsi="宋体" w:cs="宋体"/>
          <w:szCs w:val="21"/>
        </w:rPr>
        <w:t>在此种情形，登记仍具有对外的公信力，因此，凡第三人信赖此登记而有偿受让不动产的，可适用善意取得的规定。</w:t>
      </w:r>
      <w:r>
        <w:rPr>
          <w:rFonts w:hint="eastAsia" w:ascii="宋体" w:hAnsi="宋体" w:cs="宋体"/>
          <w:szCs w:val="21"/>
          <w:lang w:eastAsia="zh-CN"/>
        </w:rPr>
        <w:t>（</w:t>
      </w:r>
      <w:r>
        <w:rPr>
          <w:rFonts w:hint="eastAsia" w:ascii="宋体" w:hAnsi="宋体" w:cs="宋体"/>
          <w:color w:val="FF0000"/>
          <w:szCs w:val="21"/>
          <w:lang w:val="en-US" w:eastAsia="zh-CN"/>
        </w:rPr>
        <w:t>动态效力保护交易安全将错就错</w:t>
      </w:r>
      <w:r>
        <w:rPr>
          <w:rFonts w:hint="eastAsia" w:ascii="宋体" w:hAnsi="宋体" w:cs="宋体"/>
          <w:szCs w:val="21"/>
          <w:lang w:eastAsia="zh-CN"/>
        </w:rPr>
        <w:t>）</w:t>
      </w:r>
    </w:p>
    <w:p w14:paraId="745B4BDE">
      <w:pPr>
        <w:spacing w:line="276" w:lineRule="auto"/>
        <w:ind w:firstLine="480"/>
        <w:rPr>
          <w:rFonts w:ascii="宋体" w:hAnsi="宋体" w:cs="宋体"/>
          <w:b/>
          <w:szCs w:val="21"/>
        </w:rPr>
      </w:pPr>
      <w:r>
        <w:rPr>
          <w:rFonts w:hint="eastAsia" w:ascii="宋体" w:hAnsi="宋体" w:cs="宋体"/>
          <w:b/>
          <w:szCs w:val="21"/>
        </w:rPr>
        <w:t>（二）登记对于不动产物权变动的意义</w:t>
      </w:r>
    </w:p>
    <w:p w14:paraId="30C8EB16">
      <w:pPr>
        <w:spacing w:line="276" w:lineRule="auto"/>
        <w:ind w:firstLine="480"/>
        <w:rPr>
          <w:rFonts w:hint="default"/>
          <w:szCs w:val="21"/>
          <w:lang w:val="en-US" w:eastAsia="zh-CN"/>
        </w:rPr>
      </w:pPr>
      <w:r>
        <w:rPr>
          <w:rFonts w:hint="eastAsia"/>
          <w:szCs w:val="21"/>
          <w:lang w:val="en-US" w:eastAsia="zh-CN"/>
        </w:rPr>
        <w:t>原则：不动产房屋买卖、不动产抵押、建设用地使用权、居住权。登记变动物权</w:t>
      </w:r>
    </w:p>
    <w:p w14:paraId="39B12156">
      <w:pPr>
        <w:spacing w:line="276" w:lineRule="auto"/>
        <w:ind w:firstLine="480"/>
        <w:rPr>
          <w:rFonts w:hint="default" w:ascii="楷体" w:hAnsi="楷体" w:eastAsia="楷体"/>
          <w:szCs w:val="21"/>
          <w:lang w:val="en-US" w:eastAsia="zh-CN"/>
        </w:rPr>
      </w:pPr>
      <w:r>
        <w:rPr>
          <w:rFonts w:hint="eastAsia"/>
          <w:szCs w:val="21"/>
          <w:lang w:val="en-US" w:eastAsia="zh-CN"/>
        </w:rPr>
        <w:t>例外：</w:t>
      </w:r>
      <w:r>
        <w:rPr>
          <w:rFonts w:hint="eastAsia" w:ascii="宋体" w:hAnsi="宋体"/>
          <w:szCs w:val="21"/>
        </w:rPr>
        <w:t>（1）土地承包经营权自土地承包经营权合同生效时设立，登记不是土地承包经营权设立的要件；（2）宅基地使用权的物权变动不以登记为其要件；（3）地役权自地役权合同生</w:t>
      </w:r>
      <w:r>
        <w:rPr>
          <w:rFonts w:hint="eastAsia"/>
          <w:szCs w:val="21"/>
        </w:rPr>
        <w:t>效时设立，登记是对抗要件（不登记不得对抗善意第三人），而非生效要件。</w:t>
      </w:r>
    </w:p>
    <w:p w14:paraId="7E227F13">
      <w:pPr>
        <w:spacing w:line="276" w:lineRule="auto"/>
        <w:ind w:firstLine="480"/>
        <w:rPr>
          <w:b/>
          <w:szCs w:val="21"/>
        </w:rPr>
      </w:pPr>
      <w:r>
        <w:rPr>
          <w:rFonts w:hint="eastAsia"/>
          <w:b/>
          <w:szCs w:val="21"/>
        </w:rPr>
        <w:t>（</w:t>
      </w:r>
      <w:r>
        <w:rPr>
          <w:rFonts w:hint="eastAsia"/>
          <w:b/>
          <w:szCs w:val="21"/>
          <w:lang w:val="en-US" w:eastAsia="zh-CN"/>
        </w:rPr>
        <w:t>三</w:t>
      </w:r>
      <w:r>
        <w:rPr>
          <w:rFonts w:hint="eastAsia"/>
          <w:b/>
          <w:szCs w:val="21"/>
        </w:rPr>
        <w:t xml:space="preserve">）更正登记  </w:t>
      </w:r>
    </w:p>
    <w:p w14:paraId="1292FF51">
      <w:pPr>
        <w:spacing w:line="276" w:lineRule="auto"/>
        <w:ind w:firstLine="480"/>
        <w:rPr>
          <w:rFonts w:hint="eastAsia" w:ascii="宋体" w:hAnsi="宋体" w:cs="宋体"/>
          <w:szCs w:val="21"/>
        </w:rPr>
      </w:pPr>
      <w:r>
        <w:rPr>
          <w:rFonts w:hint="eastAsia" w:ascii="宋体" w:hAnsi="宋体" w:cs="宋体"/>
          <w:szCs w:val="21"/>
        </w:rPr>
        <w:t>（1）权利人发现登记簿记载错误</w:t>
      </w:r>
      <w:r>
        <w:rPr>
          <w:rFonts w:hint="eastAsia" w:ascii="宋体" w:hAnsi="宋体" w:cs="宋体"/>
          <w:color w:val="FF0000"/>
          <w:szCs w:val="21"/>
          <w:lang w:eastAsia="zh-CN"/>
        </w:rPr>
        <w:t>（</w:t>
      </w:r>
      <w:r>
        <w:rPr>
          <w:rFonts w:hint="eastAsia" w:ascii="宋体" w:hAnsi="宋体" w:cs="宋体"/>
          <w:color w:val="FF0000"/>
          <w:szCs w:val="21"/>
          <w:lang w:val="en-US" w:eastAsia="zh-CN"/>
        </w:rPr>
        <w:t>内容错误如面积位置等，并非权利人错误</w:t>
      </w:r>
      <w:r>
        <w:rPr>
          <w:rFonts w:hint="eastAsia" w:ascii="宋体" w:hAnsi="宋体" w:cs="宋体"/>
          <w:color w:val="FF0000"/>
          <w:szCs w:val="21"/>
          <w:lang w:eastAsia="zh-CN"/>
        </w:rPr>
        <w:t>）</w:t>
      </w:r>
      <w:r>
        <w:rPr>
          <w:rFonts w:hint="eastAsia" w:ascii="宋体" w:hAnsi="宋体" w:cs="宋体"/>
          <w:szCs w:val="21"/>
        </w:rPr>
        <w:t>，并在申请更正登记时提供证据加以证实的，不动产登记机构应予以更正；</w:t>
      </w:r>
    </w:p>
    <w:p w14:paraId="34E32F04">
      <w:pPr>
        <w:spacing w:line="276" w:lineRule="auto"/>
        <w:ind w:firstLine="480"/>
        <w:rPr>
          <w:rFonts w:hint="default" w:ascii="宋体" w:hAnsi="宋体" w:eastAsia="宋体" w:cs="宋体"/>
          <w:color w:val="FF0000"/>
          <w:szCs w:val="21"/>
          <w:lang w:val="en-US" w:eastAsia="zh-CN"/>
        </w:rPr>
      </w:pPr>
      <w:r>
        <w:rPr>
          <w:rFonts w:hint="eastAsia" w:ascii="宋体" w:hAnsi="宋体" w:cs="宋体"/>
          <w:szCs w:val="21"/>
        </w:rPr>
        <w:t>（2）</w:t>
      </w:r>
      <w:r>
        <w:rPr>
          <w:rFonts w:hint="eastAsia" w:ascii="宋体" w:hAnsi="宋体" w:cs="宋体"/>
          <w:color w:val="FF0000"/>
          <w:szCs w:val="21"/>
        </w:rPr>
        <w:t>如系登记簿记载的权利人以外的利害关系提出更正登记</w:t>
      </w:r>
      <w:r>
        <w:rPr>
          <w:rFonts w:hint="eastAsia" w:ascii="宋体" w:hAnsi="宋体" w:cs="宋体"/>
          <w:szCs w:val="21"/>
        </w:rPr>
        <w:t>，则只有在不动产登记簿记载的权利人</w:t>
      </w:r>
      <w:r>
        <w:rPr>
          <w:rFonts w:hint="eastAsia" w:ascii="宋体" w:hAnsi="宋体" w:cs="宋体"/>
          <w:color w:val="FF0000"/>
          <w:szCs w:val="21"/>
        </w:rPr>
        <w:t>书面同意</w:t>
      </w:r>
      <w:r>
        <w:rPr>
          <w:rFonts w:hint="eastAsia" w:ascii="宋体" w:hAnsi="宋体" w:cs="宋体"/>
          <w:szCs w:val="21"/>
        </w:rPr>
        <w:t>之时，登记机构才能予以更正。</w:t>
      </w:r>
      <w:r>
        <w:rPr>
          <w:rFonts w:hint="eastAsia" w:ascii="宋体" w:hAnsi="宋体" w:cs="宋体"/>
          <w:szCs w:val="21"/>
          <w:lang w:val="en-US" w:eastAsia="zh-CN"/>
        </w:rPr>
        <w:t xml:space="preserve"> </w:t>
      </w:r>
      <w:r>
        <w:rPr>
          <w:rFonts w:hint="eastAsia" w:ascii="宋体" w:hAnsi="宋体" w:cs="宋体"/>
          <w:color w:val="FF0000"/>
          <w:szCs w:val="21"/>
          <w:lang w:val="en-US" w:eastAsia="zh-CN"/>
        </w:rPr>
        <w:t>不同意起诉确认物权</w:t>
      </w:r>
    </w:p>
    <w:p w14:paraId="114A7E4E">
      <w:pPr>
        <w:spacing w:line="276" w:lineRule="auto"/>
        <w:ind w:firstLine="480"/>
        <w:rPr>
          <w:b/>
          <w:szCs w:val="21"/>
        </w:rPr>
      </w:pPr>
      <w:r>
        <w:rPr>
          <w:rFonts w:hint="eastAsia"/>
          <w:b/>
          <w:szCs w:val="21"/>
        </w:rPr>
        <w:t>（</w:t>
      </w:r>
      <w:r>
        <w:rPr>
          <w:rFonts w:hint="eastAsia"/>
          <w:b/>
          <w:szCs w:val="21"/>
          <w:lang w:val="en-US" w:eastAsia="zh-CN"/>
        </w:rPr>
        <w:t>四</w:t>
      </w:r>
      <w:r>
        <w:rPr>
          <w:rFonts w:hint="eastAsia"/>
          <w:b/>
          <w:szCs w:val="21"/>
        </w:rPr>
        <w:t>）异议登记</w:t>
      </w:r>
    </w:p>
    <w:p w14:paraId="07DC4858">
      <w:pPr>
        <w:spacing w:line="276" w:lineRule="auto"/>
        <w:ind w:firstLine="480"/>
        <w:rPr>
          <w:rFonts w:hint="eastAsia" w:ascii="楷体" w:hAnsi="楷体" w:eastAsia="楷体"/>
          <w:color w:val="000000"/>
        </w:rPr>
      </w:pPr>
      <w:r>
        <w:rPr>
          <w:rFonts w:hint="eastAsia" w:ascii="楷体" w:hAnsi="楷体" w:eastAsia="楷体"/>
          <w:color w:val="000000"/>
        </w:rPr>
        <w:t>不动产登记簿记载的权利人不同意更正的，利害关系人可以申请异议登记。</w:t>
      </w:r>
    </w:p>
    <w:p w14:paraId="6754A607">
      <w:pPr>
        <w:spacing w:line="276" w:lineRule="auto"/>
        <w:ind w:firstLine="480"/>
        <w:rPr>
          <w:rFonts w:ascii="宋体" w:hAnsi="宋体"/>
          <w:szCs w:val="21"/>
        </w:rPr>
      </w:pPr>
      <w:r>
        <w:rPr>
          <w:rFonts w:hint="eastAsia"/>
          <w:color w:val="FF0000"/>
          <w:szCs w:val="21"/>
          <w:u w:val="single"/>
          <w:lang w:val="en-US" w:eastAsia="zh-CN"/>
        </w:rPr>
        <w:t>效力：</w:t>
      </w:r>
      <w:r>
        <w:rPr>
          <w:rFonts w:hint="eastAsia" w:ascii="宋体" w:hAnsi="宋体" w:cs="宋体"/>
          <w:color w:val="FF0000"/>
          <w:szCs w:val="21"/>
          <w:lang w:val="en-US" w:eastAsia="zh-CN"/>
        </w:rPr>
        <w:t>排除善意取得。</w:t>
      </w:r>
      <w:r>
        <w:rPr>
          <w:rFonts w:hint="eastAsia" w:ascii="宋体" w:hAnsi="宋体" w:cs="宋体"/>
          <w:szCs w:val="21"/>
        </w:rPr>
        <w:t>异议登记将使记载于登记簿上的物权失去公信力，从而使第三人无从主张根据登记的公信力善意取得不动产物权</w:t>
      </w:r>
      <w:r>
        <w:rPr>
          <w:rFonts w:hint="eastAsia" w:ascii="宋体" w:hAnsi="宋体"/>
          <w:szCs w:val="21"/>
        </w:rPr>
        <w:t>。</w:t>
      </w:r>
    </w:p>
    <w:p w14:paraId="1010BA86">
      <w:pPr>
        <w:spacing w:line="276" w:lineRule="auto"/>
        <w:ind w:firstLine="480"/>
        <w:rPr>
          <w:rFonts w:hint="default" w:ascii="宋体" w:hAnsi="宋体" w:eastAsia="宋体"/>
          <w:color w:val="FF0000"/>
          <w:szCs w:val="21"/>
          <w:lang w:val="en-US" w:eastAsia="zh-CN"/>
        </w:rPr>
      </w:pPr>
      <w:r>
        <w:rPr>
          <w:rFonts w:hint="eastAsia" w:ascii="宋体" w:hAnsi="宋体"/>
          <w:szCs w:val="21"/>
        </w:rPr>
        <w:t>登记机构在进行异议登记之后，申请人应在异议登记之日起15日内向人民法院提起诉讼，要求确认自己在不动产上的物权。逾期不起诉的，异议登记失去效力。</w:t>
      </w:r>
      <w:r>
        <w:rPr>
          <w:rFonts w:hint="eastAsia" w:ascii="宋体" w:hAnsi="宋体"/>
          <w:color w:val="FF0000"/>
          <w:szCs w:val="21"/>
          <w:lang w:val="en-US" w:eastAsia="zh-CN"/>
        </w:rPr>
        <w:t>异议登记失效，不影响起诉确认物权</w:t>
      </w:r>
    </w:p>
    <w:p w14:paraId="1D1EAAD1">
      <w:pPr>
        <w:spacing w:line="276" w:lineRule="auto"/>
        <w:ind w:firstLine="480"/>
        <w:rPr>
          <w:rFonts w:hint="eastAsia"/>
          <w:szCs w:val="21"/>
        </w:rPr>
      </w:pPr>
      <w:r>
        <w:rPr>
          <w:rFonts w:hint="eastAsia" w:ascii="宋体" w:hAnsi="宋体"/>
          <w:color w:val="FF0000"/>
          <w:szCs w:val="21"/>
          <w:lang w:val="en-US" w:eastAsia="zh-CN"/>
        </w:rPr>
        <w:t>异议登记不当的赔偿责任：</w:t>
      </w:r>
      <w:r>
        <w:rPr>
          <w:rFonts w:hint="eastAsia" w:ascii="宋体" w:hAnsi="宋体"/>
          <w:szCs w:val="21"/>
        </w:rPr>
        <w:t>如果异议申请人败诉，则申请人</w:t>
      </w:r>
      <w:r>
        <w:rPr>
          <w:rFonts w:hint="eastAsia"/>
          <w:szCs w:val="21"/>
        </w:rPr>
        <w:t>或登记簿记载的权利人可申请注销异议登记，权利人因此遭受损失的（如因异议登记丧失了交易机会），可以向异议申请人要求损害赔偿</w:t>
      </w:r>
    </w:p>
    <w:p w14:paraId="1B87807F">
      <w:pPr>
        <w:spacing w:line="276" w:lineRule="auto"/>
        <w:ind w:firstLine="480"/>
        <w:rPr>
          <w:b/>
          <w:szCs w:val="21"/>
        </w:rPr>
      </w:pPr>
      <w:r>
        <w:rPr>
          <w:rFonts w:hint="eastAsia"/>
          <w:b/>
          <w:szCs w:val="21"/>
        </w:rPr>
        <w:t>（</w:t>
      </w:r>
      <w:r>
        <w:rPr>
          <w:rFonts w:hint="eastAsia"/>
          <w:b/>
          <w:szCs w:val="21"/>
          <w:lang w:val="en-US" w:eastAsia="zh-CN"/>
        </w:rPr>
        <w:t>五</w:t>
      </w:r>
      <w:r>
        <w:rPr>
          <w:rFonts w:hint="eastAsia"/>
          <w:b/>
          <w:szCs w:val="21"/>
        </w:rPr>
        <w:t>）预告登记</w:t>
      </w:r>
    </w:p>
    <w:p w14:paraId="3824C2D1">
      <w:pPr>
        <w:spacing w:line="276" w:lineRule="auto"/>
        <w:ind w:firstLine="480"/>
        <w:rPr>
          <w:rFonts w:ascii="楷体" w:hAnsi="楷体" w:eastAsia="楷体"/>
          <w:szCs w:val="21"/>
        </w:rPr>
      </w:pPr>
      <w:r>
        <w:rPr>
          <w:rFonts w:hint="eastAsia" w:ascii="楷体" w:hAnsi="楷体" w:eastAsia="楷体"/>
          <w:b/>
          <w:bCs/>
          <w:szCs w:val="21"/>
        </w:rPr>
        <w:t>《民法典》第2</w:t>
      </w:r>
      <w:r>
        <w:rPr>
          <w:rFonts w:ascii="楷体" w:hAnsi="楷体" w:eastAsia="楷体"/>
          <w:b/>
          <w:bCs/>
          <w:szCs w:val="21"/>
        </w:rPr>
        <w:t>21</w:t>
      </w:r>
      <w:r>
        <w:rPr>
          <w:rFonts w:hint="eastAsia" w:ascii="楷体" w:hAnsi="楷体" w:eastAsia="楷体"/>
          <w:b/>
          <w:bCs/>
          <w:szCs w:val="21"/>
        </w:rPr>
        <w:t xml:space="preserve">条 </w:t>
      </w:r>
      <w:r>
        <w:rPr>
          <w:rFonts w:hint="eastAsia" w:ascii="楷体" w:hAnsi="楷体" w:eastAsia="楷体"/>
          <w:szCs w:val="21"/>
        </w:rPr>
        <w:t xml:space="preserve"> 当事人签订买卖房屋或者其他不动产物权的协议，为保障将来实现物权，按照约定可以向登记机构申请预告登记。预告登记后，未经预告登记的权利人同意，处分该不动产的，不发生物权效力。预告登记后，债权消灭或者自能够进行不动产登记之日起三个月内未申请登记的，预告登记失效。</w:t>
      </w:r>
    </w:p>
    <w:p w14:paraId="5793350D">
      <w:pPr>
        <w:spacing w:line="276" w:lineRule="auto"/>
        <w:ind w:firstLine="480"/>
        <w:rPr>
          <w:rFonts w:hint="eastAsia"/>
          <w:szCs w:val="21"/>
        </w:rPr>
      </w:pPr>
      <w:r>
        <w:rPr>
          <w:rFonts w:hint="eastAsia"/>
          <w:szCs w:val="21"/>
          <w:lang w:val="en-US" w:eastAsia="zh-CN"/>
        </w:rPr>
        <w:t>预告登记效果</w:t>
      </w:r>
      <w:r>
        <w:rPr>
          <w:rFonts w:hint="eastAsia"/>
          <w:color w:val="FF0000"/>
          <w:szCs w:val="21"/>
          <w:lang w:val="en-US" w:eastAsia="zh-CN"/>
        </w:rPr>
        <w:t>：未经预告登记的权利人同意，处分该不动产的，不发生物权效力</w:t>
      </w:r>
      <w:r>
        <w:rPr>
          <w:rFonts w:hint="eastAsia"/>
          <w:szCs w:val="21"/>
          <w:lang w:val="en-US" w:eastAsia="zh-CN"/>
        </w:rPr>
        <w:t>。（债权产生优先效力）</w:t>
      </w:r>
    </w:p>
    <w:p w14:paraId="4EEB1DD1">
      <w:pPr>
        <w:spacing w:line="276" w:lineRule="auto"/>
        <w:ind w:firstLine="480"/>
        <w:rPr>
          <w:rFonts w:hint="eastAsia" w:ascii="宋体" w:hAnsi="宋体"/>
          <w:szCs w:val="21"/>
        </w:rPr>
      </w:pPr>
      <w:r>
        <w:rPr>
          <w:rFonts w:hint="eastAsia" w:ascii="宋体" w:hAnsi="宋体"/>
          <w:szCs w:val="21"/>
          <w:lang w:val="en-US" w:eastAsia="zh-CN"/>
        </w:rPr>
        <w:t>处分：</w:t>
      </w:r>
      <w:r>
        <w:rPr>
          <w:rFonts w:hint="eastAsia" w:ascii="宋体" w:hAnsi="宋体"/>
          <w:szCs w:val="21"/>
        </w:rPr>
        <w:t>未未经预告登记的权利人同意，</w:t>
      </w:r>
      <w:r>
        <w:rPr>
          <w:rFonts w:hint="eastAsia" w:ascii="宋体" w:hAnsi="宋体"/>
          <w:color w:val="FF0000"/>
          <w:szCs w:val="21"/>
        </w:rPr>
        <w:t>转让不动产所有权等物权，或者设立建设用地使用权、居住权、地役权、抵押权等其他物权的，</w:t>
      </w:r>
      <w:r>
        <w:rPr>
          <w:rFonts w:hint="eastAsia" w:ascii="宋体" w:hAnsi="宋体"/>
          <w:szCs w:val="21"/>
        </w:rPr>
        <w:t>应当依照民法典第二百二十一条第一款的规定，认定其不发生物权效力”。</w:t>
      </w:r>
    </w:p>
    <w:p w14:paraId="63DC4F7E">
      <w:pPr>
        <w:spacing w:line="276" w:lineRule="auto"/>
        <w:ind w:firstLine="480"/>
        <w:rPr>
          <w:rFonts w:hint="eastAsia" w:ascii="宋体" w:hAnsi="宋体"/>
          <w:color w:val="FF0000"/>
          <w:szCs w:val="21"/>
          <w:lang w:val="en-US" w:eastAsia="zh-CN"/>
        </w:rPr>
      </w:pPr>
      <w:r>
        <w:rPr>
          <w:rFonts w:hint="eastAsia" w:ascii="宋体" w:hAnsi="宋体"/>
          <w:szCs w:val="21"/>
          <w:lang w:val="en-US" w:eastAsia="zh-CN"/>
        </w:rPr>
        <w:t>不发生物权效力：不能发生物权变动，</w:t>
      </w:r>
      <w:r>
        <w:rPr>
          <w:rFonts w:hint="eastAsia" w:ascii="宋体" w:hAnsi="宋体"/>
          <w:color w:val="FF0000"/>
          <w:szCs w:val="21"/>
          <w:lang w:val="en-US" w:eastAsia="zh-CN"/>
        </w:rPr>
        <w:t>但不影响合同效力</w:t>
      </w:r>
    </w:p>
    <w:p w14:paraId="0470F3E8">
      <w:pPr>
        <w:spacing w:line="276" w:lineRule="auto"/>
        <w:ind w:firstLine="480"/>
        <w:rPr>
          <w:szCs w:val="21"/>
        </w:rPr>
      </w:pPr>
    </w:p>
    <w:p w14:paraId="5B68E1AD">
      <w:pPr>
        <w:spacing w:line="276" w:lineRule="auto"/>
        <w:ind w:firstLine="480"/>
        <w:rPr>
          <w:rFonts w:hint="eastAsia"/>
          <w:szCs w:val="21"/>
          <w:lang w:val="en-US" w:eastAsia="zh-CN"/>
        </w:rPr>
      </w:pPr>
      <w:r>
        <w:rPr>
          <w:rFonts w:hint="eastAsia"/>
          <w:szCs w:val="21"/>
          <w:lang w:val="en-US" w:eastAsia="zh-CN"/>
        </w:rPr>
        <w:t>抵押权预告登记</w:t>
      </w:r>
    </w:p>
    <w:p w14:paraId="4D608E5D">
      <w:pPr>
        <w:spacing w:line="276" w:lineRule="auto"/>
        <w:ind w:firstLine="480"/>
        <w:rPr>
          <w:rFonts w:ascii="Times New Roman" w:hAnsi="Times New Roman" w:eastAsia="楷体" w:cs="Times New Roman"/>
        </w:rPr>
      </w:pPr>
      <w:r>
        <w:rPr>
          <w:rFonts w:ascii="Times New Roman" w:hAnsi="Times New Roman" w:eastAsia="楷体" w:cs="Times New Roman"/>
        </w:rPr>
        <w:t>当事人办理抵押预告登记后，预告登记权利人请求就抵押财产优先受偿，经审查存在尚未办理建筑物所有权首次登记、</w:t>
      </w:r>
      <w:bookmarkStart w:id="14" w:name="_Hlk129620366"/>
      <w:r>
        <w:rPr>
          <w:rFonts w:ascii="Times New Roman" w:hAnsi="Times New Roman" w:eastAsia="楷体" w:cs="Times New Roman"/>
        </w:rPr>
        <w:t>预告登记的财产与办理建筑物所有权首次登记时的财产不一致</w:t>
      </w:r>
      <w:bookmarkEnd w:id="14"/>
      <w:r>
        <w:rPr>
          <w:rFonts w:ascii="Times New Roman" w:hAnsi="Times New Roman" w:eastAsia="楷体" w:cs="Times New Roman"/>
        </w:rPr>
        <w:t>、抵押预告登记已经失效等情形，导致不具备办理抵押登记条件的，人民法院不予支持；</w:t>
      </w:r>
      <w:r>
        <w:rPr>
          <w:rFonts w:ascii="Times New Roman" w:hAnsi="Times New Roman" w:eastAsia="楷体" w:cs="Times New Roman"/>
          <w:b/>
          <w:bCs/>
        </w:rPr>
        <w:t>经审查已经</w:t>
      </w:r>
      <w:bookmarkStart w:id="15" w:name="_Hlk129620342"/>
      <w:r>
        <w:rPr>
          <w:rFonts w:ascii="Times New Roman" w:hAnsi="Times New Roman" w:eastAsia="楷体" w:cs="Times New Roman"/>
          <w:b/>
          <w:bCs/>
        </w:rPr>
        <w:t>办理建筑物所有权首次登记</w:t>
      </w:r>
      <w:bookmarkEnd w:id="15"/>
      <w:r>
        <w:rPr>
          <w:rFonts w:ascii="Times New Roman" w:hAnsi="Times New Roman" w:eastAsia="楷体" w:cs="Times New Roman"/>
          <w:b/>
          <w:bCs/>
        </w:rPr>
        <w:t>，且</w:t>
      </w:r>
      <w:bookmarkStart w:id="16" w:name="_Hlk129620354"/>
      <w:r>
        <w:rPr>
          <w:rFonts w:ascii="Times New Roman" w:hAnsi="Times New Roman" w:eastAsia="楷体" w:cs="Times New Roman"/>
          <w:b/>
          <w:bCs/>
        </w:rPr>
        <w:t>不存在预告登记失效</w:t>
      </w:r>
      <w:bookmarkEnd w:id="16"/>
      <w:r>
        <w:rPr>
          <w:rFonts w:ascii="Times New Roman" w:hAnsi="Times New Roman" w:eastAsia="楷体" w:cs="Times New Roman"/>
          <w:b/>
          <w:bCs/>
        </w:rPr>
        <w:t>等情形的，人民法院应予支持，并</w:t>
      </w:r>
      <w:bookmarkStart w:id="17" w:name="_Hlk129612694"/>
      <w:r>
        <w:rPr>
          <w:rFonts w:ascii="Times New Roman" w:hAnsi="Times New Roman" w:eastAsia="楷体" w:cs="Times New Roman"/>
          <w:b/>
          <w:bCs/>
        </w:rPr>
        <w:t>应当认定抵押权自预告登记之日起设立</w:t>
      </w:r>
      <w:bookmarkEnd w:id="17"/>
      <w:r>
        <w:rPr>
          <w:rFonts w:ascii="Times New Roman" w:hAnsi="Times New Roman" w:eastAsia="楷体" w:cs="Times New Roman"/>
        </w:rPr>
        <w:t>。</w:t>
      </w:r>
    </w:p>
    <w:p w14:paraId="27E22DB5">
      <w:pPr>
        <w:spacing w:line="276" w:lineRule="auto"/>
        <w:ind w:firstLine="480"/>
        <w:rPr>
          <w:rFonts w:hint="default" w:ascii="Times New Roman" w:hAnsi="Times New Roman" w:eastAsia="楷体" w:cs="Times New Roman"/>
          <w:lang w:val="en-US" w:eastAsia="zh-CN"/>
        </w:rPr>
      </w:pPr>
    </w:p>
    <w:p w14:paraId="2982EBCF">
      <w:pPr>
        <w:spacing w:line="276" w:lineRule="auto"/>
        <w:ind w:firstLine="480"/>
        <w:rPr>
          <w:b/>
          <w:szCs w:val="21"/>
        </w:rPr>
      </w:pPr>
      <w:r>
        <w:rPr>
          <w:rFonts w:hint="eastAsia"/>
          <w:b/>
          <w:szCs w:val="21"/>
          <w:lang w:val="en-US" w:eastAsia="zh-CN"/>
        </w:rPr>
        <w:t>二</w:t>
      </w:r>
      <w:r>
        <w:rPr>
          <w:rFonts w:hint="eastAsia"/>
          <w:b/>
          <w:szCs w:val="21"/>
        </w:rPr>
        <w:t>、动产交付</w:t>
      </w:r>
    </w:p>
    <w:p w14:paraId="5C7ED124">
      <w:pPr>
        <w:spacing w:line="276" w:lineRule="auto"/>
        <w:ind w:firstLine="480"/>
        <w:rPr>
          <w:b/>
          <w:szCs w:val="21"/>
        </w:rPr>
      </w:pPr>
      <w:r>
        <w:rPr>
          <w:rFonts w:hint="eastAsia"/>
          <w:b/>
          <w:szCs w:val="21"/>
        </w:rPr>
        <w:t>（一）交付作为动产物权变动的生效要件</w:t>
      </w:r>
    </w:p>
    <w:p w14:paraId="4F71EB25">
      <w:pPr>
        <w:spacing w:line="276" w:lineRule="auto"/>
        <w:ind w:firstLine="480"/>
        <w:rPr>
          <w:rFonts w:hint="eastAsia" w:ascii="宋体" w:hAnsi="宋体"/>
          <w:color w:val="FF0000"/>
          <w:szCs w:val="21"/>
          <w:lang w:val="en-US" w:eastAsia="zh-CN"/>
        </w:rPr>
      </w:pPr>
      <w:r>
        <w:rPr>
          <w:rFonts w:hint="eastAsia" w:ascii="宋体" w:hAnsi="宋体"/>
          <w:szCs w:val="21"/>
          <w:lang w:val="en-US" w:eastAsia="zh-CN"/>
        </w:rPr>
        <w:t>包括所有权转移和质权设定，都需要交付；</w:t>
      </w:r>
      <w:r>
        <w:rPr>
          <w:rFonts w:hint="eastAsia" w:ascii="宋体" w:hAnsi="宋体"/>
          <w:color w:val="FF0000"/>
          <w:szCs w:val="21"/>
          <w:lang w:val="en-US" w:eastAsia="zh-CN"/>
        </w:rPr>
        <w:t>动产抵押权合同生效物权设立，登记对抗，没有交付问题</w:t>
      </w:r>
    </w:p>
    <w:p w14:paraId="146A555E">
      <w:pPr>
        <w:spacing w:line="276" w:lineRule="auto"/>
        <w:ind w:firstLine="480"/>
        <w:rPr>
          <w:rFonts w:hint="default" w:ascii="宋体" w:hAnsi="宋体"/>
          <w:color w:val="FF0000"/>
          <w:szCs w:val="21"/>
          <w:lang w:val="en-US" w:eastAsia="zh-CN"/>
        </w:rPr>
      </w:pPr>
      <w:r>
        <w:rPr>
          <w:rFonts w:hint="eastAsia" w:ascii="汉仪书宋二简" w:cs="Times New Roman"/>
          <w:color w:val="000000"/>
        </w:rPr>
        <w:t>交付</w:t>
      </w:r>
      <w:r>
        <w:rPr>
          <w:rFonts w:hint="eastAsia" w:ascii="汉仪书宋二简" w:hAnsi="Calibri" w:cs="Times New Roman"/>
          <w:color w:val="000000"/>
        </w:rPr>
        <w:t>系出让人</w:t>
      </w:r>
      <w:r>
        <w:rPr>
          <w:rFonts w:hint="eastAsia" w:ascii="汉仪书宋二简" w:eastAsia="汉仪中黑简" w:cs="Times New Roman"/>
          <w:color w:val="FF0000"/>
        </w:rPr>
        <w:t>自愿</w:t>
      </w:r>
      <w:r>
        <w:rPr>
          <w:rFonts w:hint="eastAsia" w:ascii="汉仪书宋二简" w:hAnsi="Calibri" w:cs="Times New Roman"/>
          <w:color w:val="000000"/>
        </w:rPr>
        <w:t>将动产的占有让渡给受让人的情形</w:t>
      </w:r>
    </w:p>
    <w:p w14:paraId="161630DB">
      <w:pPr>
        <w:spacing w:line="276" w:lineRule="auto"/>
        <w:ind w:firstLine="480"/>
        <w:rPr>
          <w:b/>
          <w:szCs w:val="21"/>
        </w:rPr>
      </w:pPr>
      <w:r>
        <w:rPr>
          <w:rFonts w:hint="eastAsia"/>
          <w:b/>
          <w:szCs w:val="21"/>
        </w:rPr>
        <w:t>（二）简易交付</w:t>
      </w:r>
    </w:p>
    <w:p w14:paraId="6F71E0BC">
      <w:pPr>
        <w:spacing w:line="276" w:lineRule="auto"/>
        <w:ind w:firstLine="480"/>
        <w:rPr>
          <w:rFonts w:ascii="楷体" w:hAnsi="楷体" w:eastAsia="楷体"/>
          <w:szCs w:val="21"/>
        </w:rPr>
      </w:pPr>
      <w:r>
        <w:rPr>
          <w:rFonts w:hint="eastAsia" w:ascii="楷体" w:hAnsi="楷体" w:eastAsia="楷体"/>
          <w:szCs w:val="21"/>
        </w:rPr>
        <w:t>动产物权设立和转让前，权利人已经占有该动产的，</w:t>
      </w:r>
      <w:r>
        <w:rPr>
          <w:rFonts w:hint="eastAsia" w:ascii="楷体" w:hAnsi="楷体" w:eastAsia="楷体"/>
          <w:color w:val="FF0000"/>
          <w:szCs w:val="21"/>
        </w:rPr>
        <w:t>物权自法律行为生效时</w:t>
      </w:r>
      <w:r>
        <w:rPr>
          <w:rFonts w:hint="eastAsia" w:ascii="楷体" w:hAnsi="楷体" w:eastAsia="楷体"/>
          <w:szCs w:val="21"/>
        </w:rPr>
        <w:t>发生效力。</w:t>
      </w:r>
    </w:p>
    <w:p w14:paraId="009788DB">
      <w:pPr>
        <w:spacing w:line="276" w:lineRule="auto"/>
        <w:ind w:firstLine="480"/>
        <w:rPr>
          <w:b/>
          <w:szCs w:val="21"/>
        </w:rPr>
      </w:pPr>
      <w:r>
        <w:rPr>
          <w:rFonts w:hint="eastAsia"/>
          <w:b/>
          <w:szCs w:val="21"/>
        </w:rPr>
        <w:t>（三）指示交付（返还请求权让与）</w:t>
      </w:r>
    </w:p>
    <w:p w14:paraId="3AF2BA5B">
      <w:pPr>
        <w:spacing w:line="276" w:lineRule="auto"/>
        <w:ind w:firstLine="480"/>
        <w:rPr>
          <w:rFonts w:hint="eastAsia" w:ascii="楷体" w:hAnsi="楷体" w:eastAsia="楷体"/>
          <w:szCs w:val="21"/>
          <w:lang w:eastAsia="zh-CN"/>
        </w:rPr>
      </w:pPr>
      <w:r>
        <w:rPr>
          <w:rFonts w:hint="eastAsia" w:ascii="楷体" w:hAnsi="楷体" w:eastAsia="楷体"/>
          <w:szCs w:val="21"/>
        </w:rPr>
        <w:t xml:space="preserve"> 动产物权设立和转让前，第三人占有该动产的，负有交付义务的人可以通过转让请求第三人返还原物的权利代替交付。</w:t>
      </w:r>
      <w:r>
        <w:rPr>
          <w:rFonts w:hint="eastAsia" w:ascii="楷体" w:hAnsi="楷体" w:eastAsia="楷体"/>
          <w:szCs w:val="21"/>
          <w:lang w:eastAsia="zh-CN"/>
        </w:rPr>
        <w:t>（</w:t>
      </w:r>
      <w:r>
        <w:rPr>
          <w:rFonts w:hint="eastAsia" w:ascii="楷体" w:hAnsi="楷体" w:eastAsia="楷体"/>
          <w:szCs w:val="21"/>
          <w:lang w:val="en-US" w:eastAsia="zh-CN"/>
        </w:rPr>
        <w:t>如出卖人对第三人的返还原物请求权让与给买受人</w:t>
      </w:r>
      <w:r>
        <w:rPr>
          <w:rFonts w:hint="eastAsia" w:ascii="楷体" w:hAnsi="楷体" w:eastAsia="楷体"/>
          <w:szCs w:val="21"/>
          <w:lang w:eastAsia="zh-CN"/>
        </w:rPr>
        <w:t>）</w:t>
      </w:r>
    </w:p>
    <w:p w14:paraId="52BC70F8">
      <w:pPr>
        <w:spacing w:line="276" w:lineRule="auto"/>
        <w:ind w:firstLine="482"/>
        <w:rPr>
          <w:rFonts w:hint="eastAsia"/>
          <w:szCs w:val="21"/>
          <w:u w:val="single"/>
        </w:rPr>
      </w:pPr>
      <w:r>
        <w:rPr>
          <w:rFonts w:hint="eastAsia"/>
          <w:color w:val="FF0000"/>
          <w:szCs w:val="21"/>
          <w:u w:val="single"/>
        </w:rPr>
        <w:t>当事人双方就返还请求权的让与达成一致时</w:t>
      </w:r>
      <w:r>
        <w:rPr>
          <w:rFonts w:hint="eastAsia"/>
          <w:szCs w:val="21"/>
          <w:u w:val="single"/>
        </w:rPr>
        <w:t>，即发生动产所有权转移的效力。</w:t>
      </w:r>
    </w:p>
    <w:p w14:paraId="652578F5">
      <w:pPr>
        <w:spacing w:line="276" w:lineRule="auto"/>
        <w:ind w:firstLine="482"/>
        <w:rPr>
          <w:rFonts w:hint="default" w:eastAsia="宋体"/>
          <w:szCs w:val="21"/>
          <w:u w:val="single"/>
          <w:lang w:val="en-US" w:eastAsia="zh-CN"/>
        </w:rPr>
      </w:pPr>
      <w:r>
        <w:rPr>
          <w:rFonts w:hint="eastAsia"/>
          <w:szCs w:val="21"/>
          <w:u w:val="single"/>
          <w:lang w:val="en-US" w:eastAsia="zh-CN"/>
        </w:rPr>
        <w:t>所有权指示交付不需要通知第三人，质权需要</w:t>
      </w:r>
    </w:p>
    <w:p w14:paraId="7B090424">
      <w:pPr>
        <w:spacing w:line="276" w:lineRule="auto"/>
        <w:ind w:firstLine="480"/>
        <w:rPr>
          <w:b/>
          <w:szCs w:val="21"/>
        </w:rPr>
      </w:pPr>
      <w:r>
        <w:rPr>
          <w:rFonts w:hint="eastAsia"/>
          <w:b/>
          <w:szCs w:val="21"/>
        </w:rPr>
        <w:t>（四）占有改定</w:t>
      </w:r>
    </w:p>
    <w:p w14:paraId="067C1589">
      <w:pPr>
        <w:spacing w:line="276" w:lineRule="auto"/>
        <w:ind w:firstLine="480"/>
        <w:rPr>
          <w:rFonts w:ascii="楷体" w:hAnsi="楷体" w:eastAsia="楷体"/>
          <w:szCs w:val="21"/>
        </w:rPr>
      </w:pPr>
      <w:r>
        <w:rPr>
          <w:rFonts w:hint="eastAsia" w:ascii="楷体" w:hAnsi="楷体" w:eastAsia="楷体"/>
          <w:szCs w:val="21"/>
        </w:rPr>
        <w:t>动产物权转让时，当事人又约定由出让人继续占有该动产的，物权自该约定生效时发生效力。</w:t>
      </w:r>
    </w:p>
    <w:p w14:paraId="5FE1A6D9">
      <w:pPr>
        <w:spacing w:line="276" w:lineRule="auto"/>
        <w:ind w:firstLine="480"/>
        <w:rPr>
          <w:rFonts w:hint="eastAsia"/>
          <w:szCs w:val="21"/>
        </w:rPr>
      </w:pPr>
      <w:r>
        <w:rPr>
          <w:rFonts w:hint="eastAsia"/>
          <w:color w:val="FF0000"/>
          <w:szCs w:val="21"/>
        </w:rPr>
        <w:t>占有改定方式</w:t>
      </w:r>
      <w:r>
        <w:rPr>
          <w:rFonts w:hint="eastAsia"/>
          <w:color w:val="FF0000"/>
          <w:szCs w:val="21"/>
          <w:lang w:val="en-US" w:eastAsia="zh-CN"/>
        </w:rPr>
        <w:t>不能</w:t>
      </w:r>
      <w:r>
        <w:rPr>
          <w:rFonts w:hint="eastAsia"/>
          <w:color w:val="FF0000"/>
          <w:szCs w:val="21"/>
        </w:rPr>
        <w:t>设立动产质权</w:t>
      </w:r>
      <w:r>
        <w:rPr>
          <w:rFonts w:hint="eastAsia"/>
          <w:szCs w:val="21"/>
        </w:rPr>
        <w:t>。</w:t>
      </w:r>
    </w:p>
    <w:p w14:paraId="1E65D4C6">
      <w:pPr>
        <w:spacing w:line="276" w:lineRule="auto"/>
        <w:ind w:firstLine="480"/>
        <w:rPr>
          <w:rFonts w:hint="eastAsia"/>
          <w:color w:val="FF0000"/>
          <w:szCs w:val="21"/>
          <w:lang w:val="en-US" w:eastAsia="zh-CN"/>
        </w:rPr>
      </w:pPr>
      <w:r>
        <w:rPr>
          <w:rFonts w:hint="eastAsia"/>
          <w:szCs w:val="21"/>
          <w:lang w:val="en-US" w:eastAsia="zh-CN"/>
        </w:rPr>
        <w:t>占有改定不同于</w:t>
      </w:r>
      <w:r>
        <w:rPr>
          <w:rFonts w:hint="eastAsia"/>
          <w:color w:val="000000"/>
          <w:szCs w:val="21"/>
        </w:rPr>
        <w:t>当事人间单纯的延迟交付的约定</w:t>
      </w:r>
      <w:r>
        <w:rPr>
          <w:rFonts w:hint="eastAsia"/>
          <w:szCs w:val="21"/>
          <w:lang w:val="en-US" w:eastAsia="zh-CN"/>
        </w:rPr>
        <w:t>，</w:t>
      </w:r>
      <w:r>
        <w:rPr>
          <w:rFonts w:hint="eastAsia"/>
          <w:color w:val="FF0000"/>
          <w:szCs w:val="21"/>
          <w:lang w:val="en-US" w:eastAsia="zh-CN"/>
        </w:rPr>
        <w:t>延期交付原到期日时不能发生所有权变动</w:t>
      </w:r>
    </w:p>
    <w:p w14:paraId="4C7A6DA5">
      <w:pPr>
        <w:spacing w:line="276" w:lineRule="auto"/>
        <w:ind w:firstLine="480"/>
        <w:rPr>
          <w:b/>
          <w:szCs w:val="21"/>
        </w:rPr>
      </w:pPr>
      <w:r>
        <w:rPr>
          <w:rFonts w:hint="eastAsia"/>
          <w:b/>
          <w:szCs w:val="21"/>
          <w:lang w:eastAsia="zh-CN"/>
        </w:rPr>
        <w:t>（</w:t>
      </w:r>
      <w:r>
        <w:rPr>
          <w:rFonts w:hint="eastAsia"/>
          <w:b/>
          <w:szCs w:val="21"/>
          <w:lang w:val="en-US" w:eastAsia="zh-CN"/>
        </w:rPr>
        <w:t>五</w:t>
      </w:r>
      <w:r>
        <w:rPr>
          <w:rFonts w:hint="eastAsia"/>
          <w:b/>
          <w:szCs w:val="21"/>
          <w:lang w:eastAsia="zh-CN"/>
        </w:rPr>
        <w:t>）</w:t>
      </w:r>
      <w:r>
        <w:rPr>
          <w:rFonts w:hint="eastAsia"/>
          <w:b/>
          <w:szCs w:val="21"/>
        </w:rPr>
        <w:t xml:space="preserve">机动车等特殊动产的物权变动 </w:t>
      </w:r>
    </w:p>
    <w:p w14:paraId="5120CFBE">
      <w:pPr>
        <w:spacing w:line="276" w:lineRule="auto"/>
        <w:ind w:firstLine="480"/>
        <w:rPr>
          <w:rFonts w:ascii="楷体" w:hAnsi="楷体" w:eastAsia="楷体"/>
          <w:szCs w:val="21"/>
        </w:rPr>
      </w:pPr>
      <w:r>
        <w:rPr>
          <w:rFonts w:hint="eastAsia" w:ascii="楷体" w:hAnsi="楷体" w:eastAsia="楷体"/>
          <w:szCs w:val="21"/>
        </w:rPr>
        <w:t>船舶、航空器和机动车等物权的设立、变更、转让和消灭，未经登记，不得对抗善意第三人。</w:t>
      </w:r>
    </w:p>
    <w:p w14:paraId="58ADEF83">
      <w:pPr>
        <w:spacing w:line="276" w:lineRule="auto"/>
        <w:ind w:firstLine="480"/>
        <w:rPr>
          <w:rFonts w:hint="default" w:ascii="宋体" w:hAnsi="宋体" w:eastAsia="宋体"/>
          <w:szCs w:val="21"/>
          <w:lang w:val="en-US" w:eastAsia="zh-CN"/>
        </w:rPr>
      </w:pPr>
      <w:r>
        <w:rPr>
          <w:rFonts w:hint="eastAsia" w:ascii="宋体" w:hAnsi="宋体"/>
          <w:szCs w:val="21"/>
        </w:rPr>
        <w:t>交付标的物是动产所有权变动的必要条件。</w:t>
      </w:r>
      <w:r>
        <w:rPr>
          <w:rFonts w:hint="eastAsia" w:ascii="宋体" w:hAnsi="宋体"/>
          <w:szCs w:val="21"/>
          <w:lang w:val="en-US" w:eastAsia="zh-CN"/>
        </w:rPr>
        <w:t>交付后没有登记也移转所有权</w:t>
      </w:r>
    </w:p>
    <w:p w14:paraId="6A96D1A8">
      <w:pPr>
        <w:spacing w:line="276" w:lineRule="auto"/>
        <w:ind w:firstLine="480"/>
        <w:rPr>
          <w:rFonts w:hint="eastAsia" w:ascii="宋体" w:hAnsi="宋体" w:eastAsia="宋体"/>
          <w:szCs w:val="21"/>
          <w:lang w:eastAsia="zh-CN"/>
        </w:rPr>
      </w:pPr>
      <w:r>
        <w:rPr>
          <w:rFonts w:hint="eastAsia" w:ascii="宋体" w:hAnsi="宋体"/>
          <w:szCs w:val="21"/>
        </w:rPr>
        <w:t>如未经登记，则物权变动的效果不得对抗善意第三人。</w:t>
      </w:r>
      <w:r>
        <w:rPr>
          <w:rFonts w:hint="eastAsia" w:ascii="宋体" w:hAnsi="宋体"/>
          <w:szCs w:val="21"/>
          <w:lang w:eastAsia="zh-CN"/>
        </w:rPr>
        <w:t>（</w:t>
      </w:r>
      <w:r>
        <w:rPr>
          <w:rFonts w:hint="eastAsia" w:ascii="宋体" w:hAnsi="宋体"/>
          <w:color w:val="FF0000"/>
          <w:szCs w:val="21"/>
          <w:lang w:val="en-US" w:eastAsia="zh-CN"/>
        </w:rPr>
        <w:t>第三人可能善意取得该交通工具</w:t>
      </w:r>
      <w:r>
        <w:rPr>
          <w:rFonts w:hint="eastAsia" w:ascii="宋体" w:hAnsi="宋体"/>
          <w:szCs w:val="21"/>
          <w:lang w:eastAsia="zh-CN"/>
        </w:rPr>
        <w:t>）</w:t>
      </w:r>
    </w:p>
    <w:p w14:paraId="1F979148">
      <w:pPr>
        <w:spacing w:line="276" w:lineRule="auto"/>
        <w:ind w:firstLine="480"/>
        <w:rPr>
          <w:rFonts w:hint="default" w:ascii="宋体" w:hAnsi="宋体" w:eastAsia="宋体"/>
          <w:szCs w:val="21"/>
          <w:lang w:val="en-US" w:eastAsia="zh-CN"/>
        </w:rPr>
      </w:pPr>
      <w:r>
        <w:rPr>
          <w:rFonts w:hint="eastAsia" w:ascii="宋体" w:hAnsi="宋体"/>
          <w:szCs w:val="21"/>
          <w:lang w:val="en-US" w:eastAsia="zh-CN"/>
        </w:rPr>
        <w:t>善意第三人指的是交易关系中第三人，不是一般债权人</w:t>
      </w:r>
    </w:p>
    <w:p w14:paraId="46705CD8">
      <w:pPr>
        <w:spacing w:line="276" w:lineRule="auto"/>
        <w:ind w:firstLine="480"/>
        <w:rPr>
          <w:rFonts w:hint="eastAsia" w:ascii="楷体" w:hAnsi="楷体" w:eastAsia="楷体"/>
          <w:szCs w:val="21"/>
        </w:rPr>
      </w:pPr>
      <w:r>
        <w:rPr>
          <w:rFonts w:hint="eastAsia" w:ascii="楷体" w:hAnsi="楷体" w:eastAsia="楷体"/>
          <w:szCs w:val="21"/>
        </w:rPr>
        <w:t>转让人转让船舶、航空器和机动车等所有权，受让人已经支付合理价款并取得占有，虽未经登记，但转让人的债权人主张其为民法典第二百二十五条所称的“善意第三人”的，不予支持，法律另有规定的除外。</w:t>
      </w:r>
    </w:p>
    <w:p w14:paraId="2E02D703">
      <w:pPr>
        <w:spacing w:line="276" w:lineRule="auto"/>
        <w:ind w:firstLine="480"/>
        <w:rPr>
          <w:szCs w:val="21"/>
        </w:rPr>
      </w:pPr>
      <w:r>
        <w:rPr>
          <w:rFonts w:hint="eastAsia" w:ascii="楷体" w:hAnsi="楷体" w:eastAsia="楷体"/>
          <w:szCs w:val="21"/>
          <w:lang w:eastAsia="zh-CN"/>
        </w:rPr>
        <w:t>（</w:t>
      </w:r>
      <w:r>
        <w:rPr>
          <w:rFonts w:hint="eastAsia" w:ascii="楷体" w:hAnsi="楷体" w:eastAsia="楷体"/>
          <w:color w:val="FF0000"/>
          <w:szCs w:val="21"/>
          <w:lang w:val="en-US" w:eastAsia="zh-CN"/>
        </w:rPr>
        <w:t>此时交通工具成为买受人财产，不再属于出卖人财产，不属于强制执行范围</w:t>
      </w:r>
      <w:r>
        <w:rPr>
          <w:rFonts w:hint="eastAsia" w:ascii="楷体" w:hAnsi="楷体" w:eastAsia="楷体"/>
          <w:szCs w:val="21"/>
          <w:lang w:eastAsia="zh-CN"/>
        </w:rPr>
        <w:t>）</w:t>
      </w:r>
    </w:p>
    <w:p w14:paraId="10E77E5D">
      <w:pPr>
        <w:spacing w:line="276" w:lineRule="auto"/>
        <w:ind w:firstLine="480"/>
        <w:rPr>
          <w:b/>
          <w:szCs w:val="24"/>
        </w:rPr>
      </w:pPr>
      <w:r>
        <w:rPr>
          <w:rFonts w:hint="eastAsia"/>
          <w:b/>
          <w:szCs w:val="24"/>
          <w:lang w:val="en-US" w:eastAsia="zh-CN"/>
        </w:rPr>
        <w:t>三</w:t>
      </w:r>
      <w:r>
        <w:rPr>
          <w:rFonts w:hint="eastAsia"/>
          <w:b/>
          <w:szCs w:val="24"/>
        </w:rPr>
        <w:t>、无须公示即可发生物权变动的情形</w:t>
      </w:r>
    </w:p>
    <w:p w14:paraId="24937708">
      <w:pPr>
        <w:spacing w:line="276" w:lineRule="auto"/>
        <w:ind w:firstLine="480"/>
        <w:rPr>
          <w:b/>
          <w:szCs w:val="21"/>
        </w:rPr>
      </w:pPr>
      <w:r>
        <w:rPr>
          <w:rFonts w:hint="eastAsia"/>
          <w:b/>
          <w:szCs w:val="21"/>
        </w:rPr>
        <w:t>（一）依裁判文书等发生物权变动</w:t>
      </w:r>
    </w:p>
    <w:p w14:paraId="7FB239DF">
      <w:pPr>
        <w:spacing w:line="276" w:lineRule="auto"/>
        <w:ind w:firstLine="480"/>
        <w:rPr>
          <w:rFonts w:ascii="楷体" w:hAnsi="楷体" w:eastAsia="楷体"/>
          <w:szCs w:val="21"/>
        </w:rPr>
      </w:pPr>
      <w:r>
        <w:rPr>
          <w:rFonts w:hint="eastAsia" w:ascii="楷体" w:hAnsi="楷体" w:eastAsia="楷体"/>
          <w:b/>
          <w:bCs/>
          <w:szCs w:val="21"/>
        </w:rPr>
        <w:t>《民法典》第</w:t>
      </w:r>
      <w:r>
        <w:rPr>
          <w:rFonts w:ascii="楷体" w:hAnsi="楷体" w:eastAsia="楷体"/>
          <w:b/>
          <w:bCs/>
          <w:szCs w:val="21"/>
        </w:rPr>
        <w:t>229</w:t>
      </w:r>
      <w:r>
        <w:rPr>
          <w:rFonts w:hint="eastAsia" w:ascii="楷体" w:hAnsi="楷体" w:eastAsia="楷体"/>
          <w:b/>
          <w:bCs/>
          <w:szCs w:val="21"/>
        </w:rPr>
        <w:t xml:space="preserve">条 </w:t>
      </w:r>
      <w:r>
        <w:rPr>
          <w:rFonts w:hint="eastAsia" w:ascii="楷体" w:hAnsi="楷体" w:eastAsia="楷体"/>
          <w:szCs w:val="21"/>
        </w:rPr>
        <w:t xml:space="preserve"> 因</w:t>
      </w:r>
      <w:r>
        <w:rPr>
          <w:rFonts w:hint="eastAsia" w:ascii="楷体" w:hAnsi="楷体" w:eastAsia="楷体"/>
          <w:color w:val="FF0000"/>
          <w:szCs w:val="21"/>
        </w:rPr>
        <w:t>人民法院、仲裁机构的法律文书</w:t>
      </w:r>
      <w:r>
        <w:rPr>
          <w:rFonts w:hint="eastAsia" w:ascii="楷体" w:hAnsi="楷体" w:eastAsia="楷体"/>
          <w:color w:val="FF0000"/>
          <w:szCs w:val="21"/>
          <w:lang w:eastAsia="zh-CN"/>
        </w:rPr>
        <w:t>（</w:t>
      </w:r>
      <w:r>
        <w:rPr>
          <w:rFonts w:hint="eastAsia" w:ascii="楷体" w:hAnsi="楷体" w:eastAsia="楷体"/>
          <w:color w:val="FF0000"/>
          <w:szCs w:val="21"/>
          <w:lang w:val="en-US" w:eastAsia="zh-CN"/>
        </w:rPr>
        <w:t>指的是形成之诉的法律文书，如离婚判决、分割共有物判决</w:t>
      </w:r>
      <w:r>
        <w:rPr>
          <w:rFonts w:hint="eastAsia" w:ascii="楷体" w:hAnsi="楷体" w:eastAsia="楷体"/>
          <w:color w:val="FF0000"/>
          <w:szCs w:val="21"/>
          <w:lang w:eastAsia="zh-CN"/>
        </w:rPr>
        <w:t>）</w:t>
      </w:r>
      <w:r>
        <w:rPr>
          <w:rFonts w:hint="eastAsia" w:ascii="楷体" w:hAnsi="楷体" w:eastAsia="楷体"/>
          <w:szCs w:val="21"/>
        </w:rPr>
        <w:t>或者人民政府的征收决定等，导致物权设立、变更、转让或者消灭的，自法律文书或者征收决定等生效时发生效力。</w:t>
      </w:r>
    </w:p>
    <w:p w14:paraId="0E31ED74">
      <w:pPr>
        <w:spacing w:line="276" w:lineRule="auto"/>
        <w:ind w:firstLine="480"/>
        <w:rPr>
          <w:rFonts w:hint="eastAsia" w:ascii="楷体" w:hAnsi="楷体" w:eastAsia="楷体"/>
          <w:szCs w:val="21"/>
        </w:rPr>
      </w:pPr>
      <w:r>
        <w:rPr>
          <w:rFonts w:hint="eastAsia" w:ascii="楷体" w:hAnsi="楷体" w:eastAsia="楷体"/>
          <w:b/>
          <w:bCs/>
          <w:szCs w:val="21"/>
        </w:rPr>
        <w:t>《物权编解释（一）》第7条</w:t>
      </w:r>
      <w:r>
        <w:rPr>
          <w:rFonts w:hint="eastAsia" w:ascii="楷体" w:hAnsi="楷体" w:eastAsia="楷体"/>
          <w:szCs w:val="21"/>
        </w:rPr>
        <w:t xml:space="preserve">  人民法院、仲裁委员会在分割共有不动产或者动产等案件中作出并依法生效的改变原有物权关系的判决书、裁决书、调解书，</w:t>
      </w:r>
      <w:r>
        <w:rPr>
          <w:rFonts w:hint="eastAsia" w:ascii="楷体" w:hAnsi="楷体" w:eastAsia="楷体"/>
          <w:color w:val="FF0000"/>
          <w:szCs w:val="21"/>
        </w:rPr>
        <w:t>以及人民法院在执行程序中作出的拍卖成交裁定书、以物抵债裁定书</w:t>
      </w:r>
      <w:r>
        <w:rPr>
          <w:rFonts w:hint="eastAsia" w:ascii="楷体" w:hAnsi="楷体" w:eastAsia="楷体"/>
          <w:szCs w:val="21"/>
        </w:rPr>
        <w:t>，应当认定为民法典第二百二十九条所称导致物权设立、变更、转让或者消灭的人民法院、仲裁委员会的法律文书。</w:t>
      </w:r>
    </w:p>
    <w:p w14:paraId="1FE8A662">
      <w:pPr>
        <w:spacing w:line="276" w:lineRule="auto"/>
        <w:ind w:firstLine="48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一般的以物抵债调解书判决书等仍需要执行后发生物权变动</w:t>
      </w:r>
    </w:p>
    <w:p w14:paraId="6B8A6126">
      <w:pPr>
        <w:spacing w:line="276" w:lineRule="auto"/>
        <w:ind w:firstLine="480"/>
        <w:rPr>
          <w:b/>
          <w:szCs w:val="21"/>
        </w:rPr>
      </w:pPr>
      <w:r>
        <w:rPr>
          <w:rFonts w:hint="eastAsia"/>
          <w:b/>
          <w:szCs w:val="21"/>
        </w:rPr>
        <w:t>（</w:t>
      </w:r>
      <w:r>
        <w:rPr>
          <w:rFonts w:hint="eastAsia"/>
          <w:b/>
          <w:szCs w:val="21"/>
          <w:lang w:val="en-US" w:eastAsia="zh-CN"/>
        </w:rPr>
        <w:t>二</w:t>
      </w:r>
      <w:r>
        <w:rPr>
          <w:rFonts w:hint="eastAsia"/>
          <w:b/>
          <w:szCs w:val="21"/>
        </w:rPr>
        <w:t>）因继承发生物权变动</w:t>
      </w:r>
    </w:p>
    <w:p w14:paraId="008DD85A">
      <w:pPr>
        <w:spacing w:line="276" w:lineRule="auto"/>
        <w:ind w:firstLine="480"/>
        <w:rPr>
          <w:rFonts w:ascii="楷体" w:hAnsi="楷体" w:eastAsia="楷体"/>
          <w:szCs w:val="21"/>
        </w:rPr>
      </w:pPr>
      <w:r>
        <w:rPr>
          <w:rFonts w:hint="eastAsia" w:ascii="楷体" w:hAnsi="楷体" w:eastAsia="楷体"/>
          <w:b/>
          <w:bCs/>
          <w:szCs w:val="21"/>
        </w:rPr>
        <w:t>《民法典》第</w:t>
      </w:r>
      <w:r>
        <w:rPr>
          <w:rFonts w:ascii="楷体" w:hAnsi="楷体" w:eastAsia="楷体"/>
          <w:b/>
          <w:bCs/>
          <w:szCs w:val="21"/>
        </w:rPr>
        <w:t>230</w:t>
      </w:r>
      <w:r>
        <w:rPr>
          <w:rFonts w:hint="eastAsia" w:ascii="楷体" w:hAnsi="楷体" w:eastAsia="楷体"/>
          <w:b/>
          <w:bCs/>
          <w:szCs w:val="21"/>
        </w:rPr>
        <w:t>条</w:t>
      </w:r>
      <w:r>
        <w:rPr>
          <w:rFonts w:hint="eastAsia" w:ascii="楷体" w:hAnsi="楷体" w:eastAsia="楷体"/>
          <w:szCs w:val="21"/>
        </w:rPr>
        <w:t xml:space="preserve">  因继承取得物权的，自继承开始时发生效力。 </w:t>
      </w:r>
    </w:p>
    <w:p w14:paraId="3D494A19">
      <w:pPr>
        <w:spacing w:line="276" w:lineRule="auto"/>
        <w:ind w:firstLine="480"/>
        <w:rPr>
          <w:rFonts w:hint="default" w:eastAsia="宋体"/>
          <w:color w:val="FF0000"/>
          <w:szCs w:val="21"/>
          <w:u w:val="single"/>
          <w:lang w:val="en-US" w:eastAsia="zh-CN"/>
        </w:rPr>
      </w:pPr>
      <w:r>
        <w:rPr>
          <w:rFonts w:hint="eastAsia"/>
          <w:szCs w:val="21"/>
        </w:rPr>
        <w:t>在因继承引起物权变动的情形，</w:t>
      </w:r>
      <w:r>
        <w:rPr>
          <w:rFonts w:hint="eastAsia"/>
          <w:color w:val="FF0000"/>
          <w:szCs w:val="21"/>
        </w:rPr>
        <w:t>无论是法定继承还是遗嘱继承，</w:t>
      </w:r>
      <w:r>
        <w:rPr>
          <w:rFonts w:hint="eastAsia"/>
          <w:color w:val="FF0000"/>
          <w:szCs w:val="21"/>
          <w:u w:val="single"/>
        </w:rPr>
        <w:t>物权变动的效果均自继承开始之时（即被继承人死亡之时）发生</w:t>
      </w:r>
      <w:r>
        <w:rPr>
          <w:rFonts w:hint="eastAsia"/>
          <w:color w:val="FF0000"/>
          <w:szCs w:val="21"/>
          <w:u w:val="single"/>
          <w:lang w:eastAsia="zh-CN"/>
        </w:rPr>
        <w:t>。</w:t>
      </w:r>
      <w:r>
        <w:rPr>
          <w:rFonts w:hint="eastAsia"/>
          <w:color w:val="FF0000"/>
          <w:szCs w:val="21"/>
          <w:u w:val="single"/>
          <w:lang w:val="en-US" w:eastAsia="zh-CN"/>
        </w:rPr>
        <w:t>多个继承人的，共有</w:t>
      </w:r>
    </w:p>
    <w:p w14:paraId="12711370">
      <w:pPr>
        <w:spacing w:line="276" w:lineRule="auto"/>
        <w:ind w:firstLine="480"/>
        <w:rPr>
          <w:b/>
          <w:szCs w:val="21"/>
        </w:rPr>
      </w:pPr>
      <w:r>
        <w:rPr>
          <w:rFonts w:hint="eastAsia"/>
          <w:b/>
          <w:szCs w:val="21"/>
        </w:rPr>
        <w:t>（</w:t>
      </w:r>
      <w:r>
        <w:rPr>
          <w:rFonts w:hint="eastAsia"/>
          <w:b/>
          <w:szCs w:val="21"/>
          <w:lang w:val="en-US" w:eastAsia="zh-CN"/>
        </w:rPr>
        <w:t>三</w:t>
      </w:r>
      <w:r>
        <w:rPr>
          <w:rFonts w:hint="eastAsia"/>
          <w:b/>
          <w:szCs w:val="21"/>
        </w:rPr>
        <w:t>）因事实行为而发生物权变动</w:t>
      </w:r>
    </w:p>
    <w:p w14:paraId="6CACA282">
      <w:pPr>
        <w:spacing w:line="276" w:lineRule="auto"/>
        <w:ind w:firstLine="480"/>
        <w:rPr>
          <w:rFonts w:ascii="楷体" w:hAnsi="楷体" w:eastAsia="楷体"/>
          <w:szCs w:val="21"/>
        </w:rPr>
      </w:pPr>
      <w:r>
        <w:rPr>
          <w:rFonts w:hint="eastAsia" w:ascii="楷体" w:hAnsi="楷体" w:eastAsia="楷体"/>
          <w:b/>
          <w:bCs/>
          <w:szCs w:val="21"/>
        </w:rPr>
        <w:t>《民法典》第</w:t>
      </w:r>
      <w:r>
        <w:rPr>
          <w:rFonts w:ascii="楷体" w:hAnsi="楷体" w:eastAsia="楷体"/>
          <w:b/>
          <w:bCs/>
          <w:szCs w:val="21"/>
        </w:rPr>
        <w:t>231</w:t>
      </w:r>
      <w:r>
        <w:rPr>
          <w:rFonts w:hint="eastAsia" w:ascii="楷体" w:hAnsi="楷体" w:eastAsia="楷体"/>
          <w:b/>
          <w:bCs/>
          <w:szCs w:val="21"/>
        </w:rPr>
        <w:t>条</w:t>
      </w:r>
      <w:r>
        <w:rPr>
          <w:rFonts w:hint="eastAsia" w:ascii="楷体" w:hAnsi="楷体" w:eastAsia="楷体"/>
          <w:szCs w:val="21"/>
        </w:rPr>
        <w:t xml:space="preserve">  因</w:t>
      </w:r>
      <w:r>
        <w:rPr>
          <w:rFonts w:hint="eastAsia" w:ascii="楷体" w:hAnsi="楷体" w:eastAsia="楷体"/>
          <w:color w:val="FF0000"/>
          <w:szCs w:val="21"/>
        </w:rPr>
        <w:t>合法建造、拆除房屋</w:t>
      </w:r>
      <w:r>
        <w:rPr>
          <w:rFonts w:hint="eastAsia" w:ascii="楷体" w:hAnsi="楷体" w:eastAsia="楷体"/>
          <w:szCs w:val="21"/>
        </w:rPr>
        <w:t>等事实行为设立或者消灭物权的，自事实行为成就时发生效力。</w:t>
      </w:r>
    </w:p>
    <w:p w14:paraId="1F964F40">
      <w:pPr>
        <w:spacing w:line="276" w:lineRule="auto"/>
        <w:ind w:firstLine="480"/>
        <w:rPr>
          <w:b/>
          <w:szCs w:val="21"/>
        </w:rPr>
      </w:pPr>
      <w:r>
        <w:rPr>
          <w:rFonts w:hint="eastAsia"/>
          <w:b/>
          <w:szCs w:val="21"/>
        </w:rPr>
        <w:t>（</w:t>
      </w:r>
      <w:r>
        <w:rPr>
          <w:rFonts w:hint="eastAsia"/>
          <w:b/>
          <w:szCs w:val="21"/>
          <w:lang w:val="en-US" w:eastAsia="zh-CN"/>
        </w:rPr>
        <w:t>四</w:t>
      </w:r>
      <w:r>
        <w:rPr>
          <w:rFonts w:hint="eastAsia"/>
          <w:b/>
          <w:szCs w:val="21"/>
        </w:rPr>
        <w:t>）后续登记的问题</w:t>
      </w:r>
    </w:p>
    <w:p w14:paraId="0D5FF886">
      <w:pPr>
        <w:spacing w:line="276" w:lineRule="auto"/>
        <w:ind w:firstLine="480"/>
        <w:rPr>
          <w:rFonts w:hint="default" w:eastAsia="宋体"/>
          <w:szCs w:val="21"/>
          <w:lang w:val="en-US" w:eastAsia="zh-CN"/>
        </w:rPr>
      </w:pPr>
      <w:r>
        <w:rPr>
          <w:rFonts w:hint="eastAsia" w:ascii="楷体" w:hAnsi="楷体" w:eastAsia="楷体"/>
          <w:b/>
          <w:bCs/>
          <w:szCs w:val="21"/>
        </w:rPr>
        <w:t>《民法典》第</w:t>
      </w:r>
      <w:r>
        <w:rPr>
          <w:rFonts w:ascii="楷体" w:hAnsi="楷体" w:eastAsia="楷体"/>
          <w:b/>
          <w:bCs/>
          <w:szCs w:val="21"/>
        </w:rPr>
        <w:t>232</w:t>
      </w:r>
      <w:r>
        <w:rPr>
          <w:rFonts w:hint="eastAsia" w:ascii="楷体" w:hAnsi="楷体" w:eastAsia="楷体"/>
          <w:b/>
          <w:bCs/>
          <w:szCs w:val="21"/>
        </w:rPr>
        <w:t>条</w:t>
      </w:r>
      <w:r>
        <w:rPr>
          <w:rFonts w:hint="eastAsia" w:ascii="楷体" w:hAnsi="楷体" w:eastAsia="楷体"/>
          <w:szCs w:val="21"/>
        </w:rPr>
        <w:t xml:space="preserve">  处分依照本节规定享有不动产物权，依照法律规定需要办理登记的，</w:t>
      </w:r>
      <w:r>
        <w:rPr>
          <w:rFonts w:hint="eastAsia" w:ascii="楷体" w:hAnsi="楷体" w:eastAsia="楷体"/>
          <w:color w:val="FF0000"/>
          <w:szCs w:val="21"/>
        </w:rPr>
        <w:t>未经登记，不发生物权效力</w:t>
      </w:r>
      <w:r>
        <w:rPr>
          <w:rFonts w:hint="eastAsia" w:ascii="楷体" w:hAnsi="楷体" w:eastAsia="楷体"/>
          <w:szCs w:val="21"/>
        </w:rPr>
        <w:t>。</w:t>
      </w:r>
      <w:r>
        <w:rPr>
          <w:rFonts w:hint="eastAsia" w:ascii="楷体" w:hAnsi="楷体" w:eastAsia="楷体"/>
          <w:szCs w:val="21"/>
          <w:lang w:eastAsia="zh-CN"/>
        </w:rPr>
        <w:t>（</w:t>
      </w:r>
      <w:r>
        <w:rPr>
          <w:rFonts w:hint="eastAsia" w:ascii="楷体" w:hAnsi="楷体" w:eastAsia="楷体"/>
          <w:color w:val="FF0000"/>
          <w:szCs w:val="21"/>
          <w:lang w:val="en-US" w:eastAsia="zh-CN"/>
        </w:rPr>
        <w:t>如继承又出卖，先办理变更登记到被继承人，在变更给买受人</w:t>
      </w:r>
      <w:r>
        <w:rPr>
          <w:rFonts w:hint="eastAsia" w:ascii="楷体" w:hAnsi="楷体" w:eastAsia="楷体"/>
          <w:szCs w:val="21"/>
          <w:lang w:eastAsia="zh-CN"/>
        </w:rPr>
        <w:t>）</w:t>
      </w:r>
      <w:r>
        <w:rPr>
          <w:rFonts w:hint="eastAsia"/>
          <w:szCs w:val="21"/>
          <w:lang w:val="en-US" w:eastAsia="zh-CN"/>
        </w:rPr>
        <w:t>未经登记处分不发生物权效力，但不影响物权的其他权能</w:t>
      </w:r>
    </w:p>
    <w:p w14:paraId="3B4CB3C6">
      <w:pPr>
        <w:pStyle w:val="2"/>
        <w:spacing w:line="276" w:lineRule="auto"/>
        <w:jc w:val="center"/>
        <w:rPr>
          <w:rFonts w:ascii="Times New Roman" w:hAnsi="Times New Roman" w:cs="Times New Roman"/>
          <w:bCs w:val="0"/>
          <w:color w:val="000000"/>
          <w:sz w:val="24"/>
          <w:szCs w:val="24"/>
        </w:rPr>
      </w:pPr>
      <w:r>
        <w:rPr>
          <w:rFonts w:ascii="Times New Roman" w:hAnsi="Times New Roman" w:cs="Times New Roman"/>
          <w:bCs w:val="0"/>
          <w:color w:val="000000"/>
          <w:sz w:val="24"/>
          <w:szCs w:val="24"/>
        </w:rPr>
        <w:t>考点8  物权的保护与占有保护</w:t>
      </w:r>
    </w:p>
    <w:p w14:paraId="46AC3AD4">
      <w:pPr>
        <w:spacing w:line="276" w:lineRule="auto"/>
        <w:ind w:firstLine="422" w:firstLineChars="200"/>
        <w:rPr>
          <w:rFonts w:ascii="Times New Roman" w:hAnsi="Times New Roman" w:cs="Times New Roman"/>
          <w:b/>
          <w:color w:val="000000"/>
          <w:kern w:val="0"/>
          <w:sz w:val="21"/>
          <w:szCs w:val="21"/>
        </w:rPr>
      </w:pPr>
      <w:r>
        <w:rPr>
          <w:rFonts w:ascii="Times New Roman" w:hAnsi="Times New Roman" w:cs="Times New Roman"/>
          <w:b/>
          <w:color w:val="000000"/>
          <w:kern w:val="0"/>
          <w:sz w:val="21"/>
          <w:szCs w:val="21"/>
        </w:rPr>
        <w:t>一、物权的保护</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6146"/>
      </w:tblGrid>
      <w:tr w14:paraId="795E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Merge w:val="restart"/>
            <w:noWrap w:val="0"/>
            <w:vAlign w:val="center"/>
          </w:tcPr>
          <w:p w14:paraId="233A3F38">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物权请求权的类型</w:t>
            </w:r>
          </w:p>
        </w:tc>
        <w:tc>
          <w:tcPr>
            <w:tcW w:w="6146" w:type="dxa"/>
            <w:noWrap w:val="0"/>
            <w:vAlign w:val="top"/>
          </w:tcPr>
          <w:p w14:paraId="694FE0A1">
            <w:pPr>
              <w:rPr>
                <w:rFonts w:ascii="Times New Roman" w:hAnsi="Times New Roman" w:cs="Times New Roman"/>
                <w:color w:val="000000"/>
                <w:sz w:val="21"/>
                <w:szCs w:val="21"/>
              </w:rPr>
            </w:pPr>
            <w:r>
              <w:rPr>
                <w:rFonts w:ascii="Times New Roman" w:hAnsi="Times New Roman" w:cs="Times New Roman"/>
                <w:color w:val="000000"/>
                <w:sz w:val="21"/>
                <w:szCs w:val="21"/>
              </w:rPr>
              <w:t>（1）返还原物请求权</w:t>
            </w:r>
          </w:p>
        </w:tc>
      </w:tr>
      <w:tr w14:paraId="10B3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Merge w:val="continue"/>
            <w:noWrap w:val="0"/>
            <w:vAlign w:val="center"/>
          </w:tcPr>
          <w:p w14:paraId="3EFF228E">
            <w:pPr>
              <w:jc w:val="center"/>
              <w:rPr>
                <w:rFonts w:ascii="Times New Roman" w:hAnsi="Times New Roman" w:cs="Times New Roman"/>
                <w:b/>
                <w:bCs/>
                <w:color w:val="000000"/>
                <w:sz w:val="21"/>
                <w:szCs w:val="21"/>
              </w:rPr>
            </w:pPr>
          </w:p>
        </w:tc>
        <w:tc>
          <w:tcPr>
            <w:tcW w:w="6146" w:type="dxa"/>
            <w:noWrap w:val="0"/>
            <w:vAlign w:val="top"/>
          </w:tcPr>
          <w:p w14:paraId="5391AA38">
            <w:pPr>
              <w:rPr>
                <w:rFonts w:ascii="Times New Roman" w:hAnsi="Times New Roman" w:cs="Times New Roman"/>
                <w:color w:val="000000"/>
                <w:sz w:val="21"/>
                <w:szCs w:val="21"/>
              </w:rPr>
            </w:pPr>
            <w:r>
              <w:rPr>
                <w:rFonts w:ascii="Times New Roman" w:hAnsi="Times New Roman" w:cs="Times New Roman"/>
                <w:color w:val="000000"/>
                <w:sz w:val="21"/>
                <w:szCs w:val="21"/>
              </w:rPr>
              <w:t>（2）排除妨害请求权</w:t>
            </w:r>
          </w:p>
        </w:tc>
      </w:tr>
      <w:tr w14:paraId="3D77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Merge w:val="continue"/>
            <w:noWrap w:val="0"/>
            <w:vAlign w:val="center"/>
          </w:tcPr>
          <w:p w14:paraId="22D9790D">
            <w:pPr>
              <w:jc w:val="center"/>
              <w:rPr>
                <w:rFonts w:ascii="Times New Roman" w:hAnsi="Times New Roman" w:cs="Times New Roman"/>
                <w:b/>
                <w:bCs/>
                <w:color w:val="000000"/>
                <w:sz w:val="21"/>
                <w:szCs w:val="21"/>
              </w:rPr>
            </w:pPr>
          </w:p>
        </w:tc>
        <w:tc>
          <w:tcPr>
            <w:tcW w:w="6146" w:type="dxa"/>
            <w:noWrap w:val="0"/>
            <w:vAlign w:val="top"/>
          </w:tcPr>
          <w:p w14:paraId="69762B78">
            <w:pPr>
              <w:rPr>
                <w:rFonts w:ascii="Times New Roman" w:hAnsi="Times New Roman" w:cs="Times New Roman"/>
                <w:color w:val="000000"/>
                <w:sz w:val="21"/>
                <w:szCs w:val="21"/>
              </w:rPr>
            </w:pPr>
            <w:r>
              <w:rPr>
                <w:rFonts w:ascii="Times New Roman" w:hAnsi="Times New Roman" w:cs="Times New Roman"/>
                <w:color w:val="000000"/>
                <w:sz w:val="21"/>
                <w:szCs w:val="21"/>
              </w:rPr>
              <w:t>（3）消除危险请求权</w:t>
            </w:r>
          </w:p>
        </w:tc>
      </w:tr>
      <w:tr w14:paraId="12F0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noWrap w:val="0"/>
            <w:vAlign w:val="center"/>
          </w:tcPr>
          <w:p w14:paraId="2F527D8A">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原物返还请求权</w:t>
            </w:r>
          </w:p>
        </w:tc>
        <w:tc>
          <w:tcPr>
            <w:tcW w:w="1134" w:type="dxa"/>
            <w:vMerge w:val="restart"/>
            <w:noWrap w:val="0"/>
            <w:vAlign w:val="center"/>
          </w:tcPr>
          <w:p w14:paraId="447160F1">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构成要件</w:t>
            </w:r>
          </w:p>
        </w:tc>
        <w:tc>
          <w:tcPr>
            <w:tcW w:w="6146" w:type="dxa"/>
            <w:noWrap w:val="0"/>
            <w:vAlign w:val="top"/>
          </w:tcPr>
          <w:p w14:paraId="57E27F39">
            <w:pPr>
              <w:rPr>
                <w:rFonts w:ascii="Times New Roman" w:hAnsi="Times New Roman" w:cs="Times New Roman"/>
                <w:color w:val="000000"/>
                <w:sz w:val="21"/>
                <w:szCs w:val="21"/>
              </w:rPr>
            </w:pPr>
            <w:r>
              <w:rPr>
                <w:rFonts w:ascii="Times New Roman" w:hAnsi="Times New Roman" w:cs="Times New Roman"/>
                <w:color w:val="000000"/>
                <w:sz w:val="21"/>
                <w:szCs w:val="21"/>
              </w:rPr>
              <w:t>（1）请求人为</w:t>
            </w:r>
            <w:r>
              <w:rPr>
                <w:rFonts w:ascii="Times New Roman" w:hAnsi="Times New Roman" w:cs="Times New Roman"/>
                <w:b/>
                <w:bCs/>
                <w:color w:val="000000"/>
                <w:sz w:val="21"/>
                <w:szCs w:val="21"/>
                <w:u w:val="single"/>
              </w:rPr>
              <w:t>有占有权能的物权人</w:t>
            </w:r>
            <w:r>
              <w:rPr>
                <w:rFonts w:ascii="Times New Roman" w:hAnsi="Times New Roman" w:cs="Times New Roman"/>
                <w:color w:val="000000"/>
                <w:sz w:val="21"/>
                <w:szCs w:val="21"/>
              </w:rPr>
              <w:t>，包括所有权人、居住权人、质权人等</w:t>
            </w:r>
          </w:p>
        </w:tc>
      </w:tr>
      <w:tr w14:paraId="420D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14:paraId="491F0515">
            <w:pPr>
              <w:jc w:val="center"/>
              <w:rPr>
                <w:rFonts w:ascii="Times New Roman" w:hAnsi="Times New Roman" w:cs="Times New Roman"/>
                <w:b/>
                <w:bCs/>
                <w:color w:val="000000"/>
                <w:sz w:val="21"/>
                <w:szCs w:val="21"/>
              </w:rPr>
            </w:pPr>
          </w:p>
        </w:tc>
        <w:tc>
          <w:tcPr>
            <w:tcW w:w="1134" w:type="dxa"/>
            <w:vMerge w:val="continue"/>
            <w:noWrap w:val="0"/>
            <w:vAlign w:val="center"/>
          </w:tcPr>
          <w:p w14:paraId="3F6FD534">
            <w:pPr>
              <w:jc w:val="center"/>
              <w:rPr>
                <w:rFonts w:ascii="Times New Roman" w:hAnsi="Times New Roman" w:cs="Times New Roman"/>
                <w:b/>
                <w:bCs/>
                <w:color w:val="000000"/>
                <w:sz w:val="21"/>
                <w:szCs w:val="21"/>
              </w:rPr>
            </w:pPr>
          </w:p>
        </w:tc>
        <w:tc>
          <w:tcPr>
            <w:tcW w:w="6146" w:type="dxa"/>
            <w:noWrap w:val="0"/>
            <w:vAlign w:val="top"/>
          </w:tcPr>
          <w:p w14:paraId="03D78D56">
            <w:pPr>
              <w:rPr>
                <w:rFonts w:ascii="Times New Roman" w:hAnsi="Times New Roman" w:cs="Times New Roman"/>
                <w:color w:val="000000"/>
                <w:sz w:val="21"/>
                <w:szCs w:val="21"/>
              </w:rPr>
            </w:pPr>
            <w:r>
              <w:rPr>
                <w:rFonts w:ascii="Times New Roman" w:hAnsi="Times New Roman" w:cs="Times New Roman"/>
                <w:color w:val="000000"/>
                <w:sz w:val="21"/>
                <w:szCs w:val="21"/>
              </w:rPr>
              <w:t>（2）相对人为</w:t>
            </w:r>
            <w:r>
              <w:rPr>
                <w:rFonts w:ascii="Times New Roman" w:hAnsi="Times New Roman" w:cs="Times New Roman"/>
                <w:b/>
                <w:bCs/>
                <w:color w:val="FF0000"/>
                <w:sz w:val="21"/>
                <w:szCs w:val="21"/>
                <w:u w:val="single"/>
              </w:rPr>
              <w:t>现在的无权占有人</w:t>
            </w:r>
            <w:r>
              <w:rPr>
                <w:rFonts w:ascii="Times New Roman" w:hAnsi="Times New Roman" w:cs="Times New Roman"/>
                <w:color w:val="000000"/>
                <w:sz w:val="21"/>
                <w:szCs w:val="21"/>
              </w:rPr>
              <w:t>，包括直接占有与间接占有</w:t>
            </w:r>
          </w:p>
        </w:tc>
      </w:tr>
      <w:tr w14:paraId="22CA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14:paraId="4094591F">
            <w:pPr>
              <w:jc w:val="center"/>
              <w:rPr>
                <w:rFonts w:ascii="Times New Roman" w:hAnsi="Times New Roman" w:cs="Times New Roman"/>
                <w:b/>
                <w:bCs/>
                <w:color w:val="000000"/>
                <w:sz w:val="21"/>
                <w:szCs w:val="21"/>
              </w:rPr>
            </w:pPr>
          </w:p>
        </w:tc>
        <w:tc>
          <w:tcPr>
            <w:tcW w:w="1134" w:type="dxa"/>
            <w:noWrap w:val="0"/>
            <w:vAlign w:val="center"/>
          </w:tcPr>
          <w:p w14:paraId="489826A4">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法律效果</w:t>
            </w:r>
          </w:p>
        </w:tc>
        <w:tc>
          <w:tcPr>
            <w:tcW w:w="6146" w:type="dxa"/>
            <w:noWrap w:val="0"/>
            <w:vAlign w:val="top"/>
          </w:tcPr>
          <w:p w14:paraId="7E8C682D">
            <w:pPr>
              <w:rPr>
                <w:rFonts w:ascii="Times New Roman" w:hAnsi="Times New Roman" w:cs="Times New Roman"/>
                <w:color w:val="000000"/>
                <w:sz w:val="21"/>
                <w:szCs w:val="21"/>
              </w:rPr>
            </w:pPr>
            <w:r>
              <w:rPr>
                <w:rFonts w:ascii="Times New Roman" w:hAnsi="Times New Roman" w:cs="Times New Roman"/>
                <w:color w:val="000000"/>
                <w:sz w:val="21"/>
                <w:szCs w:val="21"/>
              </w:rPr>
              <w:t>返还原物</w:t>
            </w:r>
          </w:p>
        </w:tc>
      </w:tr>
    </w:tbl>
    <w:p w14:paraId="187E086B">
      <w:pPr>
        <w:spacing w:line="276" w:lineRule="auto"/>
        <w:ind w:firstLine="420"/>
        <w:rPr>
          <w:rFonts w:ascii="Times New Roman" w:hAnsi="Times New Roman" w:eastAsia="楷体" w:cs="Times New Roman"/>
          <w:color w:val="000000"/>
          <w:sz w:val="21"/>
          <w:szCs w:val="21"/>
        </w:rPr>
      </w:pPr>
    </w:p>
    <w:p w14:paraId="6F39B1F0">
      <w:pPr>
        <w:spacing w:line="276" w:lineRule="auto"/>
        <w:ind w:firstLine="42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特别提醒：</w:t>
      </w:r>
    </w:p>
    <w:p w14:paraId="6673CFA9">
      <w:pPr>
        <w:spacing w:line="276" w:lineRule="auto"/>
        <w:ind w:firstLine="42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物权请求权与侵权损害赔偿请求权容易混淆，需明确区分：</w:t>
      </w:r>
    </w:p>
    <w:p w14:paraId="1CCCD19D">
      <w:pPr>
        <w:spacing w:line="276" w:lineRule="auto"/>
        <w:ind w:firstLine="420"/>
        <w:rPr>
          <w:rFonts w:ascii="Times New Roman" w:hAnsi="Times New Roman" w:eastAsia="楷体" w:cs="Times New Roman"/>
          <w:color w:val="000000"/>
          <w:sz w:val="21"/>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410"/>
        <w:gridCol w:w="3452"/>
      </w:tblGrid>
      <w:tr w14:paraId="2C69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14:paraId="55A2B6E4">
            <w:pPr>
              <w:spacing w:line="276" w:lineRule="auto"/>
              <w:rPr>
                <w:color w:val="000000"/>
                <w:sz w:val="21"/>
                <w:szCs w:val="21"/>
              </w:rPr>
            </w:pPr>
          </w:p>
        </w:tc>
        <w:tc>
          <w:tcPr>
            <w:tcW w:w="2410" w:type="dxa"/>
            <w:noWrap w:val="0"/>
            <w:vAlign w:val="top"/>
          </w:tcPr>
          <w:p w14:paraId="3E5A4EA0">
            <w:pPr>
              <w:spacing w:line="276" w:lineRule="auto"/>
              <w:jc w:val="center"/>
              <w:rPr>
                <w:b/>
                <w:bCs/>
                <w:color w:val="000000"/>
                <w:sz w:val="21"/>
                <w:szCs w:val="21"/>
              </w:rPr>
            </w:pPr>
            <w:r>
              <w:rPr>
                <w:rFonts w:hint="eastAsia"/>
                <w:b/>
                <w:bCs/>
                <w:color w:val="000000"/>
                <w:sz w:val="21"/>
                <w:szCs w:val="21"/>
              </w:rPr>
              <w:t>物权请求权</w:t>
            </w:r>
          </w:p>
        </w:tc>
        <w:tc>
          <w:tcPr>
            <w:tcW w:w="3452" w:type="dxa"/>
            <w:noWrap w:val="0"/>
            <w:vAlign w:val="top"/>
          </w:tcPr>
          <w:p w14:paraId="348C7774">
            <w:pPr>
              <w:spacing w:line="276" w:lineRule="auto"/>
              <w:jc w:val="center"/>
              <w:rPr>
                <w:b/>
                <w:bCs/>
                <w:color w:val="000000"/>
                <w:sz w:val="21"/>
                <w:szCs w:val="21"/>
              </w:rPr>
            </w:pPr>
            <w:r>
              <w:rPr>
                <w:rFonts w:hint="eastAsia"/>
                <w:b/>
                <w:bCs/>
                <w:color w:val="000000"/>
                <w:sz w:val="21"/>
                <w:szCs w:val="21"/>
              </w:rPr>
              <w:t>侵权损害赔偿请求权</w:t>
            </w:r>
          </w:p>
        </w:tc>
      </w:tr>
      <w:tr w14:paraId="1431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14:paraId="7857B6BF">
            <w:pPr>
              <w:spacing w:line="276" w:lineRule="auto"/>
              <w:jc w:val="center"/>
              <w:rPr>
                <w:b/>
                <w:bCs/>
                <w:color w:val="000000"/>
                <w:sz w:val="21"/>
                <w:szCs w:val="21"/>
              </w:rPr>
            </w:pPr>
            <w:r>
              <w:rPr>
                <w:rFonts w:hint="eastAsia"/>
                <w:b/>
                <w:bCs/>
                <w:color w:val="000000"/>
                <w:sz w:val="21"/>
                <w:szCs w:val="21"/>
              </w:rPr>
              <w:t>是否以过错为要件</w:t>
            </w:r>
          </w:p>
        </w:tc>
        <w:tc>
          <w:tcPr>
            <w:tcW w:w="2410" w:type="dxa"/>
            <w:noWrap w:val="0"/>
            <w:vAlign w:val="top"/>
          </w:tcPr>
          <w:p w14:paraId="4227F4BC">
            <w:pPr>
              <w:spacing w:line="276" w:lineRule="auto"/>
              <w:jc w:val="center"/>
              <w:rPr>
                <w:color w:val="000000"/>
                <w:sz w:val="21"/>
                <w:szCs w:val="21"/>
              </w:rPr>
            </w:pPr>
            <w:r>
              <w:rPr>
                <w:rFonts w:hint="eastAsia"/>
                <w:color w:val="000000"/>
                <w:sz w:val="21"/>
                <w:szCs w:val="21"/>
              </w:rPr>
              <w:t>不以过错为要件</w:t>
            </w:r>
          </w:p>
        </w:tc>
        <w:tc>
          <w:tcPr>
            <w:tcW w:w="3452" w:type="dxa"/>
            <w:noWrap w:val="0"/>
            <w:vAlign w:val="top"/>
          </w:tcPr>
          <w:p w14:paraId="603A13E4">
            <w:pPr>
              <w:spacing w:line="276" w:lineRule="auto"/>
              <w:jc w:val="center"/>
              <w:rPr>
                <w:color w:val="000000"/>
                <w:sz w:val="21"/>
                <w:szCs w:val="21"/>
              </w:rPr>
            </w:pPr>
            <w:r>
              <w:rPr>
                <w:rFonts w:hint="eastAsia"/>
                <w:color w:val="000000"/>
                <w:sz w:val="21"/>
                <w:szCs w:val="21"/>
              </w:rPr>
              <w:t>过错责任原则下以过错为要件</w:t>
            </w:r>
          </w:p>
        </w:tc>
      </w:tr>
      <w:tr w14:paraId="1892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14:paraId="2A523952">
            <w:pPr>
              <w:spacing w:line="276" w:lineRule="auto"/>
              <w:jc w:val="center"/>
              <w:rPr>
                <w:b/>
                <w:bCs/>
                <w:color w:val="000000"/>
                <w:sz w:val="21"/>
                <w:szCs w:val="21"/>
              </w:rPr>
            </w:pPr>
            <w:r>
              <w:rPr>
                <w:rFonts w:hint="eastAsia"/>
                <w:b/>
                <w:bCs/>
                <w:color w:val="000000"/>
                <w:sz w:val="21"/>
                <w:szCs w:val="21"/>
              </w:rPr>
              <w:t>是否以客体物存在为前提</w:t>
            </w:r>
          </w:p>
        </w:tc>
        <w:tc>
          <w:tcPr>
            <w:tcW w:w="2410" w:type="dxa"/>
            <w:noWrap w:val="0"/>
            <w:vAlign w:val="top"/>
          </w:tcPr>
          <w:p w14:paraId="0244D998">
            <w:pPr>
              <w:spacing w:line="276" w:lineRule="auto"/>
              <w:jc w:val="center"/>
              <w:rPr>
                <w:color w:val="000000"/>
                <w:sz w:val="21"/>
                <w:szCs w:val="21"/>
              </w:rPr>
            </w:pPr>
            <w:r>
              <w:rPr>
                <w:rFonts w:hint="eastAsia"/>
                <w:color w:val="000000"/>
                <w:kern w:val="24"/>
                <w:sz w:val="21"/>
                <w:szCs w:val="21"/>
              </w:rPr>
              <w:t>以客体物的存在为前提</w:t>
            </w:r>
          </w:p>
        </w:tc>
        <w:tc>
          <w:tcPr>
            <w:tcW w:w="3452" w:type="dxa"/>
            <w:noWrap w:val="0"/>
            <w:vAlign w:val="top"/>
          </w:tcPr>
          <w:p w14:paraId="6F254B88">
            <w:pPr>
              <w:spacing w:line="276" w:lineRule="auto"/>
              <w:jc w:val="center"/>
              <w:rPr>
                <w:color w:val="000000"/>
                <w:sz w:val="21"/>
                <w:szCs w:val="21"/>
              </w:rPr>
            </w:pPr>
            <w:r>
              <w:rPr>
                <w:rFonts w:hint="eastAsia"/>
                <w:color w:val="000000"/>
                <w:kern w:val="24"/>
                <w:sz w:val="21"/>
                <w:szCs w:val="21"/>
              </w:rPr>
              <w:t>有损害即可，客体物无需存在</w:t>
            </w:r>
          </w:p>
        </w:tc>
      </w:tr>
      <w:tr w14:paraId="3177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14:paraId="7D3D25FF">
            <w:pPr>
              <w:spacing w:line="276" w:lineRule="auto"/>
              <w:jc w:val="center"/>
              <w:rPr>
                <w:b/>
                <w:bCs/>
                <w:color w:val="000000"/>
                <w:sz w:val="21"/>
                <w:szCs w:val="21"/>
              </w:rPr>
            </w:pPr>
            <w:r>
              <w:rPr>
                <w:rFonts w:hint="eastAsia"/>
                <w:b/>
                <w:bCs/>
                <w:color w:val="000000"/>
                <w:sz w:val="21"/>
                <w:szCs w:val="21"/>
              </w:rPr>
              <w:t>是否适用诉讼时效规定</w:t>
            </w:r>
          </w:p>
        </w:tc>
        <w:tc>
          <w:tcPr>
            <w:tcW w:w="2410" w:type="dxa"/>
            <w:noWrap w:val="0"/>
            <w:vAlign w:val="top"/>
          </w:tcPr>
          <w:p w14:paraId="77F994DF">
            <w:pPr>
              <w:spacing w:line="276" w:lineRule="auto"/>
              <w:jc w:val="center"/>
              <w:rPr>
                <w:rFonts w:hint="eastAsia" w:eastAsia="宋体"/>
                <w:color w:val="000000"/>
                <w:sz w:val="21"/>
                <w:szCs w:val="21"/>
                <w:lang w:eastAsia="zh-CN"/>
              </w:rPr>
            </w:pPr>
            <w:r>
              <w:rPr>
                <w:rFonts w:hint="eastAsia"/>
                <w:color w:val="FF0000"/>
                <w:kern w:val="24"/>
                <w:sz w:val="21"/>
                <w:szCs w:val="21"/>
              </w:rPr>
              <w:t>诉讼时效的适用有限制</w:t>
            </w:r>
            <w:r>
              <w:rPr>
                <w:rFonts w:hint="eastAsia"/>
                <w:color w:val="FF0000"/>
                <w:kern w:val="24"/>
                <w:sz w:val="21"/>
                <w:szCs w:val="21"/>
                <w:lang w:eastAsia="zh-CN"/>
              </w:rPr>
              <w:t>（</w:t>
            </w:r>
            <w:r>
              <w:rPr>
                <w:rFonts w:hint="eastAsia"/>
                <w:color w:val="FF0000"/>
                <w:kern w:val="24"/>
                <w:sz w:val="21"/>
                <w:szCs w:val="21"/>
                <w:lang w:val="en-US" w:eastAsia="zh-CN"/>
              </w:rPr>
              <w:t>只有未登记动产的返还原物请求权适用诉讼时效</w:t>
            </w:r>
            <w:r>
              <w:rPr>
                <w:rFonts w:hint="eastAsia"/>
                <w:color w:val="FF0000"/>
                <w:kern w:val="24"/>
                <w:sz w:val="21"/>
                <w:szCs w:val="21"/>
                <w:lang w:eastAsia="zh-CN"/>
              </w:rPr>
              <w:t>）</w:t>
            </w:r>
          </w:p>
        </w:tc>
        <w:tc>
          <w:tcPr>
            <w:tcW w:w="3452" w:type="dxa"/>
            <w:noWrap w:val="0"/>
            <w:vAlign w:val="top"/>
          </w:tcPr>
          <w:p w14:paraId="0CD2A64E">
            <w:pPr>
              <w:spacing w:line="276" w:lineRule="auto"/>
              <w:jc w:val="center"/>
              <w:rPr>
                <w:color w:val="000000"/>
                <w:sz w:val="21"/>
                <w:szCs w:val="21"/>
              </w:rPr>
            </w:pPr>
            <w:r>
              <w:rPr>
                <w:rFonts w:hint="eastAsia"/>
                <w:color w:val="000000"/>
                <w:kern w:val="24"/>
                <w:sz w:val="21"/>
                <w:szCs w:val="21"/>
              </w:rPr>
              <w:t>适用诉讼时效</w:t>
            </w:r>
          </w:p>
        </w:tc>
      </w:tr>
      <w:tr w14:paraId="7C2B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14:paraId="39A0D6FD">
            <w:pPr>
              <w:spacing w:line="276" w:lineRule="auto"/>
              <w:jc w:val="center"/>
              <w:rPr>
                <w:b/>
                <w:bCs/>
                <w:color w:val="000000"/>
                <w:sz w:val="21"/>
                <w:szCs w:val="21"/>
              </w:rPr>
            </w:pPr>
            <w:r>
              <w:rPr>
                <w:rFonts w:hint="eastAsia"/>
                <w:b/>
                <w:bCs/>
                <w:color w:val="000000"/>
                <w:sz w:val="21"/>
                <w:szCs w:val="21"/>
              </w:rPr>
              <w:t>可否单独让与</w:t>
            </w:r>
          </w:p>
        </w:tc>
        <w:tc>
          <w:tcPr>
            <w:tcW w:w="2410" w:type="dxa"/>
            <w:noWrap w:val="0"/>
            <w:vAlign w:val="top"/>
          </w:tcPr>
          <w:p w14:paraId="062B9812">
            <w:pPr>
              <w:spacing w:line="276" w:lineRule="auto"/>
              <w:jc w:val="center"/>
              <w:rPr>
                <w:color w:val="000000"/>
                <w:sz w:val="21"/>
                <w:szCs w:val="21"/>
              </w:rPr>
            </w:pPr>
            <w:r>
              <w:rPr>
                <w:rFonts w:hint="eastAsia"/>
                <w:color w:val="000000"/>
                <w:kern w:val="24"/>
                <w:sz w:val="21"/>
                <w:szCs w:val="21"/>
              </w:rPr>
              <w:t>不具有单独的可让与性</w:t>
            </w:r>
          </w:p>
        </w:tc>
        <w:tc>
          <w:tcPr>
            <w:tcW w:w="3452" w:type="dxa"/>
            <w:noWrap w:val="0"/>
            <w:vAlign w:val="top"/>
          </w:tcPr>
          <w:p w14:paraId="13C4FE77">
            <w:pPr>
              <w:spacing w:line="276" w:lineRule="auto"/>
              <w:jc w:val="center"/>
              <w:rPr>
                <w:color w:val="000000"/>
                <w:sz w:val="21"/>
                <w:szCs w:val="21"/>
              </w:rPr>
            </w:pPr>
            <w:r>
              <w:rPr>
                <w:rFonts w:hint="eastAsia"/>
                <w:color w:val="000000"/>
                <w:kern w:val="24"/>
                <w:sz w:val="21"/>
                <w:szCs w:val="21"/>
              </w:rPr>
              <w:t>原则上可单独让与</w:t>
            </w:r>
          </w:p>
        </w:tc>
      </w:tr>
    </w:tbl>
    <w:p w14:paraId="343C9594">
      <w:pPr>
        <w:spacing w:line="276" w:lineRule="auto"/>
        <w:rPr>
          <w:rFonts w:ascii="Times New Roman" w:hAnsi="Times New Roman" w:cs="Times New Roman"/>
          <w:b/>
          <w:bCs/>
          <w:color w:val="000000"/>
          <w:sz w:val="21"/>
          <w:szCs w:val="21"/>
        </w:rPr>
      </w:pPr>
    </w:p>
    <w:p w14:paraId="7701ABB4">
      <w:pPr>
        <w:spacing w:line="276" w:lineRule="auto"/>
        <w:ind w:firstLine="422" w:firstLineChars="200"/>
        <w:rPr>
          <w:rFonts w:ascii="Times New Roman" w:hAnsi="Times New Roman" w:cs="Times New Roman"/>
          <w:b/>
          <w:bCs/>
          <w:color w:val="000000"/>
          <w:sz w:val="21"/>
          <w:szCs w:val="21"/>
        </w:rPr>
      </w:pPr>
      <w:r>
        <w:rPr>
          <w:rFonts w:ascii="Times New Roman" w:hAnsi="Times New Roman" w:cs="Times New Roman"/>
          <w:b/>
          <w:bCs/>
          <w:color w:val="000000"/>
          <w:sz w:val="21"/>
          <w:szCs w:val="21"/>
        </w:rPr>
        <w:t>二、占有的保护</w:t>
      </w:r>
    </w:p>
    <w:p w14:paraId="030F1292">
      <w:pPr>
        <w:spacing w:line="276" w:lineRule="auto"/>
        <w:ind w:firstLine="422" w:firstLineChars="200"/>
        <w:rPr>
          <w:rFonts w:ascii="Times New Roman" w:hAnsi="Times New Roman" w:cs="Times New Roman"/>
          <w:b/>
          <w:bCs/>
          <w:color w:val="000000"/>
          <w:sz w:val="21"/>
          <w:szCs w:val="21"/>
        </w:rPr>
      </w:pPr>
    </w:p>
    <w:p w14:paraId="32500023">
      <w:pPr>
        <w:spacing w:line="276" w:lineRule="auto"/>
        <w:ind w:firstLine="422" w:firstLineChars="200"/>
        <w:rPr>
          <w:rFonts w:ascii="Times New Roman" w:hAnsi="Times New Roman" w:cs="Times New Roman"/>
          <w:b/>
          <w:bCs/>
          <w:color w:val="000000"/>
          <w:sz w:val="21"/>
          <w:szCs w:val="21"/>
        </w:rPr>
      </w:pPr>
      <w:r>
        <w:rPr>
          <w:rFonts w:ascii="Times New Roman" w:hAnsi="Times New Roman" w:cs="Times New Roman"/>
          <w:b/>
          <w:bCs/>
          <w:color w:val="000000"/>
          <w:sz w:val="21"/>
          <w:szCs w:val="21"/>
        </w:rPr>
        <w:t>（一）占有的概念</w:t>
      </w:r>
    </w:p>
    <w:p w14:paraId="1E98351D">
      <w:pPr>
        <w:spacing w:line="276"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占有指人对物的事实上的管领与控制。</w:t>
      </w:r>
    </w:p>
    <w:p w14:paraId="33E45749">
      <w:pPr>
        <w:spacing w:line="276" w:lineRule="auto"/>
        <w:ind w:firstLine="420" w:firstLineChars="200"/>
        <w:rPr>
          <w:rFonts w:ascii="Times New Roman" w:hAnsi="Times New Roman" w:cs="Times New Roman"/>
          <w:color w:val="000000"/>
          <w:sz w:val="21"/>
          <w:szCs w:val="21"/>
        </w:rPr>
      </w:pPr>
    </w:p>
    <w:p w14:paraId="3CD51E2B">
      <w:pPr>
        <w:spacing w:line="276" w:lineRule="auto"/>
        <w:ind w:firstLine="422" w:firstLineChars="200"/>
        <w:rPr>
          <w:rFonts w:ascii="Times New Roman" w:hAnsi="Times New Roman" w:cs="Times New Roman"/>
          <w:b/>
          <w:bCs/>
          <w:color w:val="000000"/>
          <w:sz w:val="21"/>
          <w:szCs w:val="21"/>
        </w:rPr>
      </w:pPr>
      <w:r>
        <w:rPr>
          <w:rFonts w:ascii="Times New Roman" w:hAnsi="Times New Roman" w:cs="Times New Roman"/>
          <w:b/>
          <w:bCs/>
          <w:color w:val="000000"/>
          <w:sz w:val="21"/>
          <w:szCs w:val="21"/>
        </w:rPr>
        <w:t>（二）占有的分类</w:t>
      </w:r>
    </w:p>
    <w:p w14:paraId="26044B77">
      <w:pPr>
        <w:ind w:firstLine="480"/>
        <w:rPr>
          <w:rFonts w:ascii="Times New Roman" w:hAnsi="Times New Roman" w:cs="Times New Roman"/>
          <w:bCs/>
          <w:color w:val="000000"/>
          <w:sz w:val="21"/>
          <w:szCs w:val="21"/>
        </w:rPr>
      </w:pPr>
      <w:r>
        <w:rPr>
          <w:rFonts w:ascii="Times New Roman" w:hAnsi="Times New Roman" w:cs="Times New Roman"/>
          <w:bCs/>
          <w:color w:val="000000"/>
          <w:sz w:val="21"/>
          <w:szCs w:val="21"/>
        </w:rPr>
        <w:t>1</w:t>
      </w:r>
      <w:r>
        <w:rPr>
          <w:rFonts w:hint="eastAsia" w:ascii="Times New Roman" w:hAnsi="Times New Roman" w:cs="Times New Roman"/>
          <w:bCs/>
          <w:color w:val="000000"/>
          <w:sz w:val="21"/>
          <w:szCs w:val="21"/>
        </w:rPr>
        <w:t>．</w:t>
      </w:r>
      <w:r>
        <w:rPr>
          <w:rFonts w:ascii="Times New Roman" w:hAnsi="Times New Roman" w:cs="Times New Roman"/>
          <w:bCs/>
          <w:color w:val="000000"/>
          <w:sz w:val="21"/>
          <w:szCs w:val="21"/>
        </w:rPr>
        <w:t>自主占有与他主占有</w:t>
      </w:r>
    </w:p>
    <w:p w14:paraId="7676609E">
      <w:pPr>
        <w:ind w:firstLine="480"/>
        <w:rPr>
          <w:rFonts w:ascii="Times New Roman" w:hAnsi="Times New Roman" w:cs="Times New Roman"/>
          <w:bCs/>
          <w:color w:val="000000"/>
          <w:sz w:val="21"/>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685"/>
        <w:gridCol w:w="3736"/>
      </w:tblGrid>
      <w:tr w14:paraId="21D7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454C397D">
            <w:pPr>
              <w:rPr>
                <w:rFonts w:ascii="Times New Roman" w:hAnsi="Times New Roman" w:cs="Times New Roman"/>
                <w:color w:val="000000"/>
                <w:sz w:val="21"/>
                <w:szCs w:val="21"/>
              </w:rPr>
            </w:pPr>
          </w:p>
        </w:tc>
        <w:tc>
          <w:tcPr>
            <w:tcW w:w="3685" w:type="dxa"/>
            <w:noWrap w:val="0"/>
            <w:vAlign w:val="top"/>
          </w:tcPr>
          <w:p w14:paraId="653C0608">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自主占有</w:t>
            </w:r>
          </w:p>
        </w:tc>
        <w:tc>
          <w:tcPr>
            <w:tcW w:w="3736" w:type="dxa"/>
            <w:noWrap w:val="0"/>
            <w:vAlign w:val="top"/>
          </w:tcPr>
          <w:p w14:paraId="5B82F671">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他主占有</w:t>
            </w:r>
          </w:p>
        </w:tc>
      </w:tr>
      <w:tr w14:paraId="0380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56D24F19">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区分标准</w:t>
            </w:r>
          </w:p>
        </w:tc>
        <w:tc>
          <w:tcPr>
            <w:tcW w:w="7421" w:type="dxa"/>
            <w:gridSpan w:val="2"/>
            <w:noWrap w:val="0"/>
            <w:vAlign w:val="top"/>
          </w:tcPr>
          <w:p w14:paraId="379DD6C5">
            <w:pPr>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占有人是否具有所有的意思</w:t>
            </w:r>
          </w:p>
        </w:tc>
      </w:tr>
      <w:tr w14:paraId="5715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034B0AB1">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含义</w:t>
            </w:r>
          </w:p>
        </w:tc>
        <w:tc>
          <w:tcPr>
            <w:tcW w:w="3685" w:type="dxa"/>
            <w:noWrap w:val="0"/>
            <w:vAlign w:val="top"/>
          </w:tcPr>
          <w:p w14:paraId="31D567B2">
            <w:pPr>
              <w:jc w:val="center"/>
              <w:rPr>
                <w:rFonts w:ascii="Times New Roman" w:hAnsi="Times New Roman" w:cs="Times New Roman"/>
                <w:color w:val="000000"/>
                <w:sz w:val="21"/>
                <w:szCs w:val="21"/>
              </w:rPr>
            </w:pPr>
            <w:r>
              <w:rPr>
                <w:rFonts w:ascii="Times New Roman" w:hAnsi="Times New Roman" w:cs="Times New Roman"/>
                <w:color w:val="000000"/>
                <w:sz w:val="21"/>
                <w:szCs w:val="21"/>
              </w:rPr>
              <w:t>主观上以所有的意思而为的占有</w:t>
            </w:r>
          </w:p>
        </w:tc>
        <w:tc>
          <w:tcPr>
            <w:tcW w:w="3736" w:type="dxa"/>
            <w:noWrap w:val="0"/>
            <w:vAlign w:val="top"/>
          </w:tcPr>
          <w:p w14:paraId="24502A54">
            <w:pPr>
              <w:jc w:val="center"/>
              <w:rPr>
                <w:rFonts w:ascii="Times New Roman" w:hAnsi="Times New Roman" w:cs="Times New Roman"/>
                <w:color w:val="000000"/>
                <w:sz w:val="21"/>
                <w:szCs w:val="21"/>
              </w:rPr>
            </w:pPr>
            <w:r>
              <w:rPr>
                <w:rFonts w:ascii="Times New Roman" w:hAnsi="Times New Roman" w:cs="Times New Roman"/>
                <w:color w:val="000000"/>
                <w:sz w:val="21"/>
                <w:szCs w:val="21"/>
              </w:rPr>
              <w:t>主观上不以所有的意思而为的占有</w:t>
            </w:r>
          </w:p>
        </w:tc>
      </w:tr>
      <w:tr w14:paraId="7D0E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54E26CD4">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典型例证</w:t>
            </w:r>
          </w:p>
        </w:tc>
        <w:tc>
          <w:tcPr>
            <w:tcW w:w="3685" w:type="dxa"/>
            <w:noWrap w:val="0"/>
            <w:vAlign w:val="top"/>
          </w:tcPr>
          <w:p w14:paraId="7555045C">
            <w:pPr>
              <w:jc w:val="center"/>
              <w:rPr>
                <w:rFonts w:ascii="Times New Roman" w:hAnsi="Times New Roman" w:cs="Times New Roman"/>
                <w:color w:val="000000"/>
                <w:sz w:val="21"/>
                <w:szCs w:val="21"/>
              </w:rPr>
            </w:pPr>
            <w:r>
              <w:rPr>
                <w:rFonts w:ascii="Times New Roman" w:hAnsi="Times New Roman" w:cs="Times New Roman"/>
                <w:color w:val="000000"/>
                <w:sz w:val="21"/>
                <w:szCs w:val="21"/>
              </w:rPr>
              <w:t>拾得人以据为己有的意思占有遗失物</w:t>
            </w:r>
          </w:p>
        </w:tc>
        <w:tc>
          <w:tcPr>
            <w:tcW w:w="3736" w:type="dxa"/>
            <w:noWrap w:val="0"/>
            <w:vAlign w:val="top"/>
          </w:tcPr>
          <w:p w14:paraId="3388D78E">
            <w:pPr>
              <w:jc w:val="center"/>
              <w:rPr>
                <w:rFonts w:ascii="Times New Roman" w:hAnsi="Times New Roman" w:cs="Times New Roman"/>
                <w:color w:val="000000"/>
                <w:sz w:val="21"/>
                <w:szCs w:val="21"/>
              </w:rPr>
            </w:pPr>
            <w:r>
              <w:rPr>
                <w:rFonts w:ascii="Times New Roman" w:hAnsi="Times New Roman" w:cs="Times New Roman"/>
                <w:color w:val="000000"/>
                <w:sz w:val="21"/>
                <w:szCs w:val="21"/>
              </w:rPr>
              <w:t>质权人的占有、承租人的占有</w:t>
            </w:r>
          </w:p>
        </w:tc>
      </w:tr>
    </w:tbl>
    <w:p w14:paraId="552D2DCD">
      <w:pPr>
        <w:ind w:firstLine="420"/>
        <w:rPr>
          <w:rFonts w:ascii="Times New Roman" w:hAnsi="Times New Roman" w:eastAsia="楷体" w:cs="Times New Roman"/>
          <w:color w:val="000000"/>
          <w:sz w:val="21"/>
          <w:szCs w:val="21"/>
        </w:rPr>
      </w:pPr>
    </w:p>
    <w:p w14:paraId="7FC72C03">
      <w:pPr>
        <w:ind w:firstLine="42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特别提醒：</w:t>
      </w:r>
    </w:p>
    <w:p w14:paraId="03B67700">
      <w:pPr>
        <w:ind w:firstLine="420"/>
        <w:rPr>
          <w:rFonts w:ascii="Times New Roman" w:hAnsi="Times New Roman" w:eastAsia="楷体" w:cs="Times New Roman"/>
          <w:color w:val="FF0000"/>
          <w:sz w:val="21"/>
          <w:szCs w:val="21"/>
        </w:rPr>
      </w:pPr>
      <w:r>
        <w:rPr>
          <w:rFonts w:ascii="Times New Roman" w:hAnsi="Times New Roman" w:eastAsia="楷体" w:cs="Times New Roman"/>
          <w:color w:val="FF0000"/>
          <w:sz w:val="21"/>
          <w:szCs w:val="21"/>
        </w:rPr>
        <w:t>自主占有与他主占有的判断仅考虑占有人的主观意思，不考虑占有物的真实物权归属。</w:t>
      </w:r>
    </w:p>
    <w:p w14:paraId="2F87B9A7">
      <w:pPr>
        <w:ind w:firstLine="420"/>
        <w:rPr>
          <w:rFonts w:ascii="Times New Roman" w:hAnsi="Times New Roman" w:eastAsia="楷体" w:cs="Times New Roman"/>
          <w:color w:val="000000"/>
          <w:sz w:val="21"/>
          <w:szCs w:val="21"/>
        </w:rPr>
      </w:pPr>
    </w:p>
    <w:p w14:paraId="38045FE0">
      <w:pPr>
        <w:ind w:firstLine="480"/>
        <w:rPr>
          <w:rFonts w:ascii="Times New Roman" w:hAnsi="Times New Roman" w:cs="Times New Roman"/>
          <w:bCs/>
          <w:color w:val="000000"/>
          <w:sz w:val="21"/>
          <w:szCs w:val="21"/>
        </w:rPr>
      </w:pPr>
      <w:r>
        <w:rPr>
          <w:rFonts w:ascii="Times New Roman" w:hAnsi="Times New Roman" w:cs="Times New Roman"/>
          <w:bCs/>
          <w:color w:val="000000"/>
          <w:sz w:val="21"/>
          <w:szCs w:val="21"/>
        </w:rPr>
        <w:t>2</w:t>
      </w:r>
      <w:r>
        <w:rPr>
          <w:rFonts w:hint="eastAsia" w:ascii="Times New Roman" w:hAnsi="Times New Roman" w:cs="Times New Roman"/>
          <w:bCs/>
          <w:color w:val="000000"/>
          <w:sz w:val="21"/>
          <w:szCs w:val="21"/>
        </w:rPr>
        <w:t>．</w:t>
      </w:r>
      <w:r>
        <w:rPr>
          <w:rFonts w:ascii="Times New Roman" w:hAnsi="Times New Roman" w:cs="Times New Roman"/>
          <w:bCs/>
          <w:color w:val="000000"/>
          <w:sz w:val="21"/>
          <w:szCs w:val="21"/>
        </w:rPr>
        <w:t>直接占有与间接占有</w:t>
      </w:r>
    </w:p>
    <w:p w14:paraId="12981AC7">
      <w:pPr>
        <w:ind w:firstLine="480"/>
        <w:rPr>
          <w:rFonts w:ascii="Times New Roman" w:hAnsi="Times New Roman" w:cs="Times New Roman"/>
          <w:bCs/>
          <w:color w:val="000000"/>
          <w:sz w:val="21"/>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685"/>
        <w:gridCol w:w="3736"/>
      </w:tblGrid>
      <w:tr w14:paraId="1500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3C3233E2">
            <w:pPr>
              <w:rPr>
                <w:rFonts w:ascii="Times New Roman" w:hAnsi="Times New Roman" w:cs="Times New Roman"/>
                <w:color w:val="000000"/>
                <w:sz w:val="21"/>
                <w:szCs w:val="21"/>
              </w:rPr>
            </w:pPr>
          </w:p>
        </w:tc>
        <w:tc>
          <w:tcPr>
            <w:tcW w:w="3685" w:type="dxa"/>
            <w:noWrap w:val="0"/>
            <w:vAlign w:val="top"/>
          </w:tcPr>
          <w:p w14:paraId="713DC5EF">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直接占有</w:t>
            </w:r>
          </w:p>
        </w:tc>
        <w:tc>
          <w:tcPr>
            <w:tcW w:w="3736" w:type="dxa"/>
            <w:noWrap w:val="0"/>
            <w:vAlign w:val="top"/>
          </w:tcPr>
          <w:p w14:paraId="6B2CF1BD">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间接占有</w:t>
            </w:r>
          </w:p>
        </w:tc>
      </w:tr>
      <w:tr w14:paraId="09C9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467CFC02">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区分标准</w:t>
            </w:r>
          </w:p>
        </w:tc>
        <w:tc>
          <w:tcPr>
            <w:tcW w:w="7421" w:type="dxa"/>
            <w:gridSpan w:val="2"/>
            <w:noWrap w:val="0"/>
            <w:vAlign w:val="top"/>
          </w:tcPr>
          <w:p w14:paraId="1A954782">
            <w:pPr>
              <w:jc w:val="center"/>
              <w:rPr>
                <w:rFonts w:ascii="Times New Roman" w:hAnsi="Times New Roman" w:cs="Times New Roman"/>
                <w:color w:val="000000"/>
                <w:sz w:val="21"/>
                <w:szCs w:val="21"/>
              </w:rPr>
            </w:pPr>
            <w:r>
              <w:rPr>
                <w:rFonts w:ascii="Times New Roman" w:hAnsi="Times New Roman" w:cs="Times New Roman"/>
                <w:color w:val="000000"/>
                <w:sz w:val="21"/>
                <w:szCs w:val="21"/>
              </w:rPr>
              <w:t>占有人是否直接对物有事实上的管领力</w:t>
            </w:r>
          </w:p>
        </w:tc>
      </w:tr>
      <w:tr w14:paraId="00F2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0484F818">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含义</w:t>
            </w:r>
          </w:p>
        </w:tc>
        <w:tc>
          <w:tcPr>
            <w:tcW w:w="3685" w:type="dxa"/>
            <w:noWrap w:val="0"/>
            <w:vAlign w:val="center"/>
          </w:tcPr>
          <w:p w14:paraId="4F76BABB">
            <w:pPr>
              <w:jc w:val="center"/>
              <w:rPr>
                <w:rFonts w:ascii="Times New Roman" w:hAnsi="Times New Roman" w:cs="Times New Roman"/>
                <w:color w:val="000000"/>
                <w:sz w:val="21"/>
                <w:szCs w:val="21"/>
              </w:rPr>
            </w:pPr>
            <w:r>
              <w:rPr>
                <w:rFonts w:ascii="Times New Roman" w:hAnsi="Times New Roman" w:cs="Times New Roman"/>
                <w:color w:val="000000"/>
                <w:sz w:val="21"/>
                <w:szCs w:val="21"/>
              </w:rPr>
              <w:t>对占有物有</w:t>
            </w:r>
            <w:r>
              <w:rPr>
                <w:rFonts w:ascii="Times New Roman" w:hAnsi="Times New Roman" w:cs="Times New Roman"/>
                <w:color w:val="FF0000"/>
                <w:sz w:val="21"/>
                <w:szCs w:val="21"/>
              </w:rPr>
              <w:t>事实上管领力的占有</w:t>
            </w:r>
          </w:p>
        </w:tc>
        <w:tc>
          <w:tcPr>
            <w:tcW w:w="3736" w:type="dxa"/>
            <w:noWrap w:val="0"/>
            <w:vAlign w:val="center"/>
          </w:tcPr>
          <w:p w14:paraId="14FC7AAE">
            <w:pPr>
              <w:rPr>
                <w:rFonts w:ascii="Times New Roman" w:hAnsi="Times New Roman" w:cs="Times New Roman"/>
                <w:color w:val="000000"/>
                <w:sz w:val="21"/>
                <w:szCs w:val="21"/>
              </w:rPr>
            </w:pPr>
            <w:r>
              <w:rPr>
                <w:rFonts w:ascii="Times New Roman" w:hAnsi="Times New Roman" w:cs="Times New Roman"/>
                <w:color w:val="000000"/>
                <w:sz w:val="21"/>
                <w:szCs w:val="21"/>
              </w:rPr>
              <w:t>自己不直接占有其物，而基于一定占有媒介关系对于直接占有人有返还请求权，从而对其物有间接管领力的占有</w:t>
            </w:r>
          </w:p>
        </w:tc>
      </w:tr>
      <w:tr w14:paraId="47BA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0EFD2469">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典型例证</w:t>
            </w:r>
          </w:p>
        </w:tc>
        <w:tc>
          <w:tcPr>
            <w:tcW w:w="3685" w:type="dxa"/>
            <w:noWrap w:val="0"/>
            <w:vAlign w:val="center"/>
          </w:tcPr>
          <w:p w14:paraId="7C756A98">
            <w:pPr>
              <w:rPr>
                <w:rFonts w:ascii="Times New Roman" w:hAnsi="Times New Roman" w:cs="Times New Roman"/>
                <w:color w:val="000000"/>
                <w:sz w:val="21"/>
                <w:szCs w:val="21"/>
              </w:rPr>
            </w:pPr>
            <w:r>
              <w:rPr>
                <w:rFonts w:ascii="Times New Roman" w:hAnsi="Times New Roman" w:cs="Times New Roman"/>
                <w:color w:val="000000"/>
                <w:sz w:val="21"/>
                <w:szCs w:val="21"/>
              </w:rPr>
              <w:t>质权人、承租人、借用人、保管人等基于物权关系或合同关系而直接管领、控制他人之物的占有</w:t>
            </w:r>
          </w:p>
        </w:tc>
        <w:tc>
          <w:tcPr>
            <w:tcW w:w="3736" w:type="dxa"/>
            <w:noWrap w:val="0"/>
            <w:vAlign w:val="center"/>
          </w:tcPr>
          <w:p w14:paraId="39B30DC5">
            <w:pPr>
              <w:jc w:val="center"/>
              <w:rPr>
                <w:rFonts w:ascii="Times New Roman" w:hAnsi="Times New Roman" w:cs="Times New Roman"/>
                <w:color w:val="000000"/>
                <w:sz w:val="21"/>
                <w:szCs w:val="21"/>
              </w:rPr>
            </w:pPr>
            <w:r>
              <w:rPr>
                <w:rFonts w:ascii="Times New Roman" w:hAnsi="Times New Roman" w:cs="Times New Roman"/>
                <w:color w:val="000000"/>
                <w:sz w:val="21"/>
                <w:szCs w:val="21"/>
              </w:rPr>
              <w:t>出质人、出租人、出借人等的占有</w:t>
            </w:r>
          </w:p>
        </w:tc>
      </w:tr>
    </w:tbl>
    <w:p w14:paraId="0FAC5754">
      <w:pPr>
        <w:ind w:firstLine="480"/>
        <w:rPr>
          <w:rFonts w:ascii="Times New Roman" w:hAnsi="Times New Roman" w:cs="Times New Roman"/>
          <w:bCs/>
          <w:color w:val="000000"/>
          <w:sz w:val="21"/>
          <w:szCs w:val="21"/>
        </w:rPr>
      </w:pPr>
    </w:p>
    <w:p w14:paraId="6DAB5E1A">
      <w:pPr>
        <w:ind w:firstLine="480"/>
        <w:rPr>
          <w:rFonts w:ascii="Times New Roman" w:hAnsi="Times New Roman" w:cs="Times New Roman"/>
          <w:bCs/>
          <w:color w:val="000000"/>
          <w:sz w:val="21"/>
          <w:szCs w:val="21"/>
        </w:rPr>
      </w:pPr>
      <w:r>
        <w:rPr>
          <w:rFonts w:ascii="Times New Roman" w:hAnsi="Times New Roman" w:cs="Times New Roman"/>
          <w:bCs/>
          <w:color w:val="000000"/>
          <w:sz w:val="21"/>
          <w:szCs w:val="21"/>
        </w:rPr>
        <w:t>3</w:t>
      </w:r>
      <w:r>
        <w:rPr>
          <w:rFonts w:hint="eastAsia" w:ascii="Times New Roman" w:hAnsi="Times New Roman" w:cs="Times New Roman"/>
          <w:bCs/>
          <w:color w:val="000000"/>
          <w:sz w:val="21"/>
          <w:szCs w:val="21"/>
        </w:rPr>
        <w:t>．</w:t>
      </w:r>
      <w:r>
        <w:rPr>
          <w:rFonts w:ascii="Times New Roman" w:hAnsi="Times New Roman" w:cs="Times New Roman"/>
          <w:bCs/>
          <w:color w:val="000000"/>
          <w:sz w:val="21"/>
          <w:szCs w:val="21"/>
        </w:rPr>
        <w:t>有权占有与无权占有</w:t>
      </w:r>
    </w:p>
    <w:p w14:paraId="423F332B">
      <w:pPr>
        <w:ind w:firstLine="480"/>
        <w:rPr>
          <w:rFonts w:ascii="Times New Roman" w:hAnsi="Times New Roman" w:cs="Times New Roman"/>
          <w:bCs/>
          <w:color w:val="000000"/>
          <w:sz w:val="21"/>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685"/>
        <w:gridCol w:w="3736"/>
      </w:tblGrid>
      <w:tr w14:paraId="2AD9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5549C4C8">
            <w:pPr>
              <w:rPr>
                <w:rFonts w:ascii="Times New Roman" w:hAnsi="Times New Roman" w:cs="Times New Roman"/>
                <w:color w:val="000000"/>
                <w:sz w:val="21"/>
                <w:szCs w:val="21"/>
              </w:rPr>
            </w:pPr>
          </w:p>
        </w:tc>
        <w:tc>
          <w:tcPr>
            <w:tcW w:w="3685" w:type="dxa"/>
            <w:noWrap w:val="0"/>
            <w:vAlign w:val="top"/>
          </w:tcPr>
          <w:p w14:paraId="0717130E">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有权占有</w:t>
            </w:r>
          </w:p>
        </w:tc>
        <w:tc>
          <w:tcPr>
            <w:tcW w:w="3736" w:type="dxa"/>
            <w:noWrap w:val="0"/>
            <w:vAlign w:val="top"/>
          </w:tcPr>
          <w:p w14:paraId="328677C1">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无权占有</w:t>
            </w:r>
          </w:p>
        </w:tc>
      </w:tr>
      <w:tr w14:paraId="64D5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3A1CDD5E">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区分标准</w:t>
            </w:r>
          </w:p>
        </w:tc>
        <w:tc>
          <w:tcPr>
            <w:tcW w:w="7421" w:type="dxa"/>
            <w:gridSpan w:val="2"/>
            <w:noWrap w:val="0"/>
            <w:vAlign w:val="top"/>
          </w:tcPr>
          <w:p w14:paraId="3DB33644">
            <w:pPr>
              <w:jc w:val="center"/>
              <w:rPr>
                <w:rFonts w:ascii="Times New Roman" w:hAnsi="Times New Roman" w:cs="Times New Roman"/>
                <w:color w:val="000000"/>
                <w:sz w:val="21"/>
                <w:szCs w:val="21"/>
              </w:rPr>
            </w:pPr>
            <w:r>
              <w:rPr>
                <w:rFonts w:ascii="Times New Roman" w:hAnsi="Times New Roman" w:cs="Times New Roman"/>
                <w:color w:val="000000"/>
                <w:sz w:val="21"/>
                <w:szCs w:val="21"/>
              </w:rPr>
              <w:t>占有人之占有是否具有本权</w:t>
            </w:r>
          </w:p>
        </w:tc>
      </w:tr>
      <w:tr w14:paraId="5671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6F1EF72D">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含义</w:t>
            </w:r>
          </w:p>
        </w:tc>
        <w:tc>
          <w:tcPr>
            <w:tcW w:w="3685" w:type="dxa"/>
            <w:noWrap w:val="0"/>
            <w:vAlign w:val="top"/>
          </w:tcPr>
          <w:p w14:paraId="17FFF0C6">
            <w:pPr>
              <w:jc w:val="center"/>
              <w:rPr>
                <w:rFonts w:ascii="Times New Roman" w:hAnsi="Times New Roman" w:cs="Times New Roman"/>
                <w:color w:val="000000"/>
                <w:sz w:val="21"/>
                <w:szCs w:val="21"/>
              </w:rPr>
            </w:pPr>
            <w:r>
              <w:rPr>
                <w:rFonts w:ascii="Times New Roman" w:hAnsi="Times New Roman" w:cs="Times New Roman"/>
                <w:color w:val="000000"/>
                <w:sz w:val="21"/>
                <w:szCs w:val="21"/>
              </w:rPr>
              <w:t>基于本权的占有</w:t>
            </w:r>
          </w:p>
        </w:tc>
        <w:tc>
          <w:tcPr>
            <w:tcW w:w="3736" w:type="dxa"/>
            <w:noWrap w:val="0"/>
            <w:vAlign w:val="top"/>
          </w:tcPr>
          <w:p w14:paraId="57FAA265">
            <w:pPr>
              <w:jc w:val="center"/>
              <w:rPr>
                <w:rFonts w:ascii="Times New Roman" w:hAnsi="Times New Roman" w:cs="Times New Roman"/>
                <w:color w:val="000000"/>
                <w:sz w:val="21"/>
                <w:szCs w:val="21"/>
              </w:rPr>
            </w:pPr>
            <w:r>
              <w:rPr>
                <w:rFonts w:ascii="Times New Roman" w:hAnsi="Times New Roman" w:cs="Times New Roman"/>
                <w:color w:val="000000"/>
                <w:sz w:val="21"/>
                <w:szCs w:val="21"/>
              </w:rPr>
              <w:t>非基于本权的占有</w:t>
            </w:r>
          </w:p>
        </w:tc>
      </w:tr>
      <w:tr w14:paraId="56B9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0079438D">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典型例证</w:t>
            </w:r>
          </w:p>
        </w:tc>
        <w:tc>
          <w:tcPr>
            <w:tcW w:w="3685" w:type="dxa"/>
            <w:noWrap w:val="0"/>
            <w:vAlign w:val="top"/>
          </w:tcPr>
          <w:p w14:paraId="3BEE8129">
            <w:pPr>
              <w:jc w:val="left"/>
              <w:rPr>
                <w:rFonts w:ascii="Times New Roman" w:hAnsi="Times New Roman" w:cs="Times New Roman"/>
                <w:color w:val="000000"/>
                <w:sz w:val="21"/>
                <w:szCs w:val="21"/>
              </w:rPr>
            </w:pPr>
            <w:r>
              <w:rPr>
                <w:rFonts w:ascii="Times New Roman" w:hAnsi="Times New Roman" w:cs="Times New Roman"/>
                <w:color w:val="000000"/>
                <w:sz w:val="21"/>
                <w:szCs w:val="21"/>
              </w:rPr>
              <w:t>基于所有权、建设用地使用权、质权等物权的占有以及基于租赁、借用等合同关系的占有</w:t>
            </w:r>
          </w:p>
        </w:tc>
        <w:tc>
          <w:tcPr>
            <w:tcW w:w="3736" w:type="dxa"/>
            <w:noWrap w:val="0"/>
            <w:vAlign w:val="top"/>
          </w:tcPr>
          <w:p w14:paraId="15BAF27F">
            <w:pPr>
              <w:jc w:val="left"/>
              <w:rPr>
                <w:rFonts w:ascii="Times New Roman" w:hAnsi="Times New Roman" w:cs="Times New Roman"/>
                <w:color w:val="000000"/>
                <w:sz w:val="21"/>
                <w:szCs w:val="21"/>
              </w:rPr>
            </w:pPr>
            <w:r>
              <w:rPr>
                <w:rFonts w:ascii="Times New Roman" w:hAnsi="Times New Roman" w:cs="Times New Roman"/>
                <w:color w:val="000000"/>
                <w:sz w:val="21"/>
                <w:szCs w:val="21"/>
              </w:rPr>
              <w:t>窃贼对赃物的占有、拾得人对遗失物的占有，或基于无效的合同而对对方当事人之物的占有</w:t>
            </w:r>
          </w:p>
        </w:tc>
      </w:tr>
    </w:tbl>
    <w:p w14:paraId="2E406494">
      <w:pPr>
        <w:ind w:firstLine="420" w:firstLineChars="200"/>
        <w:rPr>
          <w:rFonts w:ascii="Times New Roman" w:hAnsi="Times New Roman" w:cs="Times New Roman"/>
          <w:bCs/>
          <w:color w:val="000000"/>
          <w:sz w:val="21"/>
          <w:szCs w:val="21"/>
        </w:rPr>
      </w:pPr>
    </w:p>
    <w:p w14:paraId="6C735499">
      <w:pPr>
        <w:ind w:firstLine="420" w:firstLineChars="200"/>
        <w:rPr>
          <w:rFonts w:ascii="Times New Roman" w:hAnsi="Times New Roman" w:cs="Times New Roman"/>
          <w:bCs/>
          <w:color w:val="000000"/>
          <w:sz w:val="21"/>
          <w:szCs w:val="21"/>
        </w:rPr>
      </w:pPr>
      <w:r>
        <w:rPr>
          <w:rFonts w:ascii="Times New Roman" w:hAnsi="Times New Roman" w:cs="Times New Roman"/>
          <w:bCs/>
          <w:color w:val="000000"/>
          <w:sz w:val="21"/>
          <w:szCs w:val="21"/>
        </w:rPr>
        <w:t>4</w:t>
      </w:r>
      <w:r>
        <w:rPr>
          <w:rFonts w:hint="eastAsia" w:ascii="Times New Roman" w:hAnsi="Times New Roman" w:cs="Times New Roman"/>
          <w:bCs/>
          <w:color w:val="000000"/>
          <w:sz w:val="21"/>
          <w:szCs w:val="21"/>
        </w:rPr>
        <w:t>．</w:t>
      </w:r>
      <w:r>
        <w:rPr>
          <w:rFonts w:ascii="Times New Roman" w:hAnsi="Times New Roman" w:cs="Times New Roman"/>
          <w:bCs/>
          <w:color w:val="000000"/>
          <w:sz w:val="21"/>
          <w:szCs w:val="21"/>
        </w:rPr>
        <w:t>善意占有与恶意占有</w:t>
      </w:r>
    </w:p>
    <w:p w14:paraId="1FB302EA">
      <w:pPr>
        <w:ind w:firstLine="420" w:firstLineChars="200"/>
        <w:rPr>
          <w:rFonts w:ascii="Times New Roman" w:hAnsi="Times New Roman" w:cs="Times New Roman"/>
          <w:bCs/>
          <w:color w:val="000000"/>
          <w:sz w:val="21"/>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685"/>
        <w:gridCol w:w="3736"/>
      </w:tblGrid>
      <w:tr w14:paraId="1A7D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0A96293C">
            <w:pPr>
              <w:rPr>
                <w:rFonts w:ascii="Times New Roman" w:hAnsi="Times New Roman" w:cs="Times New Roman"/>
                <w:color w:val="000000"/>
                <w:sz w:val="21"/>
                <w:szCs w:val="21"/>
              </w:rPr>
            </w:pPr>
          </w:p>
        </w:tc>
        <w:tc>
          <w:tcPr>
            <w:tcW w:w="3685" w:type="dxa"/>
            <w:noWrap w:val="0"/>
            <w:vAlign w:val="top"/>
          </w:tcPr>
          <w:p w14:paraId="574E874D">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善意占有</w:t>
            </w:r>
          </w:p>
        </w:tc>
        <w:tc>
          <w:tcPr>
            <w:tcW w:w="3736" w:type="dxa"/>
            <w:noWrap w:val="0"/>
            <w:vAlign w:val="top"/>
          </w:tcPr>
          <w:p w14:paraId="61704D53">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恶意占有</w:t>
            </w:r>
          </w:p>
        </w:tc>
      </w:tr>
      <w:tr w14:paraId="1C74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22927DA2">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区分标准</w:t>
            </w:r>
          </w:p>
        </w:tc>
        <w:tc>
          <w:tcPr>
            <w:tcW w:w="7421" w:type="dxa"/>
            <w:gridSpan w:val="2"/>
            <w:noWrap w:val="0"/>
            <w:vAlign w:val="top"/>
          </w:tcPr>
          <w:p w14:paraId="1F082EC7">
            <w:pPr>
              <w:jc w:val="center"/>
              <w:rPr>
                <w:rFonts w:ascii="Times New Roman" w:hAnsi="Times New Roman" w:cs="Times New Roman"/>
                <w:color w:val="000000"/>
                <w:sz w:val="21"/>
                <w:szCs w:val="21"/>
              </w:rPr>
            </w:pPr>
            <w:r>
              <w:rPr>
                <w:rFonts w:ascii="Times New Roman" w:hAnsi="Times New Roman" w:cs="Times New Roman"/>
                <w:color w:val="000000"/>
                <w:sz w:val="21"/>
                <w:szCs w:val="21"/>
              </w:rPr>
              <w:t>无权占有人是否误信其有占有权源</w:t>
            </w:r>
          </w:p>
        </w:tc>
      </w:tr>
      <w:tr w14:paraId="5E64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7E4B5148">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含义</w:t>
            </w:r>
          </w:p>
        </w:tc>
        <w:tc>
          <w:tcPr>
            <w:tcW w:w="3685" w:type="dxa"/>
            <w:noWrap w:val="0"/>
            <w:vAlign w:val="top"/>
          </w:tcPr>
          <w:p w14:paraId="3009470A">
            <w:pPr>
              <w:jc w:val="left"/>
              <w:rPr>
                <w:rFonts w:hint="eastAsia" w:ascii="Times New Roman" w:hAnsi="Times New Roman" w:eastAsia="宋体" w:cs="Times New Roman"/>
                <w:color w:val="000000"/>
                <w:sz w:val="21"/>
                <w:szCs w:val="21"/>
                <w:lang w:eastAsia="zh-CN"/>
              </w:rPr>
            </w:pPr>
            <w:r>
              <w:rPr>
                <w:rFonts w:ascii="Times New Roman" w:hAnsi="Times New Roman" w:cs="Times New Roman"/>
                <w:color w:val="000000"/>
                <w:sz w:val="21"/>
                <w:szCs w:val="21"/>
              </w:rPr>
              <w:t>无权占有人无占有的权源但误信存在此种权源的占有</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无权但不知</w:t>
            </w:r>
            <w:r>
              <w:rPr>
                <w:rFonts w:hint="eastAsia" w:ascii="Times New Roman" w:hAnsi="Times New Roman" w:cs="Times New Roman"/>
                <w:color w:val="000000"/>
                <w:sz w:val="21"/>
                <w:szCs w:val="21"/>
                <w:lang w:eastAsia="zh-CN"/>
              </w:rPr>
              <w:t>）</w:t>
            </w:r>
          </w:p>
        </w:tc>
        <w:tc>
          <w:tcPr>
            <w:tcW w:w="3736" w:type="dxa"/>
            <w:noWrap w:val="0"/>
            <w:vAlign w:val="top"/>
          </w:tcPr>
          <w:p w14:paraId="646E2A2E">
            <w:pPr>
              <w:jc w:val="left"/>
              <w:rPr>
                <w:rFonts w:ascii="Times New Roman" w:hAnsi="Times New Roman" w:cs="Times New Roman"/>
                <w:color w:val="000000"/>
                <w:sz w:val="21"/>
                <w:szCs w:val="21"/>
              </w:rPr>
            </w:pPr>
            <w:r>
              <w:rPr>
                <w:rFonts w:ascii="Times New Roman" w:hAnsi="Times New Roman" w:cs="Times New Roman"/>
                <w:color w:val="000000"/>
                <w:sz w:val="21"/>
                <w:szCs w:val="21"/>
              </w:rPr>
              <w:t>占有人明知无占有权源，或者对是否存在占有权源有怀疑而为的占有</w:t>
            </w:r>
          </w:p>
        </w:tc>
      </w:tr>
      <w:tr w14:paraId="0587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1570A464">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典型例证</w:t>
            </w:r>
          </w:p>
        </w:tc>
        <w:tc>
          <w:tcPr>
            <w:tcW w:w="3685" w:type="dxa"/>
            <w:noWrap w:val="0"/>
            <w:vAlign w:val="top"/>
          </w:tcPr>
          <w:p w14:paraId="4FAFD54D">
            <w:pPr>
              <w:jc w:val="left"/>
              <w:rPr>
                <w:rFonts w:ascii="Times New Roman" w:hAnsi="Times New Roman" w:cs="Times New Roman"/>
                <w:color w:val="000000"/>
                <w:sz w:val="21"/>
                <w:szCs w:val="21"/>
              </w:rPr>
            </w:pPr>
            <w:r>
              <w:rPr>
                <w:rFonts w:ascii="Times New Roman" w:hAnsi="Times New Roman" w:cs="Times New Roman"/>
                <w:color w:val="000000"/>
                <w:sz w:val="21"/>
                <w:szCs w:val="21"/>
              </w:rPr>
              <w:t>误以为他人遗失之物为抛弃物而以所有的意思占有的；占有人误以为自己先占取得成为所有权人，从而误信其占有为有权占有</w:t>
            </w:r>
          </w:p>
        </w:tc>
        <w:tc>
          <w:tcPr>
            <w:tcW w:w="3736" w:type="dxa"/>
            <w:noWrap w:val="0"/>
            <w:vAlign w:val="top"/>
          </w:tcPr>
          <w:p w14:paraId="1EA1A145">
            <w:pPr>
              <w:jc w:val="left"/>
              <w:rPr>
                <w:rFonts w:ascii="Times New Roman" w:hAnsi="Times New Roman" w:cs="Times New Roman"/>
                <w:color w:val="000000"/>
                <w:sz w:val="21"/>
                <w:szCs w:val="21"/>
              </w:rPr>
            </w:pPr>
            <w:r>
              <w:rPr>
                <w:rFonts w:ascii="Times New Roman" w:hAnsi="Times New Roman" w:cs="Times New Roman"/>
                <w:color w:val="000000"/>
                <w:sz w:val="21"/>
                <w:szCs w:val="21"/>
              </w:rPr>
              <w:t>窃贼占有窃得的物品；以极低的价格从他人处购买物并对该物是否为赃物有怀疑之人的占有</w:t>
            </w:r>
          </w:p>
        </w:tc>
      </w:tr>
    </w:tbl>
    <w:p w14:paraId="7E4F88E5">
      <w:pPr>
        <w:ind w:firstLine="420" w:firstLineChars="200"/>
        <w:rPr>
          <w:rFonts w:ascii="Times New Roman" w:hAnsi="Times New Roman" w:eastAsia="楷体" w:cs="Times New Roman"/>
          <w:color w:val="000000"/>
          <w:sz w:val="21"/>
          <w:szCs w:val="21"/>
        </w:rPr>
      </w:pPr>
    </w:p>
    <w:p w14:paraId="396D2F7D">
      <w:pPr>
        <w:ind w:firstLine="420" w:firstLineChars="20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特别提醒：</w:t>
      </w:r>
      <w:r>
        <w:rPr>
          <w:rFonts w:ascii="Times New Roman" w:hAnsi="Times New Roman" w:eastAsia="楷体" w:cs="Times New Roman"/>
          <w:b/>
          <w:bCs/>
          <w:color w:val="FF0000"/>
          <w:sz w:val="21"/>
          <w:szCs w:val="21"/>
          <w:u w:val="single"/>
        </w:rPr>
        <w:t>善意占有与恶意占有是无权占有的进一步分类</w:t>
      </w:r>
      <w:r>
        <w:rPr>
          <w:rFonts w:ascii="Times New Roman" w:hAnsi="Times New Roman" w:eastAsia="楷体" w:cs="Times New Roman"/>
          <w:color w:val="000000"/>
          <w:sz w:val="21"/>
          <w:szCs w:val="21"/>
        </w:rPr>
        <w:t>，有权占有不存在善恶意的问题，因此在</w:t>
      </w:r>
      <w:r>
        <w:rPr>
          <w:rFonts w:ascii="Times New Roman" w:hAnsi="Times New Roman" w:eastAsia="楷体" w:cs="Times New Roman"/>
          <w:b/>
          <w:bCs/>
          <w:color w:val="000000"/>
          <w:sz w:val="21"/>
          <w:szCs w:val="21"/>
          <w:u w:val="single"/>
        </w:rPr>
        <w:t>涉及善意占有与恶意占有时，应首先判断是否为无权占有</w:t>
      </w:r>
      <w:r>
        <w:rPr>
          <w:rFonts w:ascii="Times New Roman" w:hAnsi="Times New Roman" w:eastAsia="楷体" w:cs="Times New Roman"/>
          <w:color w:val="000000"/>
          <w:sz w:val="21"/>
          <w:szCs w:val="21"/>
        </w:rPr>
        <w:t>。</w:t>
      </w:r>
    </w:p>
    <w:p w14:paraId="0902E46A">
      <w:pPr>
        <w:ind w:firstLine="420" w:firstLineChars="200"/>
        <w:rPr>
          <w:rFonts w:ascii="Times New Roman" w:hAnsi="Times New Roman" w:eastAsia="楷体" w:cs="Times New Roman"/>
          <w:color w:val="000000"/>
          <w:sz w:val="21"/>
          <w:szCs w:val="21"/>
        </w:rPr>
      </w:pPr>
    </w:p>
    <w:p w14:paraId="528AAFFB">
      <w:pPr>
        <w:ind w:firstLine="420" w:firstLineChars="200"/>
        <w:rPr>
          <w:rFonts w:ascii="Times New Roman" w:hAnsi="Times New Roman" w:eastAsia="楷体" w:cs="Times New Roman"/>
          <w:color w:val="000000"/>
          <w:sz w:val="21"/>
          <w:szCs w:val="21"/>
        </w:rPr>
      </w:pPr>
    </w:p>
    <w:p w14:paraId="2FDEB6F1">
      <w:pPr>
        <w:ind w:firstLine="480"/>
        <w:rPr>
          <w:rFonts w:ascii="Times New Roman" w:hAnsi="Times New Roman" w:cs="Times New Roman"/>
          <w:b/>
          <w:bCs/>
          <w:color w:val="000000"/>
          <w:sz w:val="21"/>
          <w:szCs w:val="21"/>
        </w:rPr>
      </w:pPr>
      <w:r>
        <w:rPr>
          <w:rFonts w:ascii="Times New Roman" w:hAnsi="Times New Roman" w:cs="Times New Roman"/>
          <w:b/>
          <w:bCs/>
          <w:color w:val="000000"/>
          <w:sz w:val="21"/>
          <w:szCs w:val="21"/>
        </w:rPr>
        <w:t>（</w:t>
      </w:r>
      <w:r>
        <w:rPr>
          <w:rFonts w:hint="eastAsia" w:ascii="Times New Roman" w:hAnsi="Times New Roman" w:cs="Times New Roman"/>
          <w:b/>
          <w:bCs/>
          <w:color w:val="000000"/>
          <w:sz w:val="21"/>
          <w:szCs w:val="21"/>
          <w:lang w:val="en-US" w:eastAsia="zh-CN"/>
        </w:rPr>
        <w:t>三</w:t>
      </w:r>
      <w:r>
        <w:rPr>
          <w:rFonts w:ascii="Times New Roman" w:hAnsi="Times New Roman" w:cs="Times New Roman"/>
          <w:b/>
          <w:bCs/>
          <w:color w:val="000000"/>
          <w:sz w:val="21"/>
          <w:szCs w:val="21"/>
        </w:rPr>
        <w:t>）占有人的占有物返还请求权</w:t>
      </w:r>
    </w:p>
    <w:p w14:paraId="3AD8E1D6">
      <w:pPr>
        <w:ind w:firstLine="480"/>
        <w:rPr>
          <w:rFonts w:ascii="Times New Roman" w:hAnsi="Times New Roman" w:cs="Times New Roman"/>
          <w:b/>
          <w:bCs/>
          <w:color w:val="000000"/>
          <w:sz w:val="21"/>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21"/>
      </w:tblGrid>
      <w:tr w14:paraId="468F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33251C90">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构成要件</w:t>
            </w:r>
          </w:p>
        </w:tc>
        <w:tc>
          <w:tcPr>
            <w:tcW w:w="7421" w:type="dxa"/>
            <w:noWrap w:val="0"/>
            <w:vAlign w:val="top"/>
          </w:tcPr>
          <w:p w14:paraId="698A920A">
            <w:pPr>
              <w:rPr>
                <w:rFonts w:ascii="Times New Roman" w:hAnsi="Times New Roman" w:cs="Times New Roman"/>
                <w:color w:val="000000"/>
                <w:sz w:val="21"/>
                <w:szCs w:val="21"/>
              </w:rPr>
            </w:pPr>
            <w:r>
              <w:rPr>
                <w:rFonts w:ascii="Times New Roman" w:hAnsi="Times New Roman" w:cs="Times New Roman"/>
                <w:color w:val="000000"/>
                <w:sz w:val="21"/>
                <w:szCs w:val="21"/>
              </w:rPr>
              <w:t>请求权的主体为占有人，包括直接占有人与间接占有人、有权占有人与</w:t>
            </w:r>
            <w:r>
              <w:rPr>
                <w:rFonts w:ascii="Times New Roman" w:hAnsi="Times New Roman" w:cs="Times New Roman"/>
                <w:color w:val="FF0000"/>
                <w:sz w:val="21"/>
                <w:szCs w:val="21"/>
              </w:rPr>
              <w:t>无权占有人</w:t>
            </w:r>
          </w:p>
        </w:tc>
      </w:tr>
      <w:tr w14:paraId="7B86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14:paraId="6FD81DEB">
            <w:pPr>
              <w:rPr>
                <w:rFonts w:ascii="Times New Roman" w:hAnsi="Times New Roman" w:cs="Times New Roman"/>
                <w:b/>
                <w:bCs/>
                <w:color w:val="000000"/>
                <w:sz w:val="21"/>
                <w:szCs w:val="21"/>
              </w:rPr>
            </w:pPr>
          </w:p>
        </w:tc>
        <w:tc>
          <w:tcPr>
            <w:tcW w:w="7421" w:type="dxa"/>
            <w:noWrap w:val="0"/>
            <w:vAlign w:val="top"/>
          </w:tcPr>
          <w:p w14:paraId="64DABA8E">
            <w:pPr>
              <w:rPr>
                <w:rFonts w:ascii="Times New Roman" w:hAnsi="Times New Roman" w:cs="Times New Roman"/>
                <w:color w:val="000000"/>
                <w:sz w:val="21"/>
                <w:szCs w:val="21"/>
              </w:rPr>
            </w:pPr>
            <w:r>
              <w:rPr>
                <w:rFonts w:ascii="Times New Roman" w:hAnsi="Times New Roman" w:cs="Times New Roman"/>
                <w:b/>
                <w:bCs/>
                <w:color w:val="000000"/>
                <w:sz w:val="21"/>
                <w:szCs w:val="21"/>
                <w:u w:val="single"/>
              </w:rPr>
              <w:t>存在占有的侵夺行为</w:t>
            </w:r>
            <w:r>
              <w:rPr>
                <w:rFonts w:ascii="Times New Roman" w:hAnsi="Times New Roman" w:cs="Times New Roman"/>
                <w:color w:val="000000"/>
                <w:sz w:val="21"/>
                <w:szCs w:val="21"/>
              </w:rPr>
              <w:t>，即违反占有人之意志以积极的不法行为剥夺占有人对占有物之管领力的行为，如窃取行为、抢夺行为等</w:t>
            </w:r>
          </w:p>
        </w:tc>
      </w:tr>
      <w:tr w14:paraId="2998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top"/>
          </w:tcPr>
          <w:p w14:paraId="6F4D3A54">
            <w:pPr>
              <w:rPr>
                <w:rFonts w:ascii="Times New Roman" w:hAnsi="Times New Roman" w:cs="Times New Roman"/>
                <w:b/>
                <w:bCs/>
                <w:color w:val="000000"/>
                <w:sz w:val="21"/>
                <w:szCs w:val="21"/>
              </w:rPr>
            </w:pPr>
          </w:p>
        </w:tc>
        <w:tc>
          <w:tcPr>
            <w:tcW w:w="7421" w:type="dxa"/>
            <w:noWrap w:val="0"/>
            <w:vAlign w:val="top"/>
          </w:tcPr>
          <w:p w14:paraId="4F09B7EA">
            <w:pPr>
              <w:rPr>
                <w:rFonts w:ascii="Times New Roman" w:hAnsi="Times New Roman" w:cs="Times New Roman"/>
                <w:color w:val="000000"/>
                <w:sz w:val="21"/>
                <w:szCs w:val="21"/>
              </w:rPr>
            </w:pPr>
            <w:r>
              <w:rPr>
                <w:rFonts w:ascii="Times New Roman" w:hAnsi="Times New Roman" w:cs="Times New Roman"/>
                <w:color w:val="000000"/>
                <w:sz w:val="21"/>
                <w:szCs w:val="21"/>
              </w:rPr>
              <w:t>相对人为现在的瑕疵占有人，包括侵夺占有之人，占有的概括承受人（继承），恶意的特定承受人</w:t>
            </w:r>
          </w:p>
        </w:tc>
      </w:tr>
      <w:tr w14:paraId="54D8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1A7392C0">
            <w:pPr>
              <w:rPr>
                <w:rFonts w:ascii="Times New Roman" w:hAnsi="Times New Roman" w:cs="Times New Roman"/>
                <w:b/>
                <w:bCs/>
                <w:color w:val="000000"/>
                <w:sz w:val="21"/>
                <w:szCs w:val="21"/>
              </w:rPr>
            </w:pPr>
            <w:r>
              <w:rPr>
                <w:rFonts w:ascii="Times New Roman" w:hAnsi="Times New Roman" w:cs="Times New Roman"/>
                <w:b/>
                <w:bCs/>
                <w:color w:val="000000"/>
                <w:sz w:val="21"/>
                <w:szCs w:val="21"/>
              </w:rPr>
              <w:t>除斥期间</w:t>
            </w:r>
          </w:p>
        </w:tc>
        <w:tc>
          <w:tcPr>
            <w:tcW w:w="7421" w:type="dxa"/>
            <w:noWrap w:val="0"/>
            <w:vAlign w:val="top"/>
          </w:tcPr>
          <w:p w14:paraId="006BC309">
            <w:pPr>
              <w:rPr>
                <w:rFonts w:hint="eastAsia" w:ascii="Times New Roman" w:hAnsi="Times New Roman" w:eastAsia="宋体" w:cs="Times New Roman"/>
                <w:color w:val="000000"/>
                <w:sz w:val="21"/>
                <w:szCs w:val="21"/>
                <w:lang w:eastAsia="zh-CN"/>
              </w:rPr>
            </w:pPr>
            <w:r>
              <w:rPr>
                <w:rFonts w:ascii="Times New Roman" w:hAnsi="Times New Roman" w:cs="Times New Roman"/>
                <w:color w:val="000000"/>
                <w:sz w:val="21"/>
                <w:szCs w:val="21"/>
              </w:rPr>
              <w:t>自侵占发生之日起1年内行使，期满未行使的，权利消灭</w:t>
            </w:r>
            <w:r>
              <w:rPr>
                <w:rFonts w:hint="eastAsia" w:ascii="Times New Roman" w:hAnsi="Times New Roman" w:cs="Times New Roman"/>
                <w:color w:val="FF0000"/>
                <w:sz w:val="21"/>
                <w:szCs w:val="21"/>
                <w:lang w:eastAsia="zh-CN"/>
              </w:rPr>
              <w:t>（</w:t>
            </w:r>
            <w:r>
              <w:rPr>
                <w:rFonts w:hint="eastAsia" w:ascii="Times New Roman" w:hAnsi="Times New Roman" w:cs="Times New Roman"/>
                <w:color w:val="FF0000"/>
                <w:sz w:val="21"/>
                <w:szCs w:val="21"/>
                <w:lang w:val="en-US" w:eastAsia="zh-CN"/>
              </w:rPr>
              <w:t>除斥期间</w:t>
            </w:r>
            <w:r>
              <w:rPr>
                <w:rFonts w:hint="eastAsia" w:ascii="Times New Roman" w:hAnsi="Times New Roman" w:cs="Times New Roman"/>
                <w:color w:val="FF0000"/>
                <w:sz w:val="21"/>
                <w:szCs w:val="21"/>
                <w:lang w:eastAsia="zh-CN"/>
              </w:rPr>
              <w:t>）</w:t>
            </w:r>
          </w:p>
        </w:tc>
      </w:tr>
    </w:tbl>
    <w:p w14:paraId="5258A767">
      <w:pPr>
        <w:spacing w:line="276" w:lineRule="auto"/>
        <w:rPr>
          <w:rFonts w:ascii="Times New Roman" w:hAnsi="Times New Roman" w:cs="Times New Roman"/>
          <w:color w:val="000000"/>
          <w:sz w:val="21"/>
          <w:szCs w:val="21"/>
        </w:rPr>
      </w:pPr>
    </w:p>
    <w:p w14:paraId="4832BA31">
      <w:pPr>
        <w:pStyle w:val="2"/>
        <w:spacing w:line="276" w:lineRule="auto"/>
        <w:jc w:val="center"/>
        <w:rPr>
          <w:rFonts w:ascii="Times New Roman" w:hAnsi="Times New Roman" w:cs="Times New Roman"/>
          <w:bCs w:val="0"/>
          <w:color w:val="000000"/>
          <w:sz w:val="24"/>
          <w:szCs w:val="24"/>
        </w:rPr>
      </w:pPr>
      <w:bookmarkStart w:id="18" w:name="_Toc13939"/>
      <w:r>
        <w:rPr>
          <w:rFonts w:ascii="Times New Roman" w:hAnsi="Times New Roman" w:cs="Times New Roman"/>
          <w:bCs w:val="0"/>
          <w:color w:val="000000"/>
          <w:sz w:val="24"/>
          <w:szCs w:val="24"/>
        </w:rPr>
        <w:t>考点9  共有</w:t>
      </w:r>
      <w:bookmarkEnd w:id="18"/>
    </w:p>
    <w:p w14:paraId="022BBFFB">
      <w:pPr>
        <w:ind w:firstLine="480"/>
        <w:rPr>
          <w:rFonts w:ascii="Times New Roman" w:hAnsi="Times New Roman" w:cs="Times New Roman"/>
          <w:b/>
          <w:color w:val="000000"/>
          <w:sz w:val="21"/>
          <w:szCs w:val="21"/>
          <w:highlight w:val="none"/>
        </w:rPr>
      </w:pPr>
      <w:r>
        <w:rPr>
          <w:rFonts w:ascii="Times New Roman" w:hAnsi="Times New Roman" w:cs="Times New Roman"/>
          <w:b/>
          <w:bCs/>
          <w:color w:val="000000"/>
          <w:sz w:val="21"/>
          <w:szCs w:val="21"/>
        </w:rPr>
        <w:t>一、</w:t>
      </w:r>
      <w:r>
        <w:rPr>
          <w:rFonts w:ascii="Times New Roman" w:hAnsi="Times New Roman" w:cs="Times New Roman"/>
          <w:b/>
          <w:color w:val="000000"/>
          <w:sz w:val="21"/>
          <w:szCs w:val="21"/>
          <w:highlight w:val="none"/>
        </w:rPr>
        <w:t>共有类型的识别路径</w:t>
      </w:r>
    </w:p>
    <w:p w14:paraId="4EBDE5DC">
      <w:pPr>
        <w:ind w:firstLine="420" w:firstLineChars="200"/>
        <w:rPr>
          <w:rFonts w:ascii="Times New Roman" w:hAnsi="Times New Roman" w:cs="Times New Roman"/>
          <w:b/>
          <w:bCs/>
          <w:color w:val="000000"/>
          <w:sz w:val="21"/>
          <w:szCs w:val="21"/>
          <w:highlight w:val="none"/>
        </w:rPr>
      </w:pPr>
      <w:r>
        <w:rPr>
          <w:rFonts w:ascii="Times New Roman" w:hAnsi="Times New Roman" w:cs="Times New Roman"/>
          <w:color w:val="000000"/>
          <w:sz w:val="21"/>
          <w:szCs w:val="21"/>
          <w:highlight w:val="none"/>
        </w:rPr>
        <w:t>共同共有奉行类型法定原则，现行法仅认可四种共同关系：</w:t>
      </w:r>
      <w:r>
        <w:rPr>
          <w:rFonts w:ascii="Times New Roman" w:hAnsi="Times New Roman" w:cs="Times New Roman"/>
          <w:color w:val="FF0000"/>
          <w:sz w:val="21"/>
          <w:szCs w:val="21"/>
          <w:highlight w:val="none"/>
        </w:rPr>
        <w:t>婚姻关系、家庭共同生活关系、共同继承关系以及合伙关系，因此现行法上只有上述四种共同共有</w:t>
      </w:r>
      <w:r>
        <w:rPr>
          <w:rFonts w:ascii="Times New Roman" w:hAnsi="Times New Roman" w:cs="Times New Roman"/>
          <w:color w:val="000000"/>
          <w:sz w:val="21"/>
          <w:szCs w:val="21"/>
          <w:highlight w:val="none"/>
        </w:rPr>
        <w:t>。除此以外，当事人不能自由约定对某个财产共同共有。在判断共有的类型时，考生应先审查是否存在共同关系，如果存在共同关系才有可能成立共同共有；</w:t>
      </w:r>
      <w:r>
        <w:rPr>
          <w:rFonts w:ascii="Times New Roman" w:hAnsi="Times New Roman" w:cs="Times New Roman"/>
          <w:color w:val="FF0000"/>
          <w:sz w:val="21"/>
          <w:szCs w:val="21"/>
          <w:highlight w:val="none"/>
        </w:rPr>
        <w:t>如果不存在共同关系，不论当事人如何约定，都是按份共有</w:t>
      </w:r>
      <w:r>
        <w:rPr>
          <w:rFonts w:ascii="Times New Roman" w:hAnsi="Times New Roman" w:cs="Times New Roman"/>
          <w:color w:val="000000"/>
          <w:sz w:val="21"/>
          <w:szCs w:val="21"/>
          <w:highlight w:val="none"/>
        </w:rPr>
        <w:t>。</w:t>
      </w:r>
    </w:p>
    <w:p w14:paraId="16F86083">
      <w:pPr>
        <w:ind w:firstLine="422" w:firstLineChars="200"/>
        <w:rPr>
          <w:rFonts w:ascii="Times New Roman" w:hAnsi="Times New Roman" w:cs="Times New Roman"/>
          <w:b/>
          <w:bCs/>
          <w:color w:val="000000"/>
          <w:sz w:val="21"/>
          <w:szCs w:val="21"/>
        </w:rPr>
      </w:pPr>
      <w:r>
        <w:rPr>
          <w:rFonts w:ascii="Times New Roman" w:hAnsi="Times New Roman" w:cs="Times New Roman"/>
          <w:b/>
          <w:bCs/>
          <w:color w:val="000000"/>
          <w:sz w:val="21"/>
          <w:szCs w:val="21"/>
          <w:highlight w:val="none"/>
        </w:rPr>
        <w:t>二、按份</w:t>
      </w:r>
      <w:r>
        <w:rPr>
          <w:rFonts w:ascii="Times New Roman" w:hAnsi="Times New Roman" w:cs="Times New Roman"/>
          <w:b/>
          <w:bCs/>
          <w:color w:val="000000"/>
          <w:sz w:val="21"/>
          <w:szCs w:val="21"/>
        </w:rPr>
        <w:t>共有的份额处分与优先购买权</w:t>
      </w:r>
    </w:p>
    <w:p w14:paraId="69945C34">
      <w:pPr>
        <w:ind w:firstLine="480"/>
        <w:rPr>
          <w:rFonts w:ascii="Times New Roman" w:hAnsi="Times New Roman" w:cs="Times New Roman"/>
          <w:bCs/>
          <w:color w:val="000000"/>
          <w:sz w:val="21"/>
          <w:szCs w:val="21"/>
        </w:rPr>
      </w:pPr>
      <w:r>
        <w:rPr>
          <w:rFonts w:ascii="Times New Roman" w:hAnsi="Times New Roman" w:cs="Times New Roman"/>
          <w:bCs/>
          <w:color w:val="000000"/>
          <w:sz w:val="21"/>
          <w:szCs w:val="21"/>
        </w:rPr>
        <w:t>1</w:t>
      </w:r>
      <w:r>
        <w:rPr>
          <w:rFonts w:hint="eastAsia" w:ascii="Times New Roman" w:hAnsi="Times New Roman" w:cs="Times New Roman"/>
          <w:bCs/>
          <w:color w:val="000000"/>
          <w:sz w:val="21"/>
          <w:szCs w:val="21"/>
        </w:rPr>
        <w:t>．</w:t>
      </w:r>
      <w:r>
        <w:rPr>
          <w:rFonts w:ascii="Times New Roman" w:hAnsi="Times New Roman" w:cs="Times New Roman"/>
          <w:bCs/>
          <w:color w:val="000000"/>
          <w:sz w:val="21"/>
          <w:szCs w:val="21"/>
        </w:rPr>
        <w:t>按份共有人可以自由地处分其共有份额，而无须征得其他共有人的同意，处分的方式包括转让、赠与、抵押等。</w:t>
      </w:r>
    </w:p>
    <w:p w14:paraId="40DA78E8">
      <w:pPr>
        <w:ind w:firstLine="480"/>
        <w:rPr>
          <w:rFonts w:ascii="Times New Roman" w:hAnsi="Times New Roman" w:cs="Times New Roman"/>
          <w:bCs/>
          <w:color w:val="000000"/>
          <w:sz w:val="21"/>
          <w:szCs w:val="21"/>
        </w:rPr>
      </w:pPr>
      <w:r>
        <w:rPr>
          <w:rFonts w:ascii="Times New Roman" w:hAnsi="Times New Roman" w:cs="Times New Roman"/>
          <w:bCs/>
          <w:color w:val="000000"/>
          <w:sz w:val="21"/>
          <w:szCs w:val="21"/>
        </w:rPr>
        <w:t>2</w:t>
      </w:r>
      <w:r>
        <w:rPr>
          <w:rFonts w:hint="eastAsia" w:ascii="Times New Roman" w:hAnsi="Times New Roman" w:cs="Times New Roman"/>
          <w:bCs/>
          <w:color w:val="000000"/>
          <w:sz w:val="21"/>
          <w:szCs w:val="21"/>
        </w:rPr>
        <w:t>．</w:t>
      </w:r>
      <w:r>
        <w:rPr>
          <w:rFonts w:ascii="Times New Roman" w:hAnsi="Times New Roman" w:cs="Times New Roman"/>
          <w:bCs/>
          <w:color w:val="000000"/>
          <w:sz w:val="21"/>
          <w:szCs w:val="21"/>
        </w:rPr>
        <w:t>优先购买权</w:t>
      </w:r>
    </w:p>
    <w:p w14:paraId="2B8E991F">
      <w:pPr>
        <w:ind w:firstLine="480"/>
        <w:rPr>
          <w:rFonts w:ascii="Times New Roman" w:hAnsi="Times New Roman" w:cs="Times New Roman"/>
          <w:bCs/>
          <w:color w:val="000000"/>
          <w:sz w:val="21"/>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14:paraId="26DE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3CF04A3A">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权利性质</w:t>
            </w:r>
          </w:p>
        </w:tc>
        <w:tc>
          <w:tcPr>
            <w:tcW w:w="6996" w:type="dxa"/>
            <w:noWrap w:val="0"/>
            <w:vAlign w:val="top"/>
          </w:tcPr>
          <w:p w14:paraId="0E751716">
            <w:pPr>
              <w:jc w:val="center"/>
              <w:rPr>
                <w:rFonts w:ascii="Times New Roman" w:hAnsi="Times New Roman" w:cs="Times New Roman"/>
                <w:color w:val="000000"/>
                <w:sz w:val="21"/>
                <w:szCs w:val="21"/>
              </w:rPr>
            </w:pPr>
            <w:r>
              <w:rPr>
                <w:rFonts w:ascii="Times New Roman" w:hAnsi="Times New Roman" w:cs="Times New Roman"/>
                <w:color w:val="000000"/>
                <w:sz w:val="21"/>
                <w:szCs w:val="21"/>
              </w:rPr>
              <w:t>形成权</w:t>
            </w:r>
          </w:p>
        </w:tc>
      </w:tr>
      <w:tr w14:paraId="452A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216CEDE5">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适用范围</w:t>
            </w:r>
          </w:p>
        </w:tc>
        <w:tc>
          <w:tcPr>
            <w:tcW w:w="6996" w:type="dxa"/>
            <w:noWrap w:val="0"/>
            <w:vAlign w:val="top"/>
          </w:tcPr>
          <w:p w14:paraId="6A1854C6">
            <w:pPr>
              <w:jc w:val="center"/>
              <w:rPr>
                <w:rFonts w:ascii="Times New Roman" w:hAnsi="Times New Roman" w:cs="Times New Roman"/>
                <w:color w:val="000000"/>
                <w:sz w:val="21"/>
                <w:szCs w:val="21"/>
              </w:rPr>
            </w:pPr>
            <w:r>
              <w:rPr>
                <w:rFonts w:ascii="Times New Roman" w:hAnsi="Times New Roman" w:cs="Times New Roman"/>
                <w:color w:val="000000"/>
                <w:sz w:val="21"/>
                <w:szCs w:val="21"/>
              </w:rPr>
              <w:t>按份共有人</w:t>
            </w:r>
            <w:r>
              <w:rPr>
                <w:rFonts w:ascii="Times New Roman" w:hAnsi="Times New Roman" w:cs="Times New Roman"/>
                <w:b/>
                <w:bCs/>
                <w:color w:val="000000"/>
                <w:sz w:val="21"/>
                <w:szCs w:val="21"/>
                <w:u w:val="single"/>
              </w:rPr>
              <w:t>对外</w:t>
            </w:r>
            <w:r>
              <w:rPr>
                <w:rFonts w:ascii="Times New Roman" w:hAnsi="Times New Roman" w:cs="Times New Roman"/>
                <w:color w:val="000000"/>
                <w:sz w:val="21"/>
                <w:szCs w:val="21"/>
              </w:rPr>
              <w:t>、</w:t>
            </w:r>
            <w:r>
              <w:rPr>
                <w:rFonts w:ascii="Times New Roman" w:hAnsi="Times New Roman" w:cs="Times New Roman"/>
                <w:b/>
                <w:bCs/>
                <w:color w:val="000000"/>
                <w:sz w:val="21"/>
                <w:szCs w:val="21"/>
                <w:u w:val="single"/>
              </w:rPr>
              <w:t>有偿转让</w:t>
            </w:r>
            <w:r>
              <w:rPr>
                <w:rFonts w:ascii="Times New Roman" w:hAnsi="Times New Roman" w:cs="Times New Roman"/>
                <w:color w:val="000000"/>
                <w:sz w:val="21"/>
                <w:szCs w:val="21"/>
              </w:rPr>
              <w:t>其份额，可约定排除</w:t>
            </w:r>
          </w:p>
        </w:tc>
      </w:tr>
      <w:tr w14:paraId="64BB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0A1B5C97">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行使前提</w:t>
            </w:r>
          </w:p>
        </w:tc>
        <w:tc>
          <w:tcPr>
            <w:tcW w:w="6996" w:type="dxa"/>
            <w:noWrap w:val="0"/>
            <w:vAlign w:val="top"/>
          </w:tcPr>
          <w:p w14:paraId="117EC932">
            <w:pPr>
              <w:jc w:val="center"/>
              <w:rPr>
                <w:rFonts w:ascii="Times New Roman" w:hAnsi="Times New Roman" w:cs="Times New Roman"/>
                <w:color w:val="000000"/>
                <w:sz w:val="21"/>
                <w:szCs w:val="21"/>
              </w:rPr>
            </w:pPr>
            <w:r>
              <w:rPr>
                <w:rFonts w:ascii="Times New Roman" w:hAnsi="Times New Roman" w:cs="Times New Roman"/>
                <w:color w:val="000000"/>
                <w:sz w:val="21"/>
                <w:szCs w:val="21"/>
              </w:rPr>
              <w:t>同等条件</w:t>
            </w:r>
          </w:p>
        </w:tc>
      </w:tr>
      <w:tr w14:paraId="2741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7C736E6F">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行使期间</w:t>
            </w:r>
          </w:p>
        </w:tc>
        <w:tc>
          <w:tcPr>
            <w:tcW w:w="6996" w:type="dxa"/>
            <w:noWrap w:val="0"/>
            <w:vAlign w:val="top"/>
          </w:tcPr>
          <w:p w14:paraId="3E5A1038">
            <w:pPr>
              <w:rPr>
                <w:rFonts w:ascii="Times New Roman" w:hAnsi="Times New Roman" w:cs="Times New Roman"/>
                <w:color w:val="000000"/>
                <w:sz w:val="21"/>
                <w:szCs w:val="21"/>
              </w:rPr>
            </w:pPr>
            <w:r>
              <w:rPr>
                <w:rFonts w:ascii="Times New Roman" w:hAnsi="Times New Roman" w:cs="Times New Roman"/>
                <w:color w:val="000000"/>
                <w:sz w:val="21"/>
                <w:szCs w:val="21"/>
              </w:rPr>
              <w:t>（1）有约定的依约定，无约定或约定不明的，依出让人对其他按份共有人的通知中载明的时间而定</w:t>
            </w:r>
          </w:p>
          <w:p w14:paraId="5D0C1DC1">
            <w:pPr>
              <w:rPr>
                <w:rFonts w:ascii="Times New Roman" w:hAnsi="Times New Roman" w:cs="Times New Roman"/>
                <w:color w:val="000000"/>
                <w:sz w:val="21"/>
                <w:szCs w:val="21"/>
              </w:rPr>
            </w:pPr>
            <w:r>
              <w:rPr>
                <w:rFonts w:ascii="Times New Roman" w:hAnsi="Times New Roman" w:cs="Times New Roman"/>
                <w:color w:val="000000"/>
                <w:sz w:val="21"/>
                <w:szCs w:val="21"/>
              </w:rPr>
              <w:t>（2）通知未载明或载明的时间短于十五日的，为接到通知之日起的十五日</w:t>
            </w:r>
          </w:p>
          <w:p w14:paraId="09FDCF75">
            <w:pPr>
              <w:rPr>
                <w:rFonts w:ascii="Times New Roman" w:hAnsi="Times New Roman" w:cs="Times New Roman"/>
                <w:color w:val="000000"/>
                <w:sz w:val="21"/>
                <w:szCs w:val="21"/>
              </w:rPr>
            </w:pPr>
            <w:r>
              <w:rPr>
                <w:rFonts w:ascii="Times New Roman" w:hAnsi="Times New Roman" w:cs="Times New Roman"/>
                <w:color w:val="000000"/>
                <w:sz w:val="21"/>
                <w:szCs w:val="21"/>
              </w:rPr>
              <w:t>（3）转让人未通知的，为其他按份共有人知道或者应当知道最终确定的同等条件之日起十五日</w:t>
            </w:r>
          </w:p>
          <w:p w14:paraId="6B362197">
            <w:pPr>
              <w:rPr>
                <w:rFonts w:ascii="Times New Roman" w:hAnsi="Times New Roman" w:cs="Times New Roman"/>
                <w:color w:val="000000"/>
                <w:sz w:val="21"/>
                <w:szCs w:val="21"/>
              </w:rPr>
            </w:pPr>
            <w:r>
              <w:rPr>
                <w:rFonts w:ascii="Times New Roman" w:hAnsi="Times New Roman" w:cs="Times New Roman"/>
                <w:color w:val="000000"/>
                <w:sz w:val="21"/>
                <w:szCs w:val="21"/>
              </w:rPr>
              <w:t>（4）转让人未通知，且无法确定其他按份共有人知道或者应当知道最终确定的同等条件的，为共有份额权属转移之日起六个月</w:t>
            </w:r>
          </w:p>
        </w:tc>
      </w:tr>
      <w:tr w14:paraId="0A33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6D3EB2FD">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权利效力</w:t>
            </w:r>
          </w:p>
        </w:tc>
        <w:tc>
          <w:tcPr>
            <w:tcW w:w="6996" w:type="dxa"/>
            <w:noWrap w:val="0"/>
            <w:vAlign w:val="top"/>
          </w:tcPr>
          <w:p w14:paraId="0C86891B">
            <w:pPr>
              <w:rPr>
                <w:rFonts w:ascii="Times New Roman" w:hAnsi="Times New Roman" w:cs="Times New Roman"/>
                <w:color w:val="000000"/>
                <w:sz w:val="21"/>
                <w:szCs w:val="21"/>
              </w:rPr>
            </w:pPr>
            <w:r>
              <w:rPr>
                <w:rFonts w:ascii="Times New Roman" w:hAnsi="Times New Roman" w:cs="Times New Roman"/>
                <w:color w:val="000000"/>
                <w:sz w:val="21"/>
                <w:szCs w:val="21"/>
              </w:rPr>
              <w:t>优先购买权受到侵害时，不得</w:t>
            </w:r>
            <w:r>
              <w:rPr>
                <w:rFonts w:ascii="Times New Roman" w:hAnsi="Times New Roman" w:cs="Times New Roman"/>
                <w:b/>
                <w:bCs/>
                <w:color w:val="000000"/>
                <w:sz w:val="21"/>
                <w:szCs w:val="21"/>
                <w:u w:val="single"/>
              </w:rPr>
              <w:t>仅</w:t>
            </w:r>
            <w:r>
              <w:rPr>
                <w:rFonts w:ascii="Times New Roman" w:hAnsi="Times New Roman" w:cs="Times New Roman"/>
                <w:color w:val="000000"/>
                <w:sz w:val="21"/>
                <w:szCs w:val="21"/>
              </w:rPr>
              <w:t>请求撤销共有份额转让合同或者认定该合同无效</w:t>
            </w:r>
          </w:p>
        </w:tc>
      </w:tr>
      <w:tr w14:paraId="20BB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20D44F09">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权利竞合</w:t>
            </w:r>
          </w:p>
        </w:tc>
        <w:tc>
          <w:tcPr>
            <w:tcW w:w="6996" w:type="dxa"/>
            <w:noWrap w:val="0"/>
            <w:vAlign w:val="top"/>
          </w:tcPr>
          <w:p w14:paraId="2A71E662">
            <w:pPr>
              <w:rPr>
                <w:rFonts w:ascii="Times New Roman" w:hAnsi="Times New Roman" w:cs="Times New Roman"/>
                <w:color w:val="000000"/>
                <w:sz w:val="21"/>
                <w:szCs w:val="21"/>
              </w:rPr>
            </w:pPr>
            <w:r>
              <w:rPr>
                <w:rFonts w:ascii="Times New Roman" w:hAnsi="Times New Roman" w:cs="Times New Roman"/>
                <w:color w:val="000000"/>
                <w:sz w:val="21"/>
                <w:szCs w:val="21"/>
              </w:rPr>
              <w:t>两个以上按份共有人主张优先购买且协商不成时，</w:t>
            </w:r>
            <w:r>
              <w:rPr>
                <w:rFonts w:ascii="Times New Roman" w:hAnsi="Times New Roman" w:cs="Times New Roman"/>
                <w:color w:val="FF0000"/>
                <w:sz w:val="21"/>
                <w:szCs w:val="21"/>
              </w:rPr>
              <w:t>当事人可请求按照转让时各自份额比例行使优先购买权</w:t>
            </w:r>
          </w:p>
        </w:tc>
      </w:tr>
    </w:tbl>
    <w:p w14:paraId="054202CE">
      <w:pPr>
        <w:ind w:firstLine="420" w:firstLineChars="200"/>
        <w:rPr>
          <w:rFonts w:ascii="Times New Roman" w:hAnsi="Times New Roman" w:eastAsia="楷体" w:cs="Times New Roman"/>
          <w:color w:val="000000"/>
          <w:sz w:val="21"/>
          <w:szCs w:val="21"/>
        </w:rPr>
      </w:pPr>
    </w:p>
    <w:p w14:paraId="3F02FE9D">
      <w:pPr>
        <w:ind w:firstLine="420" w:firstLineChars="200"/>
        <w:rPr>
          <w:rFonts w:ascii="Times New Roman" w:hAnsi="Times New Roman" w:eastAsia="楷体" w:cs="Times New Roman"/>
          <w:color w:val="000000"/>
          <w:sz w:val="21"/>
          <w:szCs w:val="21"/>
        </w:rPr>
      </w:pPr>
      <w:r>
        <w:rPr>
          <w:rFonts w:ascii="Times New Roman" w:hAnsi="Times New Roman" w:eastAsia="楷体" w:cs="Times New Roman"/>
          <w:color w:val="000000"/>
          <w:sz w:val="21"/>
          <w:szCs w:val="21"/>
        </w:rPr>
        <w:t>特别提醒：份额内部转让时原则上没有优先购买权，除非按份共有人另有约定。</w:t>
      </w:r>
    </w:p>
    <w:p w14:paraId="66E8E060">
      <w:pPr>
        <w:ind w:firstLine="480"/>
        <w:rPr>
          <w:rFonts w:ascii="Times New Roman" w:hAnsi="Times New Roman" w:cs="Times New Roman"/>
          <w:b/>
          <w:color w:val="000000"/>
          <w:sz w:val="21"/>
          <w:szCs w:val="21"/>
        </w:rPr>
      </w:pPr>
    </w:p>
    <w:p w14:paraId="65008714">
      <w:pPr>
        <w:ind w:firstLine="480"/>
        <w:rPr>
          <w:rFonts w:ascii="Times New Roman" w:hAnsi="Times New Roman" w:cs="Times New Roman"/>
          <w:b/>
          <w:color w:val="000000"/>
          <w:sz w:val="21"/>
          <w:szCs w:val="21"/>
        </w:rPr>
      </w:pPr>
      <w:r>
        <w:rPr>
          <w:rFonts w:ascii="Times New Roman" w:hAnsi="Times New Roman" w:cs="Times New Roman"/>
          <w:b/>
          <w:color w:val="000000"/>
          <w:sz w:val="21"/>
          <w:szCs w:val="21"/>
        </w:rPr>
        <w:t>三、共有物的处分</w:t>
      </w:r>
    </w:p>
    <w:p w14:paraId="76A564BF">
      <w:pPr>
        <w:ind w:firstLine="480"/>
        <w:rPr>
          <w:rFonts w:ascii="Times New Roman" w:hAnsi="Times New Roman" w:cs="Times New Roman"/>
          <w:b/>
          <w:color w:val="000000"/>
          <w:sz w:val="21"/>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552"/>
        <w:gridCol w:w="3027"/>
      </w:tblGrid>
      <w:tr w14:paraId="64ED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noWrap w:val="0"/>
            <w:vAlign w:val="top"/>
          </w:tcPr>
          <w:p w14:paraId="4D7A5A8F">
            <w:pPr>
              <w:jc w:val="center"/>
              <w:rPr>
                <w:rFonts w:ascii="Times New Roman" w:hAnsi="Times New Roman" w:cs="Times New Roman"/>
                <w:b/>
                <w:color w:val="000000"/>
                <w:sz w:val="21"/>
                <w:szCs w:val="21"/>
              </w:rPr>
            </w:pPr>
          </w:p>
        </w:tc>
        <w:tc>
          <w:tcPr>
            <w:tcW w:w="2552" w:type="dxa"/>
            <w:noWrap w:val="0"/>
            <w:vAlign w:val="top"/>
          </w:tcPr>
          <w:p w14:paraId="783E48B3">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按份共有</w:t>
            </w:r>
          </w:p>
        </w:tc>
        <w:tc>
          <w:tcPr>
            <w:tcW w:w="3027" w:type="dxa"/>
            <w:noWrap w:val="0"/>
            <w:vAlign w:val="top"/>
          </w:tcPr>
          <w:p w14:paraId="089FBF31">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共同共有</w:t>
            </w:r>
          </w:p>
        </w:tc>
      </w:tr>
      <w:tr w14:paraId="5B9A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top"/>
          </w:tcPr>
          <w:p w14:paraId="1A721F80">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共有物法律上的处分</w:t>
            </w:r>
          </w:p>
        </w:tc>
        <w:tc>
          <w:tcPr>
            <w:tcW w:w="1559" w:type="dxa"/>
            <w:noWrap w:val="0"/>
            <w:vAlign w:val="top"/>
          </w:tcPr>
          <w:p w14:paraId="6E4993FC">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有偿</w:t>
            </w:r>
          </w:p>
        </w:tc>
        <w:tc>
          <w:tcPr>
            <w:tcW w:w="2552" w:type="dxa"/>
            <w:noWrap w:val="0"/>
            <w:vAlign w:val="top"/>
          </w:tcPr>
          <w:p w14:paraId="0688209F">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多数决（2/3）</w:t>
            </w:r>
          </w:p>
        </w:tc>
        <w:tc>
          <w:tcPr>
            <w:tcW w:w="3027" w:type="dxa"/>
            <w:noWrap w:val="0"/>
            <w:vAlign w:val="top"/>
          </w:tcPr>
          <w:p w14:paraId="6A7D1FE2">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一致决</w:t>
            </w:r>
          </w:p>
        </w:tc>
      </w:tr>
      <w:tr w14:paraId="7AA6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14:paraId="36CC198C">
            <w:pPr>
              <w:jc w:val="center"/>
              <w:rPr>
                <w:rFonts w:ascii="Times New Roman" w:hAnsi="Times New Roman" w:cs="Times New Roman"/>
                <w:b/>
                <w:color w:val="000000"/>
                <w:sz w:val="21"/>
                <w:szCs w:val="21"/>
              </w:rPr>
            </w:pPr>
          </w:p>
        </w:tc>
        <w:tc>
          <w:tcPr>
            <w:tcW w:w="1559" w:type="dxa"/>
            <w:noWrap w:val="0"/>
            <w:vAlign w:val="top"/>
          </w:tcPr>
          <w:p w14:paraId="051B45B1">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无偿</w:t>
            </w:r>
          </w:p>
        </w:tc>
        <w:tc>
          <w:tcPr>
            <w:tcW w:w="2552" w:type="dxa"/>
            <w:noWrap w:val="0"/>
            <w:vAlign w:val="top"/>
          </w:tcPr>
          <w:p w14:paraId="65907C60">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一致决</w:t>
            </w:r>
          </w:p>
        </w:tc>
        <w:tc>
          <w:tcPr>
            <w:tcW w:w="3027" w:type="dxa"/>
            <w:noWrap w:val="0"/>
            <w:vAlign w:val="top"/>
          </w:tcPr>
          <w:p w14:paraId="5DE5F8E1">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一致决</w:t>
            </w:r>
          </w:p>
        </w:tc>
      </w:tr>
      <w:tr w14:paraId="414F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noWrap w:val="0"/>
            <w:vAlign w:val="top"/>
          </w:tcPr>
          <w:p w14:paraId="4B5A5331">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重大修缮</w:t>
            </w:r>
          </w:p>
        </w:tc>
        <w:tc>
          <w:tcPr>
            <w:tcW w:w="2552" w:type="dxa"/>
            <w:noWrap w:val="0"/>
            <w:vAlign w:val="top"/>
          </w:tcPr>
          <w:p w14:paraId="3171FAC0">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多数决（2/3）</w:t>
            </w:r>
          </w:p>
        </w:tc>
        <w:tc>
          <w:tcPr>
            <w:tcW w:w="3027" w:type="dxa"/>
            <w:noWrap w:val="0"/>
            <w:vAlign w:val="top"/>
          </w:tcPr>
          <w:p w14:paraId="2CF95DF6">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一致决</w:t>
            </w:r>
          </w:p>
        </w:tc>
      </w:tr>
      <w:tr w14:paraId="12E4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noWrap w:val="0"/>
            <w:vAlign w:val="top"/>
          </w:tcPr>
          <w:p w14:paraId="01D11545">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管理与简易修缮</w:t>
            </w:r>
          </w:p>
        </w:tc>
        <w:tc>
          <w:tcPr>
            <w:tcW w:w="2552" w:type="dxa"/>
            <w:noWrap w:val="0"/>
            <w:vAlign w:val="top"/>
          </w:tcPr>
          <w:p w14:paraId="26D26500">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单个共有人可单独为之</w:t>
            </w:r>
          </w:p>
        </w:tc>
        <w:tc>
          <w:tcPr>
            <w:tcW w:w="3027" w:type="dxa"/>
            <w:noWrap w:val="0"/>
            <w:vAlign w:val="top"/>
          </w:tcPr>
          <w:p w14:paraId="55A3E4AD">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单个共有人可单独为之</w:t>
            </w:r>
          </w:p>
        </w:tc>
      </w:tr>
      <w:tr w14:paraId="21B5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2"/>
            <w:noWrap w:val="0"/>
            <w:vAlign w:val="top"/>
          </w:tcPr>
          <w:p w14:paraId="406E8AC3">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变更共有物的性质与用途</w:t>
            </w:r>
          </w:p>
        </w:tc>
        <w:tc>
          <w:tcPr>
            <w:tcW w:w="2552" w:type="dxa"/>
            <w:noWrap w:val="0"/>
            <w:vAlign w:val="top"/>
          </w:tcPr>
          <w:p w14:paraId="5F837A75">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多数决（2/3）</w:t>
            </w:r>
          </w:p>
        </w:tc>
        <w:tc>
          <w:tcPr>
            <w:tcW w:w="3027" w:type="dxa"/>
            <w:noWrap w:val="0"/>
            <w:vAlign w:val="top"/>
          </w:tcPr>
          <w:p w14:paraId="4F8A8CA3">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一致决</w:t>
            </w:r>
          </w:p>
        </w:tc>
      </w:tr>
    </w:tbl>
    <w:p w14:paraId="533123D5">
      <w:pPr>
        <w:ind w:firstLine="420"/>
        <w:rPr>
          <w:rFonts w:ascii="Times New Roman" w:hAnsi="Times New Roman" w:eastAsia="楷体" w:cs="Times New Roman"/>
          <w:bCs/>
          <w:color w:val="000000"/>
          <w:sz w:val="21"/>
          <w:szCs w:val="21"/>
        </w:rPr>
      </w:pPr>
    </w:p>
    <w:p w14:paraId="3B6A1C5A">
      <w:pPr>
        <w:ind w:firstLine="420"/>
        <w:rPr>
          <w:rFonts w:ascii="Times New Roman" w:hAnsi="Times New Roman" w:eastAsia="楷体" w:cs="Times New Roman"/>
          <w:bCs/>
          <w:color w:val="000000"/>
          <w:sz w:val="21"/>
          <w:szCs w:val="21"/>
        </w:rPr>
      </w:pPr>
      <w:r>
        <w:rPr>
          <w:rFonts w:ascii="Times New Roman" w:hAnsi="Times New Roman" w:eastAsia="楷体" w:cs="Times New Roman"/>
          <w:bCs/>
          <w:color w:val="000000"/>
          <w:sz w:val="21"/>
          <w:szCs w:val="21"/>
        </w:rPr>
        <w:t>特别提醒：</w:t>
      </w:r>
    </w:p>
    <w:p w14:paraId="527A9E6B">
      <w:pPr>
        <w:ind w:firstLine="420"/>
        <w:rPr>
          <w:rFonts w:ascii="Times New Roman" w:hAnsi="Times New Roman" w:eastAsia="楷体" w:cs="Times New Roman"/>
          <w:bCs/>
          <w:color w:val="000000"/>
          <w:sz w:val="21"/>
          <w:szCs w:val="21"/>
        </w:rPr>
      </w:pPr>
      <w:r>
        <w:rPr>
          <w:rFonts w:ascii="Times New Roman" w:hAnsi="Times New Roman" w:eastAsia="楷体" w:cs="Times New Roman"/>
          <w:bCs/>
          <w:color w:val="000000"/>
          <w:sz w:val="21"/>
          <w:szCs w:val="21"/>
        </w:rPr>
        <w:t>1</w:t>
      </w:r>
      <w:r>
        <w:rPr>
          <w:rFonts w:hint="eastAsia" w:ascii="Times New Roman" w:hAnsi="Times New Roman" w:eastAsia="楷体" w:cs="Times New Roman"/>
          <w:bCs/>
          <w:color w:val="000000"/>
          <w:sz w:val="21"/>
          <w:szCs w:val="21"/>
        </w:rPr>
        <w:t>．</w:t>
      </w:r>
      <w:r>
        <w:rPr>
          <w:rFonts w:ascii="Times New Roman" w:hAnsi="Times New Roman" w:eastAsia="楷体" w:cs="Times New Roman"/>
          <w:bCs/>
          <w:color w:val="000000"/>
          <w:sz w:val="21"/>
          <w:szCs w:val="21"/>
        </w:rPr>
        <w:t>上述规则具有任意性，允许共有人之间另有约定。多数决可以约定提高也可以约定降低。多数决与一致决之间也可以约定来回切换。</w:t>
      </w:r>
    </w:p>
    <w:p w14:paraId="39C93721">
      <w:pPr>
        <w:ind w:firstLine="420"/>
        <w:rPr>
          <w:rFonts w:ascii="Times New Roman" w:hAnsi="Times New Roman" w:eastAsia="楷体" w:cs="Times New Roman"/>
          <w:bCs/>
          <w:color w:val="000000"/>
          <w:sz w:val="21"/>
          <w:szCs w:val="21"/>
        </w:rPr>
      </w:pPr>
      <w:r>
        <w:rPr>
          <w:rFonts w:ascii="Times New Roman" w:hAnsi="Times New Roman" w:eastAsia="楷体" w:cs="Times New Roman"/>
          <w:bCs/>
          <w:color w:val="000000"/>
          <w:sz w:val="21"/>
          <w:szCs w:val="21"/>
        </w:rPr>
        <w:t>2</w:t>
      </w:r>
      <w:r>
        <w:rPr>
          <w:rFonts w:hint="eastAsia" w:ascii="Times New Roman" w:hAnsi="Times New Roman" w:eastAsia="楷体" w:cs="Times New Roman"/>
          <w:bCs/>
          <w:color w:val="000000"/>
          <w:sz w:val="21"/>
          <w:szCs w:val="21"/>
        </w:rPr>
        <w:t>．</w:t>
      </w:r>
      <w:r>
        <w:rPr>
          <w:rFonts w:ascii="Times New Roman" w:hAnsi="Times New Roman" w:eastAsia="楷体" w:cs="Times New Roman"/>
          <w:bCs/>
          <w:color w:val="000000"/>
          <w:sz w:val="21"/>
          <w:szCs w:val="21"/>
        </w:rPr>
        <w:t>需要区分份额的处分与共有物的处分，</w:t>
      </w:r>
      <w:r>
        <w:rPr>
          <w:rFonts w:ascii="Times New Roman" w:hAnsi="Times New Roman" w:eastAsia="楷体" w:cs="Times New Roman"/>
          <w:bCs/>
          <w:color w:val="FF0000"/>
          <w:sz w:val="21"/>
          <w:szCs w:val="21"/>
        </w:rPr>
        <w:t>份额的处分仅指单个按份共有人处分其共有份额，并不涉及共有物整体的处分</w:t>
      </w:r>
      <w:r>
        <w:rPr>
          <w:rFonts w:hint="eastAsia" w:ascii="Times New Roman" w:hAnsi="Times New Roman" w:eastAsia="楷体" w:cs="Times New Roman"/>
          <w:bCs/>
          <w:color w:val="FF0000"/>
          <w:sz w:val="21"/>
          <w:szCs w:val="21"/>
          <w:lang w:eastAsia="zh-CN"/>
        </w:rPr>
        <w:t>（</w:t>
      </w:r>
      <w:r>
        <w:rPr>
          <w:rFonts w:hint="eastAsia" w:ascii="Times New Roman" w:hAnsi="Times New Roman" w:eastAsia="楷体" w:cs="Times New Roman"/>
          <w:bCs/>
          <w:color w:val="FF0000"/>
          <w:sz w:val="21"/>
          <w:szCs w:val="21"/>
          <w:lang w:val="en-US" w:eastAsia="zh-CN"/>
        </w:rPr>
        <w:t>份额处分自由决定即可，其他共有人享有优先购买权</w:t>
      </w:r>
      <w:r>
        <w:rPr>
          <w:rFonts w:hint="eastAsia" w:ascii="Times New Roman" w:hAnsi="Times New Roman" w:eastAsia="楷体" w:cs="Times New Roman"/>
          <w:bCs/>
          <w:color w:val="FF0000"/>
          <w:sz w:val="21"/>
          <w:szCs w:val="21"/>
          <w:lang w:eastAsia="zh-CN"/>
        </w:rPr>
        <w:t>）</w:t>
      </w:r>
      <w:r>
        <w:rPr>
          <w:rFonts w:ascii="Times New Roman" w:hAnsi="Times New Roman" w:eastAsia="楷体" w:cs="Times New Roman"/>
          <w:bCs/>
          <w:color w:val="FF0000"/>
          <w:sz w:val="21"/>
          <w:szCs w:val="21"/>
        </w:rPr>
        <w:t>；共有物的处分涉及的是共有物整体的处分</w:t>
      </w:r>
      <w:r>
        <w:rPr>
          <w:rFonts w:ascii="Times New Roman" w:hAnsi="Times New Roman" w:eastAsia="楷体" w:cs="Times New Roman"/>
          <w:bCs/>
          <w:color w:val="000000"/>
          <w:sz w:val="21"/>
          <w:szCs w:val="21"/>
        </w:rPr>
        <w:t>。</w:t>
      </w:r>
    </w:p>
    <w:p w14:paraId="5BB9D715">
      <w:pPr>
        <w:rPr>
          <w:rFonts w:ascii="Times New Roman" w:hAnsi="Times New Roman" w:cs="Times New Roman"/>
          <w:color w:val="000000"/>
          <w:sz w:val="21"/>
          <w:szCs w:val="21"/>
        </w:rPr>
      </w:pPr>
    </w:p>
    <w:p w14:paraId="1BBB051D">
      <w:pPr>
        <w:ind w:firstLine="480"/>
        <w:rPr>
          <w:rFonts w:ascii="Times New Roman" w:hAnsi="Times New Roman" w:cs="Times New Roman"/>
          <w:b/>
          <w:color w:val="000000"/>
          <w:sz w:val="21"/>
          <w:szCs w:val="21"/>
        </w:rPr>
      </w:pPr>
      <w:r>
        <w:rPr>
          <w:rFonts w:ascii="Times New Roman" w:hAnsi="Times New Roman" w:cs="Times New Roman"/>
          <w:b/>
          <w:bCs/>
          <w:color w:val="000000"/>
          <w:sz w:val="21"/>
          <w:szCs w:val="21"/>
        </w:rPr>
        <w:t>四、</w:t>
      </w:r>
      <w:r>
        <w:rPr>
          <w:rFonts w:ascii="Times New Roman" w:hAnsi="Times New Roman" w:cs="Times New Roman"/>
          <w:b/>
          <w:color w:val="000000"/>
          <w:sz w:val="21"/>
          <w:szCs w:val="21"/>
        </w:rPr>
        <w:t>因共有物产生的债务关系</w:t>
      </w:r>
    </w:p>
    <w:p w14:paraId="67F51F87">
      <w:pPr>
        <w:rPr>
          <w:rFonts w:ascii="Times New Roman" w:hAnsi="Times New Roman" w:cs="Times New Roman"/>
          <w:b/>
          <w:color w:val="000000"/>
          <w:sz w:val="21"/>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260"/>
        <w:gridCol w:w="3878"/>
      </w:tblGrid>
      <w:tr w14:paraId="05D6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288615AF">
            <w:pPr>
              <w:rPr>
                <w:rFonts w:ascii="Times New Roman" w:hAnsi="Times New Roman" w:cs="Times New Roman"/>
                <w:b/>
                <w:color w:val="000000"/>
                <w:sz w:val="21"/>
                <w:szCs w:val="21"/>
              </w:rPr>
            </w:pPr>
          </w:p>
        </w:tc>
        <w:tc>
          <w:tcPr>
            <w:tcW w:w="3260" w:type="dxa"/>
            <w:noWrap w:val="0"/>
            <w:vAlign w:val="top"/>
          </w:tcPr>
          <w:p w14:paraId="1402697F">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按份共有</w:t>
            </w:r>
          </w:p>
        </w:tc>
        <w:tc>
          <w:tcPr>
            <w:tcW w:w="3878" w:type="dxa"/>
            <w:noWrap w:val="0"/>
            <w:vAlign w:val="top"/>
          </w:tcPr>
          <w:p w14:paraId="0AE2D7F9">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共同共有</w:t>
            </w:r>
          </w:p>
        </w:tc>
      </w:tr>
      <w:tr w14:paraId="411A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3E26372A">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对外关系</w:t>
            </w:r>
          </w:p>
        </w:tc>
        <w:tc>
          <w:tcPr>
            <w:tcW w:w="7138" w:type="dxa"/>
            <w:gridSpan w:val="2"/>
            <w:noWrap w:val="0"/>
            <w:vAlign w:val="top"/>
          </w:tcPr>
          <w:p w14:paraId="2A46F3CD">
            <w:pPr>
              <w:rPr>
                <w:rFonts w:ascii="Times New Roman" w:hAnsi="Times New Roman" w:cs="Times New Roman"/>
                <w:bCs/>
                <w:color w:val="000000"/>
                <w:sz w:val="21"/>
                <w:szCs w:val="21"/>
              </w:rPr>
            </w:pPr>
            <w:r>
              <w:rPr>
                <w:rFonts w:ascii="Times New Roman" w:hAnsi="Times New Roman" w:cs="Times New Roman"/>
                <w:b/>
                <w:bCs/>
                <w:color w:val="000000"/>
                <w:sz w:val="21"/>
                <w:szCs w:val="21"/>
                <w:u w:val="single"/>
              </w:rPr>
              <w:t>共有人享有连带债权、承担连带债务</w:t>
            </w:r>
            <w:r>
              <w:rPr>
                <w:rFonts w:ascii="Times New Roman" w:hAnsi="Times New Roman" w:cs="Times New Roman"/>
                <w:bCs/>
                <w:color w:val="000000"/>
                <w:sz w:val="21"/>
                <w:szCs w:val="21"/>
              </w:rPr>
              <w:t>，但法律另有规定或者第三人知道共有人不具有连带债权债务关系的除外</w:t>
            </w:r>
          </w:p>
        </w:tc>
      </w:tr>
      <w:tr w14:paraId="006F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5CF727B4">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对内关系</w:t>
            </w:r>
          </w:p>
        </w:tc>
        <w:tc>
          <w:tcPr>
            <w:tcW w:w="3260" w:type="dxa"/>
            <w:noWrap w:val="0"/>
            <w:vAlign w:val="top"/>
          </w:tcPr>
          <w:p w14:paraId="1E7174FE">
            <w:pPr>
              <w:rPr>
                <w:rFonts w:ascii="Times New Roman" w:hAnsi="Times New Roman" w:cs="Times New Roman"/>
                <w:bCs/>
                <w:color w:val="000000"/>
                <w:sz w:val="21"/>
                <w:szCs w:val="21"/>
              </w:rPr>
            </w:pPr>
            <w:r>
              <w:rPr>
                <w:rFonts w:ascii="Times New Roman" w:hAnsi="Times New Roman" w:cs="Times New Roman"/>
                <w:b/>
                <w:color w:val="000000"/>
                <w:sz w:val="21"/>
                <w:szCs w:val="21"/>
                <w:u w:val="single"/>
              </w:rPr>
              <w:t>按照份额</w:t>
            </w:r>
            <w:r>
              <w:rPr>
                <w:rFonts w:ascii="Times New Roman" w:hAnsi="Times New Roman" w:cs="Times New Roman"/>
                <w:bCs/>
                <w:color w:val="000000"/>
                <w:sz w:val="21"/>
                <w:szCs w:val="21"/>
              </w:rPr>
              <w:t>享有债权、承担债务</w:t>
            </w:r>
          </w:p>
        </w:tc>
        <w:tc>
          <w:tcPr>
            <w:tcW w:w="3878" w:type="dxa"/>
            <w:noWrap w:val="0"/>
            <w:vAlign w:val="top"/>
          </w:tcPr>
          <w:p w14:paraId="0B69B870">
            <w:pPr>
              <w:rPr>
                <w:rFonts w:ascii="Times New Roman" w:hAnsi="Times New Roman" w:cs="Times New Roman"/>
                <w:bCs/>
                <w:color w:val="000000"/>
                <w:sz w:val="21"/>
                <w:szCs w:val="21"/>
              </w:rPr>
            </w:pPr>
            <w:r>
              <w:rPr>
                <w:rFonts w:ascii="Times New Roman" w:hAnsi="Times New Roman" w:cs="Times New Roman"/>
                <w:b/>
                <w:color w:val="000000"/>
                <w:sz w:val="21"/>
                <w:szCs w:val="21"/>
                <w:u w:val="single"/>
              </w:rPr>
              <w:t>共同享有</w:t>
            </w:r>
            <w:r>
              <w:rPr>
                <w:rFonts w:ascii="Times New Roman" w:hAnsi="Times New Roman" w:cs="Times New Roman"/>
                <w:bCs/>
                <w:color w:val="000000"/>
                <w:sz w:val="21"/>
                <w:szCs w:val="21"/>
              </w:rPr>
              <w:t>债权、承担债务（不区分份额）</w:t>
            </w:r>
          </w:p>
        </w:tc>
      </w:tr>
    </w:tbl>
    <w:p w14:paraId="70938980">
      <w:pPr>
        <w:ind w:firstLine="420"/>
        <w:rPr>
          <w:rFonts w:ascii="Times New Roman" w:hAnsi="Times New Roman" w:eastAsia="楷体" w:cs="Times New Roman"/>
          <w:bCs/>
          <w:color w:val="000000"/>
          <w:sz w:val="21"/>
          <w:szCs w:val="21"/>
        </w:rPr>
      </w:pPr>
    </w:p>
    <w:p w14:paraId="2BFA23BD">
      <w:pPr>
        <w:ind w:firstLine="420"/>
        <w:rPr>
          <w:rFonts w:ascii="Times New Roman" w:hAnsi="Times New Roman" w:cs="Times New Roman"/>
          <w:color w:val="000000"/>
          <w:sz w:val="21"/>
          <w:szCs w:val="21"/>
        </w:rPr>
      </w:pPr>
      <w:r>
        <w:rPr>
          <w:rFonts w:ascii="Times New Roman" w:hAnsi="Times New Roman" w:eastAsia="楷体" w:cs="Times New Roman"/>
          <w:bCs/>
          <w:color w:val="000000"/>
          <w:sz w:val="21"/>
          <w:szCs w:val="21"/>
        </w:rPr>
        <w:t>特别提醒：偿还债务超过自己应承担份额的按份共有人，有权向其他共有人追偿。</w:t>
      </w:r>
    </w:p>
    <w:p w14:paraId="62DCA8A0">
      <w:bookmarkStart w:id="19" w:name="_GoBack"/>
      <w:bookmarkEnd w:id="19"/>
    </w:p>
    <w:p w14:paraId="08CC2F7F">
      <w:pPr>
        <w:rPr>
          <w:rFonts w:hint="default"/>
          <w:lang w:val="en-US" w:eastAsia="zh-CN"/>
        </w:rPr>
      </w:pPr>
    </w:p>
    <w:p w14:paraId="691108CC"/>
    <w:p w14:paraId="6ED1CED0"/>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大宋简">
    <w:altName w:val="宋体"/>
    <w:panose1 w:val="02010609000101010101"/>
    <w:charset w:val="86"/>
    <w:family w:val="modern"/>
    <w:pitch w:val="default"/>
    <w:sig w:usb0="00000000" w:usb1="00000000" w:usb2="00000012" w:usb3="00000000" w:csb0="00040000"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汉仪书宋二简">
    <w:altName w:val="宋体"/>
    <w:panose1 w:val="02010609000101010101"/>
    <w:charset w:val="86"/>
    <w:family w:val="modern"/>
    <w:pitch w:val="default"/>
    <w:sig w:usb0="00000000" w:usb1="00000000" w:usb2="00000012" w:usb3="00000000" w:csb0="00040000" w:csb1="00000000"/>
  </w:font>
  <w:font w:name="汉仪中黑简">
    <w:altName w:val="黑体"/>
    <w:panose1 w:val="02010609000101010101"/>
    <w:charset w:val="86"/>
    <w:family w:val="modern"/>
    <w:pitch w:val="default"/>
    <w:sig w:usb0="00000000" w:usb1="00000000" w:usb2="00000012"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D43B">
    <w:pPr>
      <w:pStyle w:val="5"/>
      <w:jc w:val="right"/>
      <w:rPr>
        <w:rFonts w:hint="eastAsia" w:eastAsia="宋体"/>
        <w:sz w:val="28"/>
        <w:szCs w:val="28"/>
        <w:lang w:val="en-US" w:eastAsia="zh-CN"/>
      </w:rPr>
    </w:pPr>
    <w:r>
      <w:rPr>
        <w:rFonts w:hint="eastAsia"/>
        <w:sz w:val="28"/>
        <w:szCs w:val="28"/>
        <w:lang w:val="en-US" w:eastAsia="zh-CN"/>
      </w:rPr>
      <w:t>桑磊法考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5C64B"/>
    <w:multiLevelType w:val="singleLevel"/>
    <w:tmpl w:val="6A55C64B"/>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C71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tabs>
        <w:tab w:val="left" w:pos="420"/>
      </w:tabs>
      <w:ind w:firstLine="0" w:firstLineChars="0"/>
      <w:jc w:val="left"/>
      <w:outlineLvl w:val="2"/>
    </w:pPr>
    <w:rPr>
      <w:rFonts w:eastAsia="汉仪大宋简"/>
      <w:sz w:val="26"/>
    </w:rPr>
  </w:style>
  <w:style w:type="paragraph" w:styleId="4">
    <w:name w:val="heading 4"/>
    <w:basedOn w:val="1"/>
    <w:next w:val="1"/>
    <w:unhideWhenUsed/>
    <w:qFormat/>
    <w:uiPriority w:val="9"/>
    <w:pPr>
      <w:keepNext/>
      <w:keepLines/>
      <w:tabs>
        <w:tab w:val="left" w:pos="420"/>
      </w:tabs>
      <w:ind w:firstLine="0" w:firstLineChars="0"/>
      <w:jc w:val="left"/>
      <w:outlineLvl w:val="3"/>
    </w:pPr>
    <w:rPr>
      <w:rFonts w:ascii="Cambria" w:hAnsi="Cambria" w:eastAsia="汉仪大宋简" w:cs="Times New Roman"/>
      <w:bCs/>
      <w:sz w:val="24"/>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宋体" w:hAnsi="宋体" w:cs="宋体"/>
      <w:b/>
      <w:bCs/>
      <w:color w:val="FF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2025-06-04T14:48:32Z</dcterms:created>
  <dc:creator>cuplh</dc:creator>
  <cp:lastModifiedBy>韩富鹏</cp:lastModifiedBy>
  <dcterms:modified xsi:type="dcterms:W3CDTF">2025-06-04T14:58:41Z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F78F86204B2449BDA2DCA6E174AC54B4_12</vt:lpwstr>
  </property>
</Properties>
</file>