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6A8AB">
      <w:pPr>
        <w:pStyle w:val="6"/>
        <w:spacing w:line="276" w:lineRule="auto"/>
        <w:rPr>
          <w:color w:val="auto"/>
          <w:sz w:val="36"/>
          <w:szCs w:val="36"/>
        </w:rPr>
      </w:pPr>
      <w:bookmarkStart w:id="0" w:name="_Toc8419"/>
      <w:r>
        <w:rPr>
          <w:rFonts w:hint="eastAsia"/>
          <w:color w:val="auto"/>
          <w:sz w:val="36"/>
          <w:szCs w:val="36"/>
        </w:rPr>
        <w:t>考点1  民法概述</w:t>
      </w:r>
      <w:bookmarkEnd w:id="0"/>
    </w:p>
    <w:p w14:paraId="5A4699E3">
      <w:pPr>
        <w:spacing w:line="276" w:lineRule="auto"/>
        <w:rPr>
          <w:rFonts w:ascii="仿宋" w:hAnsi="仿宋" w:eastAsia="仿宋" w:cs="仿宋"/>
          <w:b/>
          <w:bCs/>
          <w:szCs w:val="21"/>
        </w:rPr>
      </w:pPr>
    </w:p>
    <w:p w14:paraId="525766EE">
      <w:pPr>
        <w:spacing w:line="276" w:lineRule="auto"/>
        <w:ind w:firstLine="422" w:firstLineChars="200"/>
        <w:jc w:val="left"/>
        <w:outlineLvl w:val="1"/>
        <w:rPr>
          <w:rFonts w:cs="Arial"/>
        </w:rPr>
      </w:pPr>
      <w:r>
        <w:rPr>
          <w:rFonts w:hint="eastAsia" w:ascii="宋体" w:hAnsi="宋体"/>
          <w:b/>
          <w:szCs w:val="28"/>
        </w:rPr>
        <w:t>一、民法基本原则</w:t>
      </w:r>
    </w:p>
    <w:p w14:paraId="2DC16ADC">
      <w:pPr>
        <w:tabs>
          <w:tab w:val="left" w:pos="420"/>
        </w:tabs>
        <w:ind w:firstLine="420"/>
        <w:rPr>
          <w:rFonts w:hint="eastAsia" w:ascii="汉仪书宋二简" w:hAnsi="Calibri" w:cs="Arial"/>
          <w:color w:val="000000"/>
        </w:rPr>
      </w:pPr>
      <w:r>
        <w:rPr>
          <w:rFonts w:ascii="汉仪书宋二简" w:hAnsi="Calibri" w:cs="Arial"/>
          <w:color w:val="000000"/>
        </w:rPr>
        <w:t>平等原则有两层含义：民事主体的人格一律平等</w:t>
      </w:r>
      <w:r>
        <w:rPr>
          <w:rFonts w:hint="eastAsia" w:ascii="汉仪书宋二简" w:cs="Arial"/>
          <w:color w:val="000000"/>
          <w:lang w:eastAsia="zh-CN"/>
        </w:rPr>
        <w:t>；</w:t>
      </w:r>
      <w:r>
        <w:rPr>
          <w:rFonts w:ascii="汉仪书宋二简" w:hAnsi="Calibri" w:cs="Arial"/>
          <w:color w:val="000000"/>
        </w:rPr>
        <w:t>在具体的民事法律关系中</w:t>
      </w:r>
      <w:r>
        <w:rPr>
          <w:rFonts w:hint="eastAsia" w:ascii="汉仪书宋二简" w:hAnsi="Calibri" w:cs="Arial"/>
          <w:color w:val="000000"/>
        </w:rPr>
        <w:t>，</w:t>
      </w:r>
      <w:r>
        <w:rPr>
          <w:rFonts w:ascii="汉仪书宋二简" w:hAnsi="Calibri" w:cs="Arial"/>
          <w:color w:val="000000"/>
        </w:rPr>
        <w:t>当事人的法律地位平等</w:t>
      </w:r>
      <w:r>
        <w:rPr>
          <w:rFonts w:hint="eastAsia" w:ascii="汉仪书宋二简" w:hAnsi="Calibri" w:cs="Arial"/>
          <w:color w:val="000000"/>
        </w:rPr>
        <w:t>。</w:t>
      </w:r>
    </w:p>
    <w:p w14:paraId="6CCC7FF6">
      <w:pPr>
        <w:tabs>
          <w:tab w:val="left" w:pos="420"/>
        </w:tabs>
        <w:ind w:firstLine="420"/>
        <w:rPr>
          <w:rFonts w:ascii="汉仪书宋二简" w:hAnsi="Calibri" w:cs="Arial"/>
          <w:color w:val="000000"/>
        </w:rPr>
      </w:pPr>
      <w:r>
        <w:rPr>
          <w:rFonts w:hint="eastAsia" w:ascii="汉仪书宋二简" w:cs="Arial"/>
          <w:color w:val="000000"/>
          <w:lang w:val="en-US" w:eastAsia="zh-CN"/>
        </w:rPr>
        <w:t>自愿原则：</w:t>
      </w:r>
      <w:r>
        <w:rPr>
          <w:rFonts w:ascii="汉仪书宋二简" w:hAnsi="Calibri" w:cs="Arial"/>
          <w:color w:val="000000"/>
        </w:rPr>
        <w:t>民事主体原则上有权依据自己的意志来决定设立、变更或消灭民事法律关系</w:t>
      </w:r>
    </w:p>
    <w:p w14:paraId="1CE5C68A">
      <w:pPr>
        <w:tabs>
          <w:tab w:val="left" w:pos="420"/>
        </w:tabs>
        <w:ind w:firstLine="420"/>
        <w:rPr>
          <w:rFonts w:hint="eastAsia" w:ascii="宋体" w:hAnsi="宋体" w:cs="Arial"/>
          <w:lang w:val="en-US" w:eastAsia="zh-CN"/>
        </w:rPr>
      </w:pPr>
      <w:r>
        <w:rPr>
          <w:rFonts w:hint="eastAsia" w:ascii="宋体" w:hAnsi="宋体" w:cs="Arial"/>
          <w:lang w:val="en-US" w:eastAsia="zh-CN"/>
        </w:rPr>
        <w:t>双方约定、单方行为、多方行为等</w:t>
      </w:r>
    </w:p>
    <w:p w14:paraId="1EDCF90D">
      <w:pPr>
        <w:tabs>
          <w:tab w:val="left" w:pos="420"/>
        </w:tabs>
        <w:ind w:firstLine="420"/>
        <w:rPr>
          <w:rFonts w:hint="eastAsia" w:ascii="宋体" w:hAnsi="宋体" w:cs="Arial"/>
          <w:lang w:val="en-US" w:eastAsia="zh-CN"/>
        </w:rPr>
      </w:pPr>
    </w:p>
    <w:p w14:paraId="51B6FF8F">
      <w:pPr>
        <w:spacing w:line="276" w:lineRule="auto"/>
        <w:ind w:firstLine="420" w:firstLineChars="200"/>
        <w:jc w:val="left"/>
        <w:outlineLvl w:val="1"/>
        <w:rPr>
          <w:rFonts w:hint="eastAsia" w:ascii="宋体" w:hAnsi="宋体" w:cs="Arial"/>
        </w:rPr>
      </w:pPr>
      <w:r>
        <w:rPr>
          <w:rFonts w:hint="eastAsia" w:cs="Arial"/>
        </w:rPr>
        <w:t>诚信主要指权利行使、义务履行必须符合伦理要求</w:t>
      </w:r>
      <w:r>
        <w:rPr>
          <w:rFonts w:hint="eastAsia" w:cs="Arial"/>
          <w:lang w:eastAsia="zh-CN"/>
        </w:rPr>
        <w:t>（</w:t>
      </w:r>
      <w:r>
        <w:rPr>
          <w:rFonts w:hint="eastAsia" w:cs="Arial"/>
          <w:lang w:val="en-US" w:eastAsia="zh-CN"/>
        </w:rPr>
        <w:t>好人原则</w:t>
      </w:r>
      <w:r>
        <w:rPr>
          <w:rFonts w:hint="eastAsia" w:cs="Arial"/>
          <w:lang w:eastAsia="zh-CN"/>
        </w:rPr>
        <w:t>）</w:t>
      </w:r>
      <w:r>
        <w:rPr>
          <w:rFonts w:hint="eastAsia" w:ascii="宋体" w:hAnsi="宋体" w:cs="Arial"/>
        </w:rPr>
        <w:t>。</w:t>
      </w:r>
    </w:p>
    <w:p w14:paraId="2EB4FDB4">
      <w:pPr>
        <w:spacing w:line="276" w:lineRule="auto"/>
        <w:ind w:firstLine="420" w:firstLineChars="200"/>
        <w:jc w:val="left"/>
        <w:outlineLvl w:val="1"/>
        <w:rPr>
          <w:rFonts w:hint="eastAsia" w:ascii="宋体" w:hAnsi="宋体" w:cs="Arial"/>
        </w:rPr>
      </w:pPr>
      <w:r>
        <w:rPr>
          <w:rFonts w:ascii="汉仪书宋二简" w:hAnsi="汉仪书宋二简" w:cs="汉仪书宋二简"/>
          <w:kern w:val="0"/>
        </w:rPr>
        <w:t>当事人除了履行合同的给付义务以外，还需要</w:t>
      </w:r>
      <w:r>
        <w:rPr>
          <w:rFonts w:hint="eastAsia" w:ascii="汉仪书宋二简" w:hAnsi="汉仪书宋二简" w:cs="汉仪书宋二简"/>
          <w:kern w:val="0"/>
        </w:rPr>
        <w:t>履行先合同义务（《民法典》第500条）、附随义务（《民法典》第509条第2款）以及后合同义务</w:t>
      </w:r>
    </w:p>
    <w:p w14:paraId="5BCB820D">
      <w:pPr>
        <w:spacing w:line="276" w:lineRule="auto"/>
        <w:ind w:firstLine="420" w:firstLineChars="200"/>
        <w:jc w:val="left"/>
        <w:outlineLvl w:val="1"/>
        <w:rPr>
          <w:rFonts w:hint="eastAsia" w:ascii="宋体" w:hAnsi="宋体" w:cs="Arial"/>
          <w:lang w:val="en-US" w:eastAsia="zh-CN"/>
        </w:rPr>
      </w:pPr>
      <w:r>
        <w:rPr>
          <w:rFonts w:hint="eastAsia" w:ascii="宋体" w:hAnsi="宋体" w:cs="Arial"/>
          <w:color w:val="0000FF"/>
          <w:lang w:val="en-US" w:eastAsia="zh-CN"/>
        </w:rPr>
        <w:t>禁止权利滥用：</w:t>
      </w:r>
      <w:r>
        <w:rPr>
          <w:rFonts w:hint="eastAsia" w:ascii="宋体" w:hAnsi="宋体" w:cs="Arial"/>
          <w:lang w:val="en-US" w:eastAsia="zh-CN"/>
        </w:rPr>
        <w:t>对于民法典第一百三十二条所称的滥用民事权利，人民法院可以根据权利行使的对象、目的、时间、方式、造成当事人之间利益失衡的程度等因素作出认定。</w:t>
      </w:r>
    </w:p>
    <w:p w14:paraId="00F5A523">
      <w:pPr>
        <w:spacing w:line="276" w:lineRule="auto"/>
        <w:ind w:firstLine="420" w:firstLineChars="200"/>
        <w:jc w:val="left"/>
        <w:outlineLvl w:val="1"/>
        <w:rPr>
          <w:rFonts w:hint="eastAsia" w:ascii="宋体" w:hAnsi="宋体" w:cs="Arial"/>
          <w:lang w:val="en-US" w:eastAsia="zh-CN"/>
        </w:rPr>
      </w:pPr>
      <w:r>
        <w:rPr>
          <w:rFonts w:hint="eastAsia" w:ascii="宋体" w:hAnsi="宋体" w:cs="Arial"/>
          <w:lang w:val="en-US" w:eastAsia="zh-CN"/>
        </w:rPr>
        <w:t>行为人以损害国家利益、社会公共利益、他人合法权益为主要目的行使民事权利的，人民法院应当认定构成滥用民事权利。</w:t>
      </w:r>
    </w:p>
    <w:p w14:paraId="7FBF335F">
      <w:pPr>
        <w:spacing w:line="276" w:lineRule="auto"/>
        <w:ind w:firstLine="420" w:firstLineChars="200"/>
        <w:jc w:val="left"/>
        <w:outlineLvl w:val="1"/>
        <w:rPr>
          <w:rFonts w:hint="eastAsia" w:ascii="宋体" w:hAnsi="宋体" w:cs="Arial"/>
          <w:lang w:val="en-US" w:eastAsia="zh-CN"/>
        </w:rPr>
      </w:pPr>
      <w:r>
        <w:rPr>
          <w:rFonts w:hint="eastAsia" w:ascii="宋体" w:hAnsi="宋体" w:cs="Arial"/>
          <w:lang w:val="en-US" w:eastAsia="zh-CN"/>
        </w:rPr>
        <w:t>构成滥用民事权利的，人民法院应当认定该滥用行为不发生相应的法律效力。滥用民事权利造成损害的，依照民法典第七编等有关规定处理。</w:t>
      </w:r>
    </w:p>
    <w:p w14:paraId="104F3ADD">
      <w:pPr>
        <w:spacing w:line="276" w:lineRule="auto"/>
        <w:ind w:firstLine="420" w:firstLineChars="200"/>
        <w:jc w:val="left"/>
        <w:outlineLvl w:val="1"/>
        <w:rPr>
          <w:rFonts w:hint="eastAsia" w:ascii="宋体" w:hAnsi="宋体" w:cs="Arial"/>
        </w:rPr>
      </w:pPr>
    </w:p>
    <w:p w14:paraId="4D456DA0">
      <w:pPr>
        <w:spacing w:line="276" w:lineRule="auto"/>
        <w:ind w:firstLine="420" w:firstLineChars="200"/>
        <w:jc w:val="left"/>
        <w:outlineLvl w:val="1"/>
        <w:rPr>
          <w:rFonts w:hint="eastAsia" w:ascii="宋体" w:hAnsi="宋体" w:cs="Arial"/>
        </w:rPr>
      </w:pPr>
    </w:p>
    <w:p w14:paraId="2CD15117">
      <w:pPr>
        <w:spacing w:line="276" w:lineRule="auto"/>
        <w:ind w:firstLine="420" w:firstLineChars="200"/>
        <w:jc w:val="left"/>
        <w:outlineLvl w:val="1"/>
        <w:rPr>
          <w:rFonts w:hint="eastAsia" w:ascii="宋体" w:hAnsi="宋体" w:cs="Arial"/>
        </w:rPr>
      </w:pPr>
      <w:r>
        <w:rPr>
          <w:rFonts w:hint="eastAsia" w:ascii="宋体" w:hAnsi="宋体" w:cs="Arial"/>
        </w:rPr>
        <w:t>公序良俗</w:t>
      </w:r>
      <w:r>
        <w:rPr>
          <w:rFonts w:hint="eastAsia" w:ascii="宋体" w:hAnsi="宋体" w:cs="Arial"/>
          <w:lang w:val="en-US" w:eastAsia="zh-CN"/>
        </w:rPr>
        <w:t>主要适用：</w:t>
      </w:r>
      <w:r>
        <w:rPr>
          <w:rFonts w:hint="eastAsia" w:ascii="宋体" w:hAnsi="宋体" w:cs="Arial"/>
        </w:rPr>
        <w:t>当事人实施的法律行为（合同、遗嘱等）违反公共政策、违背善良风俗、不正当地限制个人自由等，该法律行为无效</w:t>
      </w:r>
      <w:r>
        <w:rPr>
          <w:rFonts w:hint="eastAsia" w:ascii="宋体" w:hAnsi="宋体" w:cs="Arial"/>
          <w:lang w:eastAsia="zh-CN"/>
        </w:rPr>
        <w:t>。</w:t>
      </w:r>
      <w:r>
        <w:rPr>
          <w:rFonts w:hint="eastAsia" w:ascii="汉仪书宋二简" w:eastAsia="汉仪中黑简"/>
          <w:color w:val="FF0000"/>
        </w:rPr>
        <w:t>公序良俗原则属于法律上对民事主体从事民事活动提出的最低行为要求，是民事活动的行为底线</w:t>
      </w:r>
      <w:r>
        <w:rPr>
          <w:rFonts w:ascii="汉仪书宋二简" w:eastAsia="汉仪中黑简"/>
          <w:color w:val="FF0000"/>
        </w:rPr>
        <w:t>。</w:t>
      </w:r>
    </w:p>
    <w:p w14:paraId="7DAA4F46">
      <w:pPr>
        <w:spacing w:line="276" w:lineRule="auto"/>
        <w:ind w:firstLine="420" w:firstLineChars="200"/>
        <w:jc w:val="left"/>
        <w:outlineLvl w:val="1"/>
        <w:rPr>
          <w:rFonts w:hint="eastAsia" w:ascii="宋体" w:hAnsi="宋体" w:cs="Arial"/>
        </w:rPr>
      </w:pPr>
    </w:p>
    <w:p w14:paraId="1C398283">
      <w:pPr>
        <w:spacing w:line="276" w:lineRule="auto"/>
        <w:ind w:firstLine="420" w:firstLineChars="200"/>
        <w:jc w:val="left"/>
        <w:outlineLvl w:val="1"/>
        <w:rPr>
          <w:rFonts w:hint="default" w:ascii="宋体" w:hAnsi="宋体" w:eastAsia="宋体" w:cs="Arial"/>
          <w:lang w:val="en-US" w:eastAsia="zh-CN"/>
        </w:rPr>
      </w:pPr>
      <w:r>
        <w:rPr>
          <w:rFonts w:hint="eastAsia" w:ascii="宋体" w:hAnsi="宋体" w:cs="Arial"/>
          <w:lang w:val="en-US" w:eastAsia="zh-CN"/>
        </w:rPr>
        <w:t>公平原则：指的是实质公平：显失公平、情势变更、违约金酌减、格式条款</w:t>
      </w:r>
    </w:p>
    <w:p w14:paraId="36F135DE">
      <w:pPr>
        <w:spacing w:line="276" w:lineRule="auto"/>
        <w:ind w:firstLine="420" w:firstLineChars="200"/>
        <w:jc w:val="left"/>
        <w:outlineLvl w:val="1"/>
        <w:rPr>
          <w:rFonts w:hint="eastAsia" w:ascii="宋体" w:hAnsi="宋体" w:cs="Arial"/>
          <w:lang w:val="en-US" w:eastAsia="zh-CN"/>
        </w:rPr>
      </w:pPr>
      <w:r>
        <w:rPr>
          <w:rFonts w:hint="eastAsia" w:ascii="宋体" w:hAnsi="宋体" w:cs="Arial"/>
          <w:lang w:val="en-US" w:eastAsia="zh-CN"/>
        </w:rPr>
        <w:t>绿色原则：节约资源、保护环境</w:t>
      </w:r>
    </w:p>
    <w:p w14:paraId="4CF30CB8">
      <w:pPr>
        <w:spacing w:line="276" w:lineRule="auto"/>
        <w:ind w:firstLine="420" w:firstLineChars="200"/>
        <w:jc w:val="left"/>
        <w:outlineLvl w:val="1"/>
        <w:rPr>
          <w:rFonts w:hint="default" w:ascii="宋体" w:hAnsi="宋体" w:cs="Arial"/>
          <w:lang w:val="en-US" w:eastAsia="zh-CN"/>
        </w:rPr>
      </w:pPr>
    </w:p>
    <w:p w14:paraId="0BF5D4CC">
      <w:pPr>
        <w:spacing w:line="276" w:lineRule="auto"/>
        <w:ind w:firstLine="422" w:firstLineChars="200"/>
        <w:jc w:val="left"/>
        <w:outlineLvl w:val="1"/>
        <w:rPr>
          <w:rFonts w:ascii="宋体" w:hAnsi="宋体"/>
          <w:b/>
          <w:szCs w:val="28"/>
        </w:rPr>
      </w:pPr>
      <w:r>
        <w:rPr>
          <w:rFonts w:hint="eastAsia" w:ascii="宋体" w:hAnsi="宋体"/>
          <w:b/>
          <w:szCs w:val="28"/>
          <w:lang w:val="en-US" w:eastAsia="zh-CN"/>
        </w:rPr>
        <w:t>二、</w:t>
      </w:r>
      <w:r>
        <w:rPr>
          <w:rFonts w:ascii="宋体" w:hAnsi="宋体"/>
          <w:b/>
          <w:szCs w:val="28"/>
        </w:rPr>
        <w:t>民事权利</w:t>
      </w:r>
    </w:p>
    <w:p w14:paraId="5EE2B033">
      <w:pPr>
        <w:tabs>
          <w:tab w:val="left" w:pos="420"/>
        </w:tabs>
        <w:ind w:firstLine="440"/>
        <w:rPr>
          <w:rFonts w:hint="eastAsia" w:ascii="汉仪中黑简" w:eastAsia="汉仪中黑简" w:cs="Times New Roman"/>
          <w:color w:val="000000"/>
          <w:sz w:val="22"/>
          <w:szCs w:val="22"/>
        </w:rPr>
      </w:pPr>
      <w:r>
        <w:rPr>
          <w:rFonts w:hint="eastAsia" w:ascii="宋体" w:hAnsi="宋体"/>
          <w:b/>
          <w:bCs/>
          <w:szCs w:val="21"/>
        </w:rPr>
        <w:t>（</w:t>
      </w:r>
      <w:r>
        <w:rPr>
          <w:rFonts w:hint="eastAsia" w:ascii="宋体" w:hAnsi="宋体"/>
          <w:b/>
          <w:bCs/>
          <w:szCs w:val="21"/>
          <w:lang w:val="en-US" w:eastAsia="zh-CN"/>
        </w:rPr>
        <w:t>一</w:t>
      </w:r>
      <w:r>
        <w:rPr>
          <w:rFonts w:hint="eastAsia" w:ascii="宋体" w:hAnsi="宋体"/>
          <w:b/>
          <w:bCs/>
          <w:szCs w:val="21"/>
        </w:rPr>
        <w:t>）</w:t>
      </w:r>
      <w:r>
        <w:rPr>
          <w:rFonts w:hint="eastAsia" w:ascii="汉仪中黑简" w:eastAsia="汉仪中黑简" w:cs="Times New Roman"/>
          <w:color w:val="000000"/>
          <w:sz w:val="22"/>
          <w:szCs w:val="22"/>
        </w:rPr>
        <w:t>财产权与人身权</w:t>
      </w:r>
    </w:p>
    <w:p w14:paraId="738D9A38">
      <w:pPr>
        <w:tabs>
          <w:tab w:val="left" w:pos="420"/>
        </w:tabs>
        <w:ind w:firstLine="420"/>
        <w:rPr>
          <w:rFonts w:hint="eastAsia" w:ascii="汉仪书宋二简" w:hAnsi="汉仪书宋二简" w:cs="汉仪书宋二简"/>
          <w:kern w:val="0"/>
        </w:rPr>
      </w:pPr>
      <w:r>
        <w:rPr>
          <w:rFonts w:hint="eastAsia" w:ascii="汉仪书宋二简" w:hAnsi="汉仪书宋二简" w:cs="汉仪书宋二简"/>
          <w:kern w:val="0"/>
        </w:rPr>
        <w:t>财产权是指以财产利益为权利内容的民事权利。物权、债权、知识产权、股权、继承权都属于财产权。</w:t>
      </w:r>
    </w:p>
    <w:p w14:paraId="7CD60B0A">
      <w:pPr>
        <w:spacing w:line="276" w:lineRule="auto"/>
        <w:ind w:firstLine="420" w:firstLineChars="200"/>
        <w:jc w:val="left"/>
        <w:rPr>
          <w:rFonts w:hint="eastAsia" w:ascii="汉仪书宋二简" w:hAnsi="汉仪书宋二简" w:cs="汉仪书宋二简"/>
          <w:kern w:val="0"/>
        </w:rPr>
      </w:pPr>
      <w:r>
        <w:rPr>
          <w:rFonts w:hint="eastAsia" w:ascii="汉仪书宋二简" w:hAnsi="汉仪书宋二简" w:cs="汉仪书宋二简"/>
          <w:kern w:val="0"/>
        </w:rPr>
        <w:t>人身权是人格权与身份权的合称。人格权是指权利主体对其人格利益享有的排除他人非法干涉的民事权利。人格权可以分为具体人格权与一般人格权。《民法典》第990条第1款规定的生命权、身体权、健康权、姓名权、名称权、肖像权、名誉权、荣誉权、隐私权等，都是具体人格权，《民法典》第990条第2款规定的基于人身自由、人格尊严产生的其他人格权益，属于一般人格权。一般人格权一方面具有兜底性，对具体人格权无法涵盖但需要保护的人格利益提供保护</w:t>
      </w:r>
    </w:p>
    <w:p w14:paraId="3AE648F6">
      <w:pPr>
        <w:spacing w:line="276" w:lineRule="auto"/>
        <w:ind w:firstLine="420" w:firstLineChars="200"/>
        <w:jc w:val="left"/>
        <w:rPr>
          <w:rFonts w:hint="eastAsia" w:ascii="汉仪书宋二简" w:hAnsi="汉仪书宋二简" w:cs="汉仪书宋二简"/>
          <w:kern w:val="0"/>
        </w:rPr>
      </w:pPr>
      <w:r>
        <w:rPr>
          <w:rFonts w:hint="eastAsia" w:ascii="汉仪书宋二简" w:hAnsi="汉仪书宋二简" w:cs="汉仪书宋二简"/>
          <w:kern w:val="0"/>
        </w:rPr>
        <w:t>身份权是指民事主体在特定的身份关系中对身份利益所享有的民事权利。监护权、配偶权都是典型的身份权。</w:t>
      </w:r>
    </w:p>
    <w:p w14:paraId="42E1C731">
      <w:pPr>
        <w:spacing w:line="276" w:lineRule="auto"/>
        <w:jc w:val="left"/>
        <w:rPr>
          <w:rFonts w:ascii="宋体" w:hAnsi="宋体"/>
          <w:b/>
          <w:bCs/>
          <w:szCs w:val="21"/>
        </w:rPr>
      </w:pPr>
      <w:r>
        <w:rPr>
          <w:rFonts w:hint="eastAsia" w:ascii="宋体" w:hAnsi="宋体"/>
          <w:b/>
          <w:bCs/>
          <w:szCs w:val="21"/>
          <w:lang w:eastAsia="zh-CN"/>
        </w:rPr>
        <w:t>（</w:t>
      </w:r>
      <w:r>
        <w:rPr>
          <w:rFonts w:hint="eastAsia" w:ascii="宋体" w:hAnsi="宋体"/>
          <w:b/>
          <w:bCs/>
          <w:szCs w:val="21"/>
          <w:lang w:val="en-US" w:eastAsia="zh-CN"/>
        </w:rPr>
        <w:t>二</w:t>
      </w:r>
      <w:r>
        <w:rPr>
          <w:rFonts w:hint="eastAsia" w:ascii="宋体" w:hAnsi="宋体"/>
          <w:b/>
          <w:bCs/>
          <w:szCs w:val="21"/>
          <w:lang w:eastAsia="zh-CN"/>
        </w:rPr>
        <w:t>）</w:t>
      </w:r>
      <w:r>
        <w:rPr>
          <w:rFonts w:hint="eastAsia" w:ascii="宋体" w:hAnsi="宋体"/>
          <w:b/>
          <w:bCs/>
          <w:szCs w:val="21"/>
        </w:rPr>
        <w:t>绝对权与相对权</w:t>
      </w:r>
    </w:p>
    <w:p w14:paraId="3784D648">
      <w:pPr>
        <w:spacing w:line="276" w:lineRule="auto"/>
        <w:ind w:left="-420" w:leftChars="-200" w:firstLine="420"/>
        <w:rPr>
          <w:rFonts w:ascii="宋体" w:hAnsi="宋体"/>
        </w:rPr>
      </w:pPr>
      <w:r>
        <w:rPr>
          <w:rFonts w:hint="eastAsia" w:ascii="宋体" w:hAnsi="宋体"/>
        </w:rPr>
        <w:t>（1）绝对权</w:t>
      </w:r>
    </w:p>
    <w:p w14:paraId="6E29BC8F">
      <w:pPr>
        <w:spacing w:line="276" w:lineRule="auto"/>
        <w:ind w:left="-420" w:leftChars="-200" w:firstLine="420"/>
        <w:rPr>
          <w:rFonts w:ascii="宋体" w:hAnsi="宋体"/>
        </w:rPr>
      </w:pPr>
      <w:r>
        <w:rPr>
          <w:rFonts w:hint="eastAsia" w:ascii="宋体" w:hAnsi="宋体"/>
        </w:rPr>
        <w:t>绝对权是权利效力所及相对人为不特定人的权利。绝对权的义务人是权利人之外的一切人，又称“对世权”。</w:t>
      </w:r>
      <w:r>
        <w:rPr>
          <w:rFonts w:hint="eastAsia" w:ascii="宋体" w:hAnsi="宋体"/>
          <w:b/>
          <w:bCs/>
          <w:color w:val="FF0000"/>
        </w:rPr>
        <w:t>物权、人格权、知识产权属于绝对性权利</w:t>
      </w:r>
      <w:r>
        <w:rPr>
          <w:rFonts w:hint="eastAsia" w:ascii="宋体" w:hAnsi="宋体"/>
        </w:rPr>
        <w:t>。绝对权受侵权保护，同时，为维护绝对权的完整性，绝对权还能产生绝对权请求权（如物权请求权、人格权请求权）的效力。</w:t>
      </w:r>
    </w:p>
    <w:p w14:paraId="3370C5F2">
      <w:pPr>
        <w:spacing w:line="276" w:lineRule="auto"/>
        <w:ind w:left="-420" w:leftChars="-200" w:firstLine="420"/>
        <w:rPr>
          <w:rFonts w:ascii="宋体" w:hAnsi="宋体"/>
        </w:rPr>
      </w:pPr>
      <w:r>
        <w:rPr>
          <w:rFonts w:hint="eastAsia" w:ascii="宋体" w:hAnsi="宋体"/>
        </w:rPr>
        <w:t>（2）相对权</w:t>
      </w:r>
    </w:p>
    <w:p w14:paraId="6D867D5F">
      <w:pPr>
        <w:spacing w:line="276" w:lineRule="auto"/>
        <w:ind w:left="-420" w:leftChars="-200" w:firstLine="420"/>
        <w:rPr>
          <w:rFonts w:ascii="宋体" w:hAnsi="宋体"/>
        </w:rPr>
      </w:pPr>
      <w:r>
        <w:rPr>
          <w:rFonts w:hint="eastAsia" w:ascii="宋体" w:hAnsi="宋体"/>
        </w:rPr>
        <w:t>相对权是权利效力所及相对人仅为特定人的权利，</w:t>
      </w:r>
      <w:r>
        <w:rPr>
          <w:rFonts w:hint="eastAsia" w:ascii="宋体" w:hAnsi="宋体"/>
          <w:color w:val="FF0000"/>
        </w:rPr>
        <w:t>相对权的效力只及于特定的义务人</w:t>
      </w:r>
      <w:r>
        <w:rPr>
          <w:rFonts w:hint="eastAsia" w:ascii="宋体" w:hAnsi="宋体"/>
          <w:color w:val="FF0000"/>
          <w:lang w:eastAsia="zh-CN"/>
        </w:rPr>
        <w:t>（</w:t>
      </w:r>
      <w:r>
        <w:rPr>
          <w:rFonts w:hint="eastAsia" w:ascii="宋体" w:hAnsi="宋体"/>
          <w:color w:val="FF0000"/>
          <w:lang w:val="en-US" w:eastAsia="zh-CN"/>
        </w:rPr>
        <w:t>不能对抗物权人，如一物数卖中未取得物权的买受人，可以向出卖人主张违约责任</w:t>
      </w:r>
      <w:r>
        <w:rPr>
          <w:rFonts w:hint="eastAsia" w:ascii="宋体" w:hAnsi="宋体"/>
          <w:color w:val="FF0000"/>
          <w:lang w:eastAsia="zh-CN"/>
        </w:rPr>
        <w:t>）</w:t>
      </w:r>
      <w:r>
        <w:rPr>
          <w:rFonts w:hint="eastAsia" w:ascii="宋体" w:hAnsi="宋体"/>
        </w:rPr>
        <w:t>。</w:t>
      </w:r>
    </w:p>
    <w:p w14:paraId="65A1A0E4">
      <w:pPr>
        <w:spacing w:line="276" w:lineRule="auto"/>
        <w:jc w:val="left"/>
        <w:rPr>
          <w:rFonts w:ascii="宋体" w:hAnsi="宋体"/>
          <w:b/>
          <w:bCs/>
          <w:szCs w:val="21"/>
        </w:rPr>
      </w:pPr>
      <w:r>
        <w:rPr>
          <w:rFonts w:hint="eastAsia" w:ascii="宋体" w:hAnsi="宋体"/>
          <w:b/>
          <w:szCs w:val="21"/>
        </w:rPr>
        <w:t>（</w:t>
      </w:r>
      <w:r>
        <w:rPr>
          <w:rFonts w:hint="eastAsia" w:ascii="宋体" w:hAnsi="宋体"/>
          <w:b/>
          <w:szCs w:val="21"/>
          <w:lang w:val="en-US" w:eastAsia="zh-CN"/>
        </w:rPr>
        <w:t>三</w:t>
      </w:r>
      <w:r>
        <w:rPr>
          <w:rFonts w:hint="eastAsia" w:ascii="宋体" w:hAnsi="宋体"/>
          <w:b/>
          <w:szCs w:val="21"/>
        </w:rPr>
        <w:t>）</w:t>
      </w:r>
      <w:r>
        <w:rPr>
          <w:rFonts w:hint="eastAsia" w:ascii="宋体" w:hAnsi="宋体"/>
          <w:b/>
          <w:bCs/>
          <w:szCs w:val="21"/>
        </w:rPr>
        <w:t>支配权、请求权、形成权、抗辩权</w:t>
      </w:r>
    </w:p>
    <w:p w14:paraId="1CE7EBC8">
      <w:pPr>
        <w:spacing w:line="276" w:lineRule="auto"/>
        <w:ind w:left="-420" w:leftChars="-200" w:firstLine="420"/>
        <w:rPr>
          <w:rFonts w:ascii="宋体" w:hAnsi="宋体"/>
        </w:rPr>
      </w:pPr>
      <w:r>
        <w:rPr>
          <w:rFonts w:hint="eastAsia" w:ascii="宋体" w:hAnsi="宋体"/>
        </w:rPr>
        <w:t>1.支配权</w:t>
      </w:r>
    </w:p>
    <w:p w14:paraId="27BB3F59">
      <w:pPr>
        <w:spacing w:line="276" w:lineRule="auto"/>
        <w:ind w:left="-420" w:leftChars="-200" w:firstLine="420"/>
        <w:rPr>
          <w:rFonts w:hint="default" w:ascii="宋体" w:hAnsi="宋体" w:eastAsia="宋体"/>
          <w:lang w:val="en-US" w:eastAsia="zh-CN"/>
        </w:rPr>
      </w:pPr>
      <w:r>
        <w:rPr>
          <w:rFonts w:hint="eastAsia" w:ascii="宋体" w:hAnsi="宋体"/>
        </w:rPr>
        <w:t>支配权是权利主体直接支配客体而享有其利益的权利。</w:t>
      </w:r>
      <w:r>
        <w:rPr>
          <w:rFonts w:hint="eastAsia" w:ascii="宋体" w:hAnsi="宋体"/>
          <w:color w:val="FF0000"/>
          <w:lang w:val="en-US" w:eastAsia="zh-CN"/>
        </w:rPr>
        <w:t>物权是最典型的支配权</w:t>
      </w:r>
    </w:p>
    <w:p w14:paraId="0A9423DC">
      <w:pPr>
        <w:spacing w:line="276" w:lineRule="auto"/>
        <w:ind w:left="-420" w:leftChars="-200" w:firstLine="420"/>
        <w:rPr>
          <w:rFonts w:ascii="宋体" w:hAnsi="宋体"/>
        </w:rPr>
      </w:pPr>
      <w:r>
        <w:rPr>
          <w:rFonts w:hint="eastAsia" w:ascii="宋体" w:hAnsi="宋体"/>
        </w:rPr>
        <w:t>2.请求权</w:t>
      </w:r>
    </w:p>
    <w:p w14:paraId="354F77EF">
      <w:pPr>
        <w:spacing w:line="276" w:lineRule="auto"/>
        <w:ind w:left="-420" w:leftChars="-200" w:firstLine="420"/>
        <w:rPr>
          <w:rFonts w:ascii="宋体" w:hAnsi="宋体"/>
        </w:rPr>
      </w:pPr>
      <w:r>
        <w:rPr>
          <w:rFonts w:hint="eastAsia" w:ascii="宋体" w:hAnsi="宋体"/>
        </w:rPr>
        <w:t>（1）请求权不具有支配效力，仅表现为向他人要求作为或不作为的权利。</w:t>
      </w:r>
    </w:p>
    <w:p w14:paraId="63945D06">
      <w:pPr>
        <w:spacing w:line="276" w:lineRule="auto"/>
        <w:ind w:left="-420" w:leftChars="-200" w:firstLine="420"/>
        <w:rPr>
          <w:rFonts w:ascii="宋体" w:hAnsi="宋体"/>
        </w:rPr>
      </w:pPr>
      <w:r>
        <w:rPr>
          <w:rFonts w:hint="eastAsia" w:ascii="宋体" w:hAnsi="宋体"/>
        </w:rPr>
        <w:t>（2）</w:t>
      </w:r>
      <w:r>
        <w:rPr>
          <w:rFonts w:hint="eastAsia" w:ascii="宋体" w:hAnsi="宋体"/>
          <w:color w:val="FF0000"/>
        </w:rPr>
        <w:t>典型的请求权是债权请求权</w:t>
      </w:r>
      <w:r>
        <w:rPr>
          <w:rFonts w:hint="eastAsia" w:ascii="宋体" w:hAnsi="宋体"/>
        </w:rPr>
        <w:t>，债权的主要效力即表现为请求权。</w:t>
      </w:r>
    </w:p>
    <w:p w14:paraId="1AD4013E">
      <w:pPr>
        <w:spacing w:line="276" w:lineRule="auto"/>
        <w:ind w:left="-420" w:leftChars="-200" w:firstLine="420"/>
        <w:rPr>
          <w:rFonts w:hint="eastAsia" w:ascii="宋体" w:hAnsi="宋体"/>
          <w:u w:val="single"/>
        </w:rPr>
      </w:pPr>
      <w:r>
        <w:rPr>
          <w:rFonts w:hint="eastAsia" w:ascii="宋体" w:hAnsi="宋体"/>
        </w:rPr>
        <w:t>（3）</w:t>
      </w:r>
      <w:r>
        <w:rPr>
          <w:rFonts w:hint="eastAsia" w:ascii="宋体" w:hAnsi="宋体"/>
          <w:u w:val="single"/>
        </w:rPr>
        <w:t>请求权不限于债权请求权，还包括物权请求权</w:t>
      </w:r>
      <w:r>
        <w:rPr>
          <w:rFonts w:hint="eastAsia" w:ascii="宋体" w:hAnsi="宋体"/>
          <w:u w:val="single"/>
          <w:lang w:eastAsia="zh-CN"/>
        </w:rPr>
        <w:t>、</w:t>
      </w:r>
      <w:r>
        <w:rPr>
          <w:rFonts w:hint="eastAsia" w:ascii="宋体" w:hAnsi="宋体"/>
          <w:color w:val="FF0000"/>
          <w:u w:val="single"/>
          <w:lang w:val="en-US" w:eastAsia="zh-CN"/>
        </w:rPr>
        <w:t>人格权请求权</w:t>
      </w:r>
      <w:r>
        <w:rPr>
          <w:rFonts w:hint="eastAsia" w:ascii="宋体" w:hAnsi="宋体"/>
          <w:u w:val="single"/>
        </w:rPr>
        <w:t>等其他类型</w:t>
      </w:r>
    </w:p>
    <w:p w14:paraId="63372807">
      <w:pPr>
        <w:spacing w:line="276" w:lineRule="auto"/>
        <w:ind w:left="-420" w:leftChars="-200" w:firstLine="420"/>
        <w:rPr>
          <w:rFonts w:hint="eastAsia" w:ascii="宋体" w:hAnsi="宋体"/>
        </w:rPr>
      </w:pPr>
      <w:r>
        <w:rPr>
          <w:rFonts w:hint="eastAsia" w:ascii="宋体" w:hAnsi="宋体"/>
        </w:rPr>
        <w:t>【人格权请求权】人格权受到侵害的,受害人有权依照本法和其他法律的规定请求行为人承担民事责任。</w:t>
      </w:r>
      <w:r>
        <w:rPr>
          <w:rFonts w:hint="eastAsia" w:ascii="宋体" w:hAnsi="宋体"/>
          <w:color w:val="FF0000"/>
        </w:rPr>
        <w:t>受害人的停止侵害、排除妨碍、消除危险、消除影响、恢复名誉、赔礼道歉请求权,不适用诉讼时效的规定</w:t>
      </w:r>
      <w:r>
        <w:rPr>
          <w:rFonts w:hint="eastAsia" w:ascii="宋体" w:hAnsi="宋体"/>
        </w:rPr>
        <w:t>。</w:t>
      </w:r>
    </w:p>
    <w:p w14:paraId="4E4E960B">
      <w:pPr>
        <w:spacing w:line="276" w:lineRule="auto"/>
        <w:ind w:left="-420" w:leftChars="-200" w:firstLine="420"/>
        <w:rPr>
          <w:rFonts w:hint="default" w:ascii="宋体" w:hAnsi="宋体" w:eastAsia="宋体"/>
          <w:color w:val="FF0000"/>
          <w:lang w:val="en-US" w:eastAsia="zh-CN"/>
        </w:rPr>
      </w:pPr>
      <w:r>
        <w:rPr>
          <w:rFonts w:hint="eastAsia" w:ascii="宋体" w:hAnsi="宋体"/>
          <w:color w:val="FF0000"/>
          <w:lang w:val="en-US" w:eastAsia="zh-CN"/>
        </w:rPr>
        <w:t>物权请求权原则不适用诉讼时效，只有未登记动产的返还原物请求权适用</w:t>
      </w:r>
    </w:p>
    <w:p w14:paraId="0DFA58C3">
      <w:pPr>
        <w:spacing w:line="276" w:lineRule="auto"/>
        <w:ind w:left="-420" w:leftChars="-200" w:firstLine="420"/>
        <w:rPr>
          <w:rFonts w:hint="eastAsia" w:ascii="宋体" w:hAnsi="宋体" w:eastAsia="宋体"/>
          <w:lang w:eastAsia="zh-CN"/>
        </w:rPr>
      </w:pPr>
      <w:r>
        <w:rPr>
          <w:rFonts w:hint="eastAsia" w:ascii="宋体" w:hAnsi="宋体"/>
        </w:rPr>
        <w:t>3.形成权</w:t>
      </w:r>
      <w:r>
        <w:rPr>
          <w:rFonts w:hint="eastAsia" w:ascii="宋体" w:hAnsi="宋体"/>
          <w:lang w:eastAsia="zh-CN"/>
        </w:rPr>
        <w:t>（</w:t>
      </w:r>
      <w:r>
        <w:rPr>
          <w:rFonts w:hint="eastAsia" w:ascii="宋体" w:hAnsi="宋体"/>
          <w:lang w:val="en-US" w:eastAsia="zh-CN"/>
        </w:rPr>
        <w:t>单方决定权</w:t>
      </w:r>
      <w:r>
        <w:rPr>
          <w:rFonts w:hint="eastAsia" w:ascii="宋体" w:hAnsi="宋体"/>
          <w:lang w:eastAsia="zh-CN"/>
        </w:rPr>
        <w:t>）</w:t>
      </w:r>
    </w:p>
    <w:p w14:paraId="3B39CC78">
      <w:pPr>
        <w:spacing w:line="276" w:lineRule="auto"/>
        <w:ind w:left="-420" w:leftChars="-200" w:firstLine="420"/>
        <w:rPr>
          <w:rFonts w:hint="eastAsia" w:ascii="宋体" w:hAnsi="宋体"/>
        </w:rPr>
      </w:pPr>
      <w:r>
        <w:rPr>
          <w:rFonts w:hint="eastAsia" w:ascii="宋体" w:hAnsi="宋体"/>
        </w:rPr>
        <w:t>（1）形成权是权利人单方面的意思表示即可导致法律关系发生、变更或消灭的权利</w:t>
      </w:r>
    </w:p>
    <w:p w14:paraId="0C43B719">
      <w:pPr>
        <w:spacing w:line="276" w:lineRule="auto"/>
        <w:ind w:left="-420" w:leftChars="-200" w:firstLine="420"/>
        <w:rPr>
          <w:rFonts w:hint="eastAsia" w:ascii="宋体" w:hAnsi="宋体" w:eastAsia="宋体"/>
          <w:lang w:eastAsia="zh-CN"/>
        </w:rPr>
      </w:pPr>
      <w:r>
        <w:rPr>
          <w:rFonts w:hint="eastAsia" w:ascii="宋体" w:hAnsi="宋体"/>
        </w:rPr>
        <w:t>（2）其类型主要包括追认权、撤销权、解除权、抵销权、选择权等</w:t>
      </w:r>
      <w:r>
        <w:rPr>
          <w:rFonts w:hint="eastAsia" w:ascii="宋体" w:hAnsi="宋体"/>
          <w:color w:val="FF0000"/>
          <w:lang w:eastAsia="zh-CN"/>
        </w:rPr>
        <w:t>（</w:t>
      </w:r>
      <w:r>
        <w:rPr>
          <w:rFonts w:hint="eastAsia" w:ascii="宋体" w:hAnsi="宋体"/>
          <w:color w:val="FF0000"/>
          <w:lang w:val="en-US" w:eastAsia="zh-CN"/>
        </w:rPr>
        <w:t>适用除斥期间</w:t>
      </w:r>
      <w:r>
        <w:rPr>
          <w:rFonts w:hint="eastAsia" w:ascii="宋体" w:hAnsi="宋体"/>
          <w:color w:val="FF0000"/>
          <w:lang w:eastAsia="zh-CN"/>
        </w:rPr>
        <w:t>）</w:t>
      </w:r>
    </w:p>
    <w:p w14:paraId="2BF2935E">
      <w:pPr>
        <w:spacing w:line="276" w:lineRule="auto"/>
        <w:ind w:left="-420" w:leftChars="-200" w:firstLine="420"/>
        <w:rPr>
          <w:rFonts w:hint="eastAsia" w:ascii="宋体" w:hAnsi="宋体"/>
        </w:rPr>
      </w:pPr>
      <w:r>
        <w:rPr>
          <w:rFonts w:hint="eastAsia" w:ascii="宋体" w:hAnsi="宋体"/>
        </w:rPr>
        <w:t>（3）形成权的行使行为属于单方法律行为，</w:t>
      </w:r>
      <w:r>
        <w:rPr>
          <w:rFonts w:hint="eastAsia" w:ascii="宋体" w:hAnsi="宋体"/>
          <w:color w:val="FF0000"/>
        </w:rPr>
        <w:t>通常以通知相对人的方式进行</w:t>
      </w:r>
      <w:r>
        <w:rPr>
          <w:rFonts w:hint="eastAsia" w:ascii="宋体" w:hAnsi="宋体"/>
        </w:rPr>
        <w:t>，而且其意思表示不限于明示，默示乃至于特殊情况下的沉默</w:t>
      </w:r>
    </w:p>
    <w:p w14:paraId="2501D6C6">
      <w:pPr>
        <w:spacing w:line="276" w:lineRule="auto"/>
        <w:ind w:left="-420" w:leftChars="-200" w:firstLine="420"/>
        <w:rPr>
          <w:rFonts w:ascii="宋体" w:hAnsi="宋体"/>
          <w:color w:val="FF0000"/>
        </w:rPr>
      </w:pPr>
      <w:r>
        <w:rPr>
          <w:rFonts w:hint="eastAsia" w:ascii="宋体" w:hAnsi="宋体"/>
        </w:rPr>
        <w:t>（4）某些类型的形成权需要依诉讼行使，如可撤销民事法律行为的撤销权</w:t>
      </w:r>
      <w:r>
        <w:rPr>
          <w:rFonts w:hint="eastAsia" w:ascii="宋体" w:hAnsi="宋体"/>
          <w:lang w:eastAsia="zh-CN"/>
        </w:rPr>
        <w:t>、</w:t>
      </w:r>
      <w:r>
        <w:rPr>
          <w:rFonts w:hint="eastAsia" w:ascii="宋体" w:hAnsi="宋体"/>
        </w:rPr>
        <w:t>离婚诉权</w:t>
      </w:r>
      <w:r>
        <w:rPr>
          <w:rFonts w:hint="eastAsia" w:ascii="宋体" w:hAnsi="宋体"/>
          <w:lang w:eastAsia="zh-CN"/>
        </w:rPr>
        <w:t>、</w:t>
      </w:r>
      <w:r>
        <w:rPr>
          <w:rFonts w:hint="eastAsia" w:ascii="宋体" w:hAnsi="宋体"/>
          <w:color w:val="FF0000"/>
          <w:lang w:val="en-US" w:eastAsia="zh-CN"/>
        </w:rPr>
        <w:t>债权人撤销权</w:t>
      </w:r>
      <w:r>
        <w:rPr>
          <w:rFonts w:hint="eastAsia" w:ascii="宋体" w:hAnsi="宋体"/>
          <w:color w:val="FF0000"/>
        </w:rPr>
        <w:t>。</w:t>
      </w:r>
    </w:p>
    <w:p w14:paraId="41D2F910">
      <w:pPr>
        <w:spacing w:line="276" w:lineRule="auto"/>
        <w:ind w:left="-420" w:leftChars="-200" w:firstLine="420"/>
        <w:rPr>
          <w:rFonts w:ascii="宋体" w:hAnsi="宋体"/>
        </w:rPr>
      </w:pPr>
      <w:r>
        <w:rPr>
          <w:rFonts w:hint="eastAsia" w:ascii="宋体" w:hAnsi="宋体"/>
        </w:rPr>
        <w:t>（5）形成权的行使</w:t>
      </w:r>
      <w:r>
        <w:rPr>
          <w:rFonts w:hint="eastAsia" w:ascii="宋体" w:hAnsi="宋体"/>
          <w:b/>
          <w:bCs/>
          <w:color w:val="FF0000"/>
          <w:lang w:val="en-US" w:eastAsia="zh-CN"/>
        </w:rPr>
        <w:t>原则</w:t>
      </w:r>
      <w:r>
        <w:rPr>
          <w:rFonts w:hint="eastAsia" w:ascii="宋体" w:hAnsi="宋体"/>
        </w:rPr>
        <w:t>不得附条件或附期限。</w:t>
      </w:r>
    </w:p>
    <w:p w14:paraId="04A17280">
      <w:pPr>
        <w:spacing w:line="276" w:lineRule="auto"/>
        <w:ind w:left="-420" w:leftChars="-200" w:firstLine="420"/>
        <w:rPr>
          <w:rFonts w:hint="default" w:ascii="宋体" w:hAnsi="宋体" w:eastAsia="宋体"/>
          <w:b/>
          <w:bCs/>
          <w:color w:val="FF0000"/>
          <w:lang w:val="en-US" w:eastAsia="zh-CN"/>
        </w:rPr>
      </w:pPr>
      <w:r>
        <w:rPr>
          <w:rFonts w:hint="eastAsia" w:ascii="宋体" w:hAnsi="宋体"/>
        </w:rPr>
        <w:t>（6）形成权行使不适用诉讼时效期间，而是</w:t>
      </w:r>
      <w:r>
        <w:rPr>
          <w:rFonts w:hint="eastAsia" w:ascii="宋体" w:hAnsi="宋体"/>
          <w:u w:val="single"/>
        </w:rPr>
        <w:t>适用除斥期间</w:t>
      </w:r>
      <w:r>
        <w:rPr>
          <w:rFonts w:hint="eastAsia" w:ascii="宋体" w:hAnsi="宋体"/>
        </w:rPr>
        <w:t>，</w:t>
      </w:r>
      <w:r>
        <w:rPr>
          <w:rFonts w:hint="eastAsia" w:ascii="宋体" w:hAnsi="宋体"/>
          <w:b/>
          <w:bCs/>
          <w:color w:val="FF0000"/>
        </w:rPr>
        <w:t>形成权人未在除斥期间内行使权利的，</w:t>
      </w:r>
      <w:r>
        <w:rPr>
          <w:rFonts w:hint="eastAsia" w:ascii="宋体" w:hAnsi="宋体"/>
          <w:b/>
          <w:bCs/>
          <w:color w:val="FF0000"/>
          <w:lang w:val="en-US" w:eastAsia="zh-CN"/>
        </w:rPr>
        <w:t>形成权消灭。除斥期间不能中断中止延长</w:t>
      </w:r>
    </w:p>
    <w:p w14:paraId="6C305DC9">
      <w:pPr>
        <w:spacing w:line="276" w:lineRule="auto"/>
        <w:ind w:left="-420" w:leftChars="-200" w:firstLine="420" w:firstLineChars="200"/>
        <w:rPr>
          <w:rFonts w:ascii="宋体" w:hAnsi="宋体"/>
        </w:rPr>
      </w:pPr>
      <w:r>
        <w:rPr>
          <w:rFonts w:hint="eastAsia" w:ascii="宋体" w:hAnsi="宋体"/>
        </w:rPr>
        <w:t>4.抗辩权</w:t>
      </w:r>
    </w:p>
    <w:p w14:paraId="0500F336">
      <w:pPr>
        <w:spacing w:line="276" w:lineRule="auto"/>
        <w:ind w:left="-420" w:leftChars="-200" w:firstLine="420"/>
        <w:rPr>
          <w:rFonts w:ascii="宋体" w:hAnsi="宋体"/>
        </w:rPr>
      </w:pPr>
      <w:r>
        <w:rPr>
          <w:rFonts w:hint="eastAsia" w:ascii="宋体" w:hAnsi="宋体"/>
        </w:rPr>
        <w:t>（1）抗辩权系针对请求权的权利，</w:t>
      </w:r>
      <w:r>
        <w:rPr>
          <w:rFonts w:hint="eastAsia" w:ascii="宋体" w:hAnsi="宋体"/>
          <w:u w:val="single"/>
        </w:rPr>
        <w:t>其功效在于阻止请求权的效力，无请求无抗辩</w:t>
      </w:r>
      <w:r>
        <w:rPr>
          <w:rFonts w:hint="eastAsia" w:ascii="宋体" w:hAnsi="宋体"/>
        </w:rPr>
        <w:t>；在对方当事人主张请求权时，抗辩权人以抗辩权对抗之，</w:t>
      </w:r>
      <w:r>
        <w:rPr>
          <w:rFonts w:hint="eastAsia" w:ascii="宋体" w:hAnsi="宋体"/>
          <w:color w:val="FF0000"/>
        </w:rPr>
        <w:t>法院不得主动适用抗辩权条款</w:t>
      </w:r>
      <w:r>
        <w:rPr>
          <w:rFonts w:hint="eastAsia" w:ascii="宋体" w:hAnsi="宋体"/>
        </w:rPr>
        <w:t>。</w:t>
      </w:r>
    </w:p>
    <w:p w14:paraId="67A72CFA">
      <w:pPr>
        <w:spacing w:line="276" w:lineRule="auto"/>
        <w:ind w:left="-420" w:leftChars="-200" w:firstLine="420"/>
        <w:rPr>
          <w:rFonts w:hint="eastAsia" w:ascii="宋体" w:hAnsi="宋体" w:eastAsia="宋体"/>
          <w:lang w:eastAsia="zh-CN"/>
        </w:rPr>
      </w:pPr>
      <w:r>
        <w:rPr>
          <w:rFonts w:hint="eastAsia" w:ascii="宋体" w:hAnsi="宋体"/>
        </w:rPr>
        <w:t>（2）</w:t>
      </w:r>
      <w:r>
        <w:rPr>
          <w:rFonts w:hint="eastAsia" w:ascii="宋体" w:hAnsi="宋体"/>
          <w:b/>
          <w:bCs/>
          <w:color w:val="FF0000"/>
        </w:rPr>
        <w:t>抗辩权以对方享有请求权为前提</w:t>
      </w:r>
      <w:r>
        <w:rPr>
          <w:rFonts w:hint="eastAsia" w:ascii="宋体" w:hAnsi="宋体"/>
        </w:rPr>
        <w:t>，而权利不发生或已消灭的抗辩则旨在表明请求权本身不存在。</w:t>
      </w:r>
      <w:r>
        <w:rPr>
          <w:rFonts w:hint="eastAsia" w:ascii="宋体" w:hAnsi="宋体"/>
          <w:b/>
          <w:bCs/>
          <w:color w:val="FF0000"/>
          <w:lang w:eastAsia="zh-CN"/>
        </w:rPr>
        <w:t>（</w:t>
      </w:r>
      <w:r>
        <w:rPr>
          <w:rFonts w:hint="eastAsia" w:ascii="宋体" w:hAnsi="宋体"/>
          <w:b/>
          <w:bCs/>
          <w:color w:val="FF0000"/>
          <w:lang w:val="en-US" w:eastAsia="zh-CN"/>
        </w:rPr>
        <w:t>没有请求权就没有抗辩权</w:t>
      </w:r>
      <w:r>
        <w:rPr>
          <w:rFonts w:hint="eastAsia" w:ascii="宋体" w:hAnsi="宋体"/>
          <w:b/>
          <w:bCs/>
          <w:color w:val="FF0000"/>
          <w:lang w:eastAsia="zh-CN"/>
        </w:rPr>
        <w:t>）</w:t>
      </w:r>
    </w:p>
    <w:p w14:paraId="23A2A0F1">
      <w:pPr>
        <w:spacing w:line="276" w:lineRule="auto"/>
        <w:ind w:left="-420" w:leftChars="-200" w:firstLine="420"/>
        <w:rPr>
          <w:rFonts w:ascii="宋体" w:hAnsi="宋体"/>
        </w:rPr>
      </w:pPr>
      <w:r>
        <w:rPr>
          <w:rFonts w:hint="eastAsia" w:ascii="宋体" w:hAnsi="宋体"/>
        </w:rPr>
        <w:t>（3）重要的抗辩权：同时履行抗辩权、顺序履行抗辩权、不安抗辩权、先诉抗辩权、时效期间届满抗辩权等。</w:t>
      </w:r>
    </w:p>
    <w:p w14:paraId="0D1D3AD8">
      <w:pPr>
        <w:spacing w:line="276" w:lineRule="auto"/>
        <w:ind w:left="-420" w:leftChars="-200" w:firstLine="420"/>
        <w:rPr>
          <w:rFonts w:ascii="宋体" w:hAnsi="宋体"/>
        </w:rPr>
      </w:pPr>
      <w:r>
        <w:rPr>
          <w:rFonts w:hint="eastAsia" w:ascii="宋体" w:hAnsi="宋体"/>
        </w:rPr>
        <w:t>（4）行使抗辩权的结果是：永久性地阻却请求权的效力（如时效期间届满抗辩）；或一时性地阻止对方行使请求权（先诉抗辩权），对方采取一定行动后，可消除抗辩权的效力。</w:t>
      </w:r>
    </w:p>
    <w:p w14:paraId="39A89068">
      <w:pPr>
        <w:spacing w:line="276" w:lineRule="auto"/>
        <w:ind w:left="-420" w:firstLine="422" w:firstLineChars="200"/>
        <w:rPr>
          <w:rFonts w:ascii="等线" w:hAnsi="等线"/>
          <w:b/>
        </w:rPr>
      </w:pPr>
      <w:r>
        <w:rPr>
          <w:rFonts w:hint="eastAsia" w:ascii="等线" w:hAnsi="等线"/>
          <w:b/>
          <w:lang w:val="en-US" w:eastAsia="zh-CN"/>
        </w:rPr>
        <w:t>三</w:t>
      </w:r>
      <w:r>
        <w:rPr>
          <w:rFonts w:hint="eastAsia" w:ascii="等线" w:hAnsi="等线"/>
          <w:b/>
        </w:rPr>
        <w:t xml:space="preserve">、自力救济 </w:t>
      </w:r>
    </w:p>
    <w:p w14:paraId="6294CCC5">
      <w:pPr>
        <w:spacing w:line="276" w:lineRule="auto"/>
        <w:ind w:left="-420" w:leftChars="-200"/>
        <w:rPr>
          <w:rFonts w:ascii="等线" w:hAnsi="等线"/>
          <w:b/>
        </w:rPr>
      </w:pPr>
      <w:r>
        <w:rPr>
          <w:rFonts w:hint="eastAsia" w:ascii="等线" w:hAnsi="等线"/>
        </w:rPr>
        <w:t xml:space="preserve">    </w:t>
      </w:r>
      <w:r>
        <w:rPr>
          <w:rFonts w:hint="eastAsia" w:ascii="等线" w:hAnsi="等线"/>
          <w:b/>
        </w:rPr>
        <w:t>（一）正当防卫</w:t>
      </w:r>
    </w:p>
    <w:p w14:paraId="6925BBB3">
      <w:pPr>
        <w:spacing w:line="276" w:lineRule="auto"/>
        <w:ind w:left="-420" w:leftChars="-200" w:firstLine="420"/>
        <w:rPr>
          <w:rFonts w:hint="eastAsia" w:ascii="等线" w:hAnsi="等线" w:eastAsia="宋体"/>
          <w:lang w:eastAsia="zh-CN"/>
        </w:rPr>
      </w:pPr>
      <w:r>
        <w:rPr>
          <w:rFonts w:hint="eastAsia" w:ascii="等线" w:hAnsi="等线"/>
        </w:rPr>
        <w:t>因正当防卫造成损害的，不承担民事责任。正当防卫超过必要的限度，造成不应有的损害的，正当防卫人应当承担适当的民事责任。</w:t>
      </w:r>
      <w:r>
        <w:rPr>
          <w:rFonts w:hint="eastAsia" w:ascii="等线" w:hAnsi="等线"/>
          <w:lang w:eastAsia="zh-CN"/>
        </w:rPr>
        <w:t>（</w:t>
      </w:r>
      <w:r>
        <w:rPr>
          <w:rFonts w:hint="eastAsia" w:ascii="等线" w:hAnsi="等线"/>
          <w:color w:val="FF0000"/>
          <w:lang w:val="en-US" w:eastAsia="zh-CN"/>
        </w:rPr>
        <w:t>正当防卫阻却违法</w:t>
      </w:r>
      <w:r>
        <w:rPr>
          <w:rFonts w:hint="eastAsia" w:ascii="等线" w:hAnsi="等线"/>
          <w:lang w:eastAsia="zh-CN"/>
        </w:rPr>
        <w:t>）</w:t>
      </w:r>
    </w:p>
    <w:p w14:paraId="7CEDC786">
      <w:pPr>
        <w:spacing w:line="276" w:lineRule="auto"/>
        <w:ind w:left="-420" w:leftChars="-200"/>
        <w:rPr>
          <w:rFonts w:hint="eastAsia" w:ascii="等线" w:hAnsi="等线" w:eastAsia="宋体"/>
          <w:b/>
          <w:lang w:eastAsia="zh-CN"/>
        </w:rPr>
      </w:pPr>
      <w:r>
        <w:rPr>
          <w:rFonts w:hint="eastAsia" w:ascii="等线" w:hAnsi="等线"/>
          <w:b/>
        </w:rPr>
        <w:t xml:space="preserve">    （二）紧急避险</w:t>
      </w:r>
    </w:p>
    <w:p w14:paraId="3A3731A3">
      <w:pPr>
        <w:spacing w:line="276" w:lineRule="auto"/>
        <w:ind w:left="-420" w:leftChars="-200"/>
        <w:rPr>
          <w:rFonts w:hint="eastAsia" w:ascii="宋体" w:hAnsi="宋体" w:eastAsia="宋体"/>
          <w:color w:val="0000FF"/>
          <w:lang w:eastAsia="zh-CN"/>
        </w:rPr>
      </w:pPr>
      <w:r>
        <w:rPr>
          <w:rFonts w:hint="eastAsia" w:ascii="等线" w:hAnsi="等线"/>
          <w:b/>
        </w:rPr>
        <w:t xml:space="preserve">   </w:t>
      </w:r>
      <w:r>
        <w:rPr>
          <w:rFonts w:hint="eastAsia" w:ascii="等线" w:hAnsi="等线"/>
        </w:rPr>
        <w:t xml:space="preserve"> </w:t>
      </w:r>
      <w:r>
        <w:rPr>
          <w:rFonts w:hint="eastAsia" w:ascii="等线" w:hAnsi="等线"/>
          <w:lang w:val="en-US" w:eastAsia="zh-CN"/>
        </w:rPr>
        <w:t>1</w:t>
      </w:r>
      <w:r>
        <w:rPr>
          <w:rFonts w:hint="eastAsia" w:ascii="宋体" w:hAnsi="宋体"/>
        </w:rPr>
        <w:t>.</w:t>
      </w:r>
      <w:r>
        <w:rPr>
          <w:rFonts w:hint="eastAsia" w:ascii="宋体" w:hAnsi="宋体"/>
          <w:u w:val="single"/>
        </w:rPr>
        <w:t>如果险情系人为原因引起，则由</w:t>
      </w:r>
      <w:r>
        <w:rPr>
          <w:rFonts w:hint="eastAsia" w:ascii="宋体" w:hAnsi="宋体"/>
          <w:color w:val="FF0000"/>
          <w:u w:val="single"/>
        </w:rPr>
        <w:t>引起险情之人承担赔偿责任</w:t>
      </w:r>
      <w:r>
        <w:rPr>
          <w:rFonts w:hint="eastAsia" w:ascii="宋体" w:hAnsi="宋体"/>
        </w:rPr>
        <w:t>。</w:t>
      </w:r>
      <w:r>
        <w:rPr>
          <w:rFonts w:hint="eastAsia" w:ascii="宋体" w:hAnsi="宋体"/>
          <w:color w:val="0000FF"/>
          <w:lang w:eastAsia="zh-CN"/>
        </w:rPr>
        <w:t>（</w:t>
      </w:r>
      <w:r>
        <w:rPr>
          <w:rFonts w:hint="eastAsia" w:ascii="宋体" w:hAnsi="宋体"/>
          <w:color w:val="0000FF"/>
          <w:lang w:val="en-US" w:eastAsia="zh-CN"/>
        </w:rPr>
        <w:t>正当防卫存在不法侵害，针对侵害人；紧急避险针对他人</w:t>
      </w:r>
      <w:r>
        <w:rPr>
          <w:rFonts w:hint="eastAsia" w:ascii="宋体" w:hAnsi="宋体"/>
          <w:color w:val="0000FF"/>
          <w:lang w:eastAsia="zh-CN"/>
        </w:rPr>
        <w:t>）</w:t>
      </w:r>
    </w:p>
    <w:p w14:paraId="10EFE6EA">
      <w:pPr>
        <w:spacing w:line="276" w:lineRule="auto"/>
        <w:ind w:left="-420" w:leftChars="-200" w:firstLine="420"/>
        <w:rPr>
          <w:rFonts w:hint="eastAsia" w:ascii="等线" w:hAnsi="等线"/>
        </w:rPr>
      </w:pPr>
      <w:r>
        <w:rPr>
          <w:rFonts w:hint="eastAsia" w:ascii="宋体" w:hAnsi="宋体"/>
          <w:lang w:val="en-US" w:eastAsia="zh-CN"/>
        </w:rPr>
        <w:t>2</w:t>
      </w:r>
      <w:r>
        <w:rPr>
          <w:rFonts w:hint="eastAsia" w:ascii="宋体" w:hAnsi="宋体"/>
        </w:rPr>
        <w:t>.如果险情由</w:t>
      </w:r>
      <w:r>
        <w:rPr>
          <w:rFonts w:hint="eastAsia" w:ascii="宋体" w:hAnsi="宋体"/>
          <w:u w:val="single"/>
        </w:rPr>
        <w:t>自然</w:t>
      </w:r>
      <w:r>
        <w:rPr>
          <w:rFonts w:hint="eastAsia" w:ascii="等线" w:hAnsi="等线"/>
          <w:u w:val="single"/>
        </w:rPr>
        <w:t>原因</w:t>
      </w:r>
      <w:r>
        <w:rPr>
          <w:rFonts w:hint="eastAsia" w:ascii="等线" w:hAnsi="等线"/>
        </w:rPr>
        <w:t>引起，则由</w:t>
      </w:r>
      <w:r>
        <w:rPr>
          <w:rFonts w:hint="eastAsia" w:ascii="等线" w:hAnsi="等线"/>
          <w:u w:val="single"/>
        </w:rPr>
        <w:t>受益人</w:t>
      </w:r>
      <w:r>
        <w:rPr>
          <w:rFonts w:hint="eastAsia" w:ascii="等线" w:hAnsi="等线"/>
        </w:rPr>
        <w:t>（可能是行为人本人）对受害人加以</w:t>
      </w:r>
      <w:r>
        <w:rPr>
          <w:rFonts w:hint="eastAsia" w:ascii="等线" w:hAnsi="等线"/>
          <w:color w:val="FF0000"/>
          <w:u w:val="single"/>
        </w:rPr>
        <w:t>适当补偿</w:t>
      </w:r>
      <w:r>
        <w:rPr>
          <w:rFonts w:hint="eastAsia" w:ascii="等线" w:hAnsi="等线"/>
          <w:color w:val="FF0000"/>
          <w:u w:val="single"/>
          <w:lang w:eastAsia="zh-CN"/>
        </w:rPr>
        <w:t>（</w:t>
      </w:r>
      <w:r>
        <w:rPr>
          <w:rFonts w:hint="eastAsia" w:ascii="等线" w:hAnsi="等线"/>
          <w:color w:val="FF0000"/>
          <w:u w:val="single"/>
          <w:lang w:val="en-US" w:eastAsia="zh-CN"/>
        </w:rPr>
        <w:t>基于公平原则</w:t>
      </w:r>
      <w:r>
        <w:rPr>
          <w:rFonts w:hint="eastAsia" w:ascii="等线" w:hAnsi="等线"/>
          <w:color w:val="FF0000"/>
          <w:u w:val="single"/>
          <w:lang w:eastAsia="zh-CN"/>
        </w:rPr>
        <w:t>）</w:t>
      </w:r>
      <w:r>
        <w:rPr>
          <w:rFonts w:hint="eastAsia" w:ascii="等线" w:hAnsi="等线"/>
          <w:color w:val="FF0000"/>
        </w:rPr>
        <w:t>。</w:t>
      </w:r>
    </w:p>
    <w:p w14:paraId="5889FAEF">
      <w:pPr>
        <w:spacing w:line="276" w:lineRule="auto"/>
        <w:ind w:left="-420" w:leftChars="-200" w:firstLine="420"/>
        <w:rPr>
          <w:rFonts w:hint="eastAsia" w:ascii="宋体" w:hAnsi="宋体"/>
        </w:rPr>
      </w:pPr>
      <w:r>
        <w:rPr>
          <w:rFonts w:hint="eastAsia" w:ascii="宋体" w:hAnsi="宋体"/>
          <w:lang w:val="en-US" w:eastAsia="zh-CN"/>
        </w:rPr>
        <w:t>3.</w:t>
      </w:r>
      <w:r>
        <w:rPr>
          <w:rFonts w:hint="eastAsia" w:ascii="宋体" w:hAnsi="宋体"/>
        </w:rPr>
        <w:t>紧急避险采取措施不当或者超过必要的限度，造成不应有的损害的，紧急避险人应当承担适当的民事责任</w:t>
      </w:r>
    </w:p>
    <w:tbl>
      <w:tblPr>
        <w:tblStyle w:val="8"/>
        <w:tblW w:w="8505" w:type="dxa"/>
        <w:jc w:val="center"/>
        <w:tblBorders>
          <w:top w:val="single" w:color="9D061F" w:sz="8" w:space="0"/>
          <w:left w:val="single" w:color="9D061F" w:sz="8" w:space="0"/>
          <w:bottom w:val="single" w:color="9D061F" w:sz="8" w:space="0"/>
          <w:right w:val="single" w:color="9D061F" w:sz="8" w:space="0"/>
          <w:insideH w:val="single" w:color="9D061F" w:sz="8" w:space="0"/>
          <w:insideV w:val="single" w:color="9D061F" w:sz="8" w:space="0"/>
        </w:tblBorders>
        <w:tblLayout w:type="autofit"/>
        <w:tblCellMar>
          <w:top w:w="0" w:type="dxa"/>
          <w:left w:w="57" w:type="dxa"/>
          <w:bottom w:w="0" w:type="dxa"/>
          <w:right w:w="0" w:type="dxa"/>
        </w:tblCellMar>
      </w:tblPr>
      <w:tblGrid>
        <w:gridCol w:w="2825"/>
        <w:gridCol w:w="2552"/>
        <w:gridCol w:w="3128"/>
      </w:tblGrid>
      <w:tr w14:paraId="559DC63F">
        <w:tblPrEx>
          <w:tblBorders>
            <w:top w:val="single" w:color="9D061F" w:sz="8" w:space="0"/>
            <w:left w:val="single" w:color="9D061F" w:sz="8" w:space="0"/>
            <w:bottom w:val="single" w:color="9D061F" w:sz="8" w:space="0"/>
            <w:right w:val="single" w:color="9D061F" w:sz="8" w:space="0"/>
            <w:insideH w:val="single" w:color="9D061F" w:sz="8" w:space="0"/>
            <w:insideV w:val="single" w:color="9D061F" w:sz="8" w:space="0"/>
          </w:tblBorders>
          <w:tblCellMar>
            <w:top w:w="0" w:type="dxa"/>
            <w:left w:w="57" w:type="dxa"/>
            <w:bottom w:w="0" w:type="dxa"/>
            <w:right w:w="0" w:type="dxa"/>
          </w:tblCellMar>
        </w:tblPrEx>
        <w:trPr>
          <w:jc w:val="center"/>
        </w:trPr>
        <w:tc>
          <w:tcPr>
            <w:tcW w:w="2825" w:type="dxa"/>
            <w:noWrap w:val="0"/>
            <w:vAlign w:val="center"/>
          </w:tcPr>
          <w:p w14:paraId="698870B5">
            <w:pPr>
              <w:tabs>
                <w:tab w:val="left" w:pos="420"/>
              </w:tabs>
              <w:spacing w:before="31" w:beforeLines="10" w:after="62" w:afterLines="20" w:line="280" w:lineRule="exact"/>
              <w:ind w:firstLine="420"/>
              <w:jc w:val="center"/>
              <w:rPr>
                <w:rFonts w:ascii="Times New Roman" w:hAnsi="Times New Roman" w:cs="Times New Roman"/>
              </w:rPr>
            </w:pPr>
          </w:p>
        </w:tc>
        <w:tc>
          <w:tcPr>
            <w:tcW w:w="2552" w:type="dxa"/>
            <w:noWrap w:val="0"/>
            <w:vAlign w:val="center"/>
          </w:tcPr>
          <w:p w14:paraId="6A754EED">
            <w:pPr>
              <w:tabs>
                <w:tab w:val="left" w:pos="420"/>
              </w:tabs>
              <w:spacing w:before="31" w:beforeLines="10" w:after="62" w:afterLines="20" w:line="280" w:lineRule="exact"/>
              <w:ind w:firstLine="0" w:firstLineChars="0"/>
              <w:jc w:val="center"/>
              <w:rPr>
                <w:rFonts w:ascii="汉仪书宋一简" w:eastAsia="汉仪中黑简"/>
                <w:bCs/>
                <w:iCs/>
                <w:color w:val="000000"/>
                <w:kern w:val="0"/>
                <w:sz w:val="20"/>
              </w:rPr>
            </w:pPr>
            <w:r>
              <w:rPr>
                <w:rFonts w:ascii="汉仪书宋一简" w:eastAsia="汉仪中黑简"/>
                <w:bCs/>
                <w:iCs/>
                <w:color w:val="000000"/>
                <w:kern w:val="0"/>
                <w:sz w:val="20"/>
              </w:rPr>
              <w:t>正当防卫</w:t>
            </w:r>
          </w:p>
        </w:tc>
        <w:tc>
          <w:tcPr>
            <w:tcW w:w="3128" w:type="dxa"/>
            <w:noWrap w:val="0"/>
            <w:vAlign w:val="center"/>
          </w:tcPr>
          <w:p w14:paraId="2AD265EB">
            <w:pPr>
              <w:tabs>
                <w:tab w:val="left" w:pos="420"/>
              </w:tabs>
              <w:spacing w:before="31" w:beforeLines="10" w:after="62" w:afterLines="20" w:line="280" w:lineRule="exact"/>
              <w:ind w:firstLine="0" w:firstLineChars="0"/>
              <w:jc w:val="center"/>
              <w:rPr>
                <w:rFonts w:ascii="汉仪书宋一简" w:eastAsia="汉仪中黑简"/>
                <w:bCs/>
                <w:iCs/>
                <w:color w:val="000000"/>
                <w:kern w:val="0"/>
                <w:sz w:val="20"/>
              </w:rPr>
            </w:pPr>
            <w:r>
              <w:rPr>
                <w:rFonts w:ascii="汉仪书宋一简" w:eastAsia="汉仪中黑简"/>
                <w:bCs/>
                <w:iCs/>
                <w:color w:val="000000"/>
                <w:kern w:val="0"/>
                <w:sz w:val="20"/>
              </w:rPr>
              <w:t>紧急避险</w:t>
            </w:r>
          </w:p>
        </w:tc>
      </w:tr>
      <w:tr w14:paraId="1522F438">
        <w:tblPrEx>
          <w:tblBorders>
            <w:top w:val="single" w:color="9D061F" w:sz="8" w:space="0"/>
            <w:left w:val="single" w:color="9D061F" w:sz="8" w:space="0"/>
            <w:bottom w:val="single" w:color="9D061F" w:sz="8" w:space="0"/>
            <w:right w:val="single" w:color="9D061F" w:sz="8" w:space="0"/>
            <w:insideH w:val="single" w:color="9D061F" w:sz="8" w:space="0"/>
            <w:insideV w:val="single" w:color="9D061F" w:sz="8" w:space="0"/>
          </w:tblBorders>
          <w:tblCellMar>
            <w:top w:w="0" w:type="dxa"/>
            <w:left w:w="57" w:type="dxa"/>
            <w:bottom w:w="0" w:type="dxa"/>
            <w:right w:w="0" w:type="dxa"/>
          </w:tblCellMar>
        </w:tblPrEx>
        <w:trPr>
          <w:jc w:val="center"/>
        </w:trPr>
        <w:tc>
          <w:tcPr>
            <w:tcW w:w="2825" w:type="dxa"/>
            <w:noWrap w:val="0"/>
            <w:vAlign w:val="center"/>
          </w:tcPr>
          <w:p w14:paraId="645FF706">
            <w:pPr>
              <w:tabs>
                <w:tab w:val="left" w:pos="420"/>
              </w:tabs>
              <w:spacing w:before="31" w:beforeLines="10" w:after="62" w:afterLines="20" w:line="280" w:lineRule="exact"/>
              <w:ind w:firstLine="0" w:firstLineChars="0"/>
              <w:jc w:val="center"/>
              <w:rPr>
                <w:rFonts w:ascii="汉仪书宋一简" w:eastAsia="汉仪中黑简"/>
                <w:bCs/>
                <w:iCs/>
                <w:color w:val="000000"/>
                <w:kern w:val="0"/>
                <w:sz w:val="20"/>
              </w:rPr>
            </w:pPr>
            <w:r>
              <w:rPr>
                <w:rFonts w:ascii="汉仪书宋一简" w:eastAsia="汉仪中黑简"/>
                <w:bCs/>
                <w:iCs/>
                <w:color w:val="000000"/>
                <w:kern w:val="0"/>
                <w:sz w:val="20"/>
              </w:rPr>
              <w:t>权益侵害发生的因</w:t>
            </w:r>
          </w:p>
        </w:tc>
        <w:tc>
          <w:tcPr>
            <w:tcW w:w="2552" w:type="dxa"/>
            <w:noWrap w:val="0"/>
            <w:vAlign w:val="center"/>
          </w:tcPr>
          <w:p w14:paraId="08C3DD19">
            <w:pPr>
              <w:tabs>
                <w:tab w:val="left" w:pos="420"/>
              </w:tabs>
              <w:spacing w:before="31" w:beforeLines="10" w:after="62" w:afterLines="20" w:line="280" w:lineRule="exact"/>
              <w:ind w:firstLine="0" w:firstLineChars="0"/>
              <w:jc w:val="left"/>
              <w:rPr>
                <w:rFonts w:ascii="汉仪书宋一简" w:eastAsia="汉仪书宋一简"/>
                <w:iCs/>
                <w:color w:val="000000"/>
                <w:kern w:val="0"/>
                <w:sz w:val="20"/>
              </w:rPr>
            </w:pPr>
            <w:r>
              <w:rPr>
                <w:rFonts w:ascii="汉仪书宋一简" w:eastAsia="汉仪书宋一简"/>
                <w:iCs/>
                <w:color w:val="000000"/>
                <w:kern w:val="0"/>
                <w:sz w:val="20"/>
              </w:rPr>
              <w:t>不法侵害行为</w:t>
            </w:r>
          </w:p>
        </w:tc>
        <w:tc>
          <w:tcPr>
            <w:tcW w:w="3128" w:type="dxa"/>
            <w:noWrap w:val="0"/>
            <w:vAlign w:val="center"/>
          </w:tcPr>
          <w:p w14:paraId="256D163B">
            <w:pPr>
              <w:tabs>
                <w:tab w:val="left" w:pos="420"/>
              </w:tabs>
              <w:spacing w:before="31" w:beforeLines="10" w:after="62" w:afterLines="20" w:line="280" w:lineRule="exact"/>
              <w:ind w:firstLine="0" w:firstLineChars="0"/>
              <w:jc w:val="left"/>
              <w:rPr>
                <w:rFonts w:ascii="汉仪书宋一简" w:eastAsia="汉仪书宋一简"/>
                <w:iCs/>
                <w:color w:val="000000"/>
                <w:kern w:val="0"/>
                <w:sz w:val="20"/>
              </w:rPr>
            </w:pPr>
            <w:r>
              <w:rPr>
                <w:rFonts w:ascii="汉仪书宋一简" w:eastAsia="汉仪书宋一简"/>
                <w:iCs/>
                <w:color w:val="000000"/>
                <w:kern w:val="0"/>
                <w:sz w:val="20"/>
              </w:rPr>
              <w:t>不法侵害行为、自然原因等</w:t>
            </w:r>
          </w:p>
        </w:tc>
      </w:tr>
      <w:tr w14:paraId="1B6B45C5">
        <w:tblPrEx>
          <w:tblBorders>
            <w:top w:val="single" w:color="9D061F" w:sz="8" w:space="0"/>
            <w:left w:val="single" w:color="9D061F" w:sz="8" w:space="0"/>
            <w:bottom w:val="single" w:color="9D061F" w:sz="8" w:space="0"/>
            <w:right w:val="single" w:color="9D061F" w:sz="8" w:space="0"/>
            <w:insideH w:val="single" w:color="9D061F" w:sz="8" w:space="0"/>
            <w:insideV w:val="single" w:color="9D061F" w:sz="8" w:space="0"/>
          </w:tblBorders>
          <w:tblCellMar>
            <w:top w:w="0" w:type="dxa"/>
            <w:left w:w="57" w:type="dxa"/>
            <w:bottom w:w="0" w:type="dxa"/>
            <w:right w:w="0" w:type="dxa"/>
          </w:tblCellMar>
        </w:tblPrEx>
        <w:trPr>
          <w:jc w:val="center"/>
        </w:trPr>
        <w:tc>
          <w:tcPr>
            <w:tcW w:w="2825" w:type="dxa"/>
            <w:noWrap w:val="0"/>
            <w:vAlign w:val="center"/>
          </w:tcPr>
          <w:p w14:paraId="2A19300E">
            <w:pPr>
              <w:tabs>
                <w:tab w:val="left" w:pos="420"/>
              </w:tabs>
              <w:spacing w:before="31" w:beforeLines="10" w:after="62" w:afterLines="20" w:line="280" w:lineRule="exact"/>
              <w:ind w:firstLine="0" w:firstLineChars="0"/>
              <w:jc w:val="center"/>
              <w:rPr>
                <w:rFonts w:ascii="汉仪书宋一简" w:eastAsia="汉仪中黑简"/>
                <w:bCs/>
                <w:iCs/>
                <w:color w:val="000000"/>
                <w:kern w:val="0"/>
                <w:sz w:val="20"/>
              </w:rPr>
            </w:pPr>
            <w:r>
              <w:rPr>
                <w:rFonts w:ascii="汉仪书宋一简" w:eastAsia="汉仪中黑简"/>
                <w:bCs/>
                <w:iCs/>
                <w:color w:val="000000"/>
                <w:kern w:val="0"/>
                <w:sz w:val="20"/>
              </w:rPr>
              <w:t>防卫人或避险人侵害的对象</w:t>
            </w:r>
          </w:p>
        </w:tc>
        <w:tc>
          <w:tcPr>
            <w:tcW w:w="2552" w:type="dxa"/>
            <w:noWrap w:val="0"/>
            <w:vAlign w:val="center"/>
          </w:tcPr>
          <w:p w14:paraId="0DA88D80">
            <w:pPr>
              <w:tabs>
                <w:tab w:val="left" w:pos="420"/>
              </w:tabs>
              <w:spacing w:before="31" w:beforeLines="10" w:after="62" w:afterLines="20" w:line="280" w:lineRule="exact"/>
              <w:ind w:firstLine="0" w:firstLineChars="0"/>
              <w:jc w:val="left"/>
              <w:rPr>
                <w:rFonts w:ascii="汉仪书宋一简" w:eastAsia="汉仪书宋一简"/>
                <w:iCs/>
                <w:color w:val="000000"/>
                <w:kern w:val="0"/>
                <w:sz w:val="20"/>
              </w:rPr>
            </w:pPr>
            <w:r>
              <w:rPr>
                <w:rFonts w:ascii="汉仪书宋一简" w:eastAsia="汉仪书宋一简"/>
                <w:iCs/>
                <w:color w:val="000000"/>
                <w:kern w:val="0"/>
                <w:sz w:val="20"/>
              </w:rPr>
              <w:t>防卫人侵害的是不法侵害人的人身及其所用之物</w:t>
            </w:r>
          </w:p>
        </w:tc>
        <w:tc>
          <w:tcPr>
            <w:tcW w:w="3128" w:type="dxa"/>
            <w:noWrap w:val="0"/>
            <w:vAlign w:val="center"/>
          </w:tcPr>
          <w:p w14:paraId="00B18303">
            <w:pPr>
              <w:tabs>
                <w:tab w:val="left" w:pos="420"/>
              </w:tabs>
              <w:spacing w:before="31" w:beforeLines="10" w:after="62" w:afterLines="20" w:line="280" w:lineRule="exact"/>
              <w:ind w:firstLine="0" w:firstLineChars="0"/>
              <w:jc w:val="left"/>
              <w:rPr>
                <w:rFonts w:ascii="汉仪书宋一简" w:eastAsia="汉仪书宋一简"/>
                <w:iCs/>
                <w:color w:val="000000"/>
                <w:kern w:val="0"/>
                <w:sz w:val="20"/>
              </w:rPr>
            </w:pPr>
            <w:r>
              <w:rPr>
                <w:rFonts w:ascii="汉仪书宋一简" w:eastAsia="汉仪书宋一简"/>
                <w:iCs/>
                <w:color w:val="000000"/>
                <w:kern w:val="0"/>
                <w:sz w:val="20"/>
              </w:rPr>
              <w:t>避险人侵害的并非不法侵害人的权益，而是侵害他人的权益</w:t>
            </w:r>
          </w:p>
        </w:tc>
      </w:tr>
    </w:tbl>
    <w:p w14:paraId="3623B2E9">
      <w:pPr>
        <w:spacing w:line="276" w:lineRule="auto"/>
        <w:ind w:left="-420" w:leftChars="-200" w:firstLine="420"/>
        <w:rPr>
          <w:rFonts w:hint="eastAsia" w:ascii="宋体" w:hAnsi="宋体"/>
        </w:rPr>
      </w:pPr>
    </w:p>
    <w:p w14:paraId="62F0A5C4">
      <w:pPr>
        <w:spacing w:line="276" w:lineRule="auto"/>
        <w:ind w:left="-420" w:leftChars="-200" w:firstLine="422" w:firstLineChars="200"/>
        <w:rPr>
          <w:rFonts w:hint="eastAsia" w:ascii="等线" w:hAnsi="等线"/>
          <w:b/>
          <w:lang w:val="en-US" w:eastAsia="zh-CN"/>
        </w:rPr>
      </w:pPr>
      <w:r>
        <w:rPr>
          <w:rFonts w:hint="eastAsia" w:ascii="等线" w:hAnsi="等线"/>
          <w:b/>
          <w:lang w:eastAsia="zh-CN"/>
        </w:rPr>
        <w:t>（</w:t>
      </w:r>
      <w:r>
        <w:rPr>
          <w:rFonts w:hint="eastAsia" w:ascii="等线" w:hAnsi="等线"/>
          <w:b/>
          <w:lang w:val="en-US" w:eastAsia="zh-CN"/>
        </w:rPr>
        <w:t>三</w:t>
      </w:r>
      <w:r>
        <w:rPr>
          <w:rFonts w:hint="eastAsia" w:ascii="等线" w:hAnsi="等线"/>
          <w:b/>
          <w:lang w:eastAsia="zh-CN"/>
        </w:rPr>
        <w:t>）</w:t>
      </w:r>
      <w:r>
        <w:rPr>
          <w:rFonts w:hint="eastAsia" w:ascii="等线" w:hAnsi="等线"/>
          <w:b/>
          <w:lang w:val="en-US" w:eastAsia="zh-CN"/>
        </w:rPr>
        <w:t xml:space="preserve">自助行为 </w:t>
      </w:r>
    </w:p>
    <w:p w14:paraId="5B47F34C">
      <w:pPr>
        <w:spacing w:line="276" w:lineRule="auto"/>
        <w:ind w:left="-420" w:leftChars="-200" w:firstLine="420" w:firstLineChars="200"/>
        <w:rPr>
          <w:rFonts w:hint="eastAsia" w:ascii="宋体" w:hAnsi="宋体"/>
        </w:rPr>
      </w:pPr>
      <w:r>
        <w:rPr>
          <w:rFonts w:hint="eastAsia" w:ascii="宋体" w:hAnsi="宋体"/>
        </w:rPr>
        <w:t>合法权益受到侵害，</w:t>
      </w:r>
      <w:r>
        <w:rPr>
          <w:rFonts w:hint="eastAsia" w:ascii="宋体" w:hAnsi="宋体"/>
          <w:color w:val="FF0000"/>
        </w:rPr>
        <w:t>情况紧迫且不能及时获得国家机关保护，不立即采取措施将使其合法权益受到难以弥补的损害的，受害人可以在保护自己合法权益的必要范围内采取扣留侵权人的财物等合理措施</w:t>
      </w:r>
      <w:r>
        <w:rPr>
          <w:rFonts w:hint="eastAsia" w:ascii="宋体" w:hAnsi="宋体"/>
        </w:rPr>
        <w:t>；但是，应当立即请求有关国家机关处理。</w:t>
      </w:r>
    </w:p>
    <w:p w14:paraId="003B96F2">
      <w:pPr>
        <w:spacing w:line="276" w:lineRule="auto"/>
        <w:ind w:left="-420" w:leftChars="-200" w:firstLine="420" w:firstLineChars="200"/>
        <w:rPr>
          <w:rFonts w:hint="eastAsia" w:ascii="宋体" w:hAnsi="宋体" w:eastAsia="汉仪中黑简"/>
          <w:lang w:eastAsia="zh-CN"/>
        </w:rPr>
      </w:pPr>
      <w:r>
        <w:rPr>
          <w:rFonts w:ascii="汉仪书宋二简" w:eastAsia="汉仪中黑简"/>
          <w:color w:val="9D061F"/>
          <w:kern w:val="0"/>
        </w:rPr>
        <w:t>构成自助行为时，可以阻却违法性，</w:t>
      </w:r>
      <w:r>
        <w:rPr>
          <w:rFonts w:hint="eastAsia" w:ascii="汉仪书宋二简" w:eastAsia="汉仪中黑简"/>
          <w:color w:val="9D061F"/>
          <w:kern w:val="0"/>
        </w:rPr>
        <w:t>针对</w:t>
      </w:r>
      <w:r>
        <w:rPr>
          <w:rFonts w:ascii="汉仪书宋二简" w:eastAsia="汉仪中黑简"/>
          <w:color w:val="9D061F"/>
          <w:kern w:val="0"/>
        </w:rPr>
        <w:t>该自助行为所造成的人身财产损害，行为人无须承担赔偿责任</w:t>
      </w:r>
      <w:r>
        <w:rPr>
          <w:rFonts w:hint="eastAsia" w:ascii="汉仪书宋二简" w:eastAsia="汉仪中黑简"/>
          <w:color w:val="9D061F"/>
          <w:kern w:val="0"/>
          <w:lang w:eastAsia="zh-CN"/>
        </w:rPr>
        <w:t>。</w:t>
      </w:r>
    </w:p>
    <w:p w14:paraId="421B62CB">
      <w:pPr>
        <w:pStyle w:val="6"/>
        <w:spacing w:line="276" w:lineRule="auto"/>
        <w:rPr>
          <w:rFonts w:ascii="宋体" w:hAnsi="宋体"/>
          <w:b/>
          <w:szCs w:val="28"/>
        </w:rPr>
      </w:pPr>
      <w:bookmarkStart w:id="1" w:name="_Toc534638279"/>
      <w:bookmarkStart w:id="2" w:name="_Toc33346098"/>
      <w:bookmarkStart w:id="3" w:name="_Toc4856983"/>
      <w:bookmarkStart w:id="4" w:name="_Toc13321"/>
      <w:bookmarkStart w:id="5" w:name="_Toc536382646"/>
      <w:bookmarkStart w:id="6" w:name="_Toc534638253"/>
      <w:r>
        <w:rPr>
          <w:rFonts w:hint="eastAsia"/>
          <w:color w:val="auto"/>
          <w:sz w:val="36"/>
          <w:szCs w:val="36"/>
        </w:rPr>
        <w:t>考点2  自然人</w:t>
      </w:r>
      <w:bookmarkEnd w:id="1"/>
      <w:bookmarkEnd w:id="2"/>
      <w:bookmarkEnd w:id="3"/>
      <w:bookmarkEnd w:id="4"/>
      <w:bookmarkEnd w:id="5"/>
      <w:bookmarkEnd w:id="6"/>
    </w:p>
    <w:p w14:paraId="53EF477B">
      <w:pPr>
        <w:spacing w:line="276" w:lineRule="auto"/>
        <w:ind w:firstLine="422" w:firstLineChars="200"/>
        <w:jc w:val="left"/>
        <w:outlineLvl w:val="1"/>
        <w:rPr>
          <w:rFonts w:cs="Arial"/>
        </w:rPr>
      </w:pPr>
      <w:r>
        <w:rPr>
          <w:rFonts w:hint="eastAsia" w:ascii="宋体" w:hAnsi="宋体"/>
          <w:b/>
          <w:szCs w:val="21"/>
          <w:lang w:val="en-US" w:eastAsia="zh-CN"/>
        </w:rPr>
        <w:t>一、</w:t>
      </w:r>
      <w:r>
        <w:rPr>
          <w:rFonts w:hint="eastAsia" w:ascii="宋体" w:hAnsi="宋体"/>
          <w:b/>
          <w:szCs w:val="21"/>
        </w:rPr>
        <w:t>胎儿利益保护</w:t>
      </w:r>
    </w:p>
    <w:p w14:paraId="2063B0EC">
      <w:pPr>
        <w:spacing w:line="276" w:lineRule="auto"/>
        <w:ind w:firstLine="420"/>
        <w:rPr>
          <w:rFonts w:ascii="宋体" w:hAnsi="宋体" w:cs="Arial"/>
        </w:rPr>
      </w:pPr>
      <w:r>
        <w:rPr>
          <w:rFonts w:hint="eastAsia" w:cs="Arial"/>
          <w:lang w:val="en-US" w:eastAsia="zh-CN"/>
        </w:rPr>
        <w:t>权利能力原则始于出生，终于死亡。</w:t>
      </w:r>
      <w:r>
        <w:rPr>
          <w:rFonts w:hint="eastAsia" w:cs="Arial"/>
        </w:rPr>
        <w:t>根据《民法</w:t>
      </w:r>
      <w:r>
        <w:rPr>
          <w:rFonts w:hint="eastAsia" w:ascii="宋体" w:hAnsi="宋体" w:cs="Arial"/>
        </w:rPr>
        <w:t>总则》第16条规定，胎儿只有在同时满足下列两个条件时，才能视为具有民事权利能力：</w:t>
      </w:r>
    </w:p>
    <w:p w14:paraId="7C6F76D4">
      <w:pPr>
        <w:spacing w:line="276" w:lineRule="auto"/>
        <w:ind w:firstLine="420" w:firstLineChars="200"/>
        <w:rPr>
          <w:rFonts w:hint="default" w:ascii="宋体" w:hAnsi="宋体" w:eastAsia="宋体" w:cs="Arial"/>
          <w:b/>
          <w:bCs/>
          <w:color w:val="FF0000"/>
          <w:lang w:val="en-US" w:eastAsia="zh-CN"/>
        </w:rPr>
      </w:pPr>
      <w:r>
        <w:rPr>
          <w:rFonts w:ascii="宋体" w:hAnsi="宋体" w:cs="Arial"/>
        </w:rPr>
        <w:t>1.</w:t>
      </w:r>
      <w:r>
        <w:rPr>
          <w:rFonts w:hint="eastAsia" w:ascii="宋体" w:hAnsi="宋体" w:cs="Arial"/>
          <w:u w:val="single"/>
        </w:rPr>
        <w:t>涉及遗产继承、接受赠与等胎儿利益保护</w:t>
      </w:r>
      <w:r>
        <w:rPr>
          <w:rFonts w:hint="eastAsia" w:ascii="宋体" w:hAnsi="宋体" w:cs="Arial"/>
        </w:rPr>
        <w:t>。</w:t>
      </w:r>
      <w:r>
        <w:rPr>
          <w:rFonts w:hint="eastAsia" w:ascii="宋体" w:hAnsi="宋体" w:cs="Arial"/>
          <w:b/>
          <w:bCs/>
          <w:color w:val="FF0000"/>
          <w:lang w:val="en-US" w:eastAsia="zh-CN"/>
        </w:rPr>
        <w:t>包括继承的特留份（为胎儿特留、胎儿顺利出生可以取得遗产）、接受赠与、对胎儿侵权</w:t>
      </w:r>
    </w:p>
    <w:p w14:paraId="51DF8A98">
      <w:pPr>
        <w:spacing w:line="276" w:lineRule="auto"/>
        <w:ind w:firstLine="420"/>
        <w:rPr>
          <w:rFonts w:hint="eastAsia" w:ascii="宋体" w:hAnsi="宋体" w:cs="Arial"/>
          <w:color w:val="000000"/>
          <w:lang w:val="en-US" w:eastAsia="zh-CN"/>
        </w:rPr>
      </w:pPr>
      <w:r>
        <w:rPr>
          <w:rFonts w:ascii="宋体" w:hAnsi="宋体" w:cs="Arial"/>
        </w:rPr>
        <w:t>2.</w:t>
      </w:r>
      <w:r>
        <w:rPr>
          <w:rFonts w:hint="eastAsia" w:ascii="宋体" w:hAnsi="宋体" w:cs="Arial"/>
          <w:u w:val="single"/>
        </w:rPr>
        <w:t>胎儿出生时为活体</w:t>
      </w:r>
      <w:r>
        <w:rPr>
          <w:rFonts w:hint="eastAsia" w:ascii="宋体" w:hAnsi="宋体" w:cs="Arial"/>
        </w:rPr>
        <w:t>。既包括出生后一直存活，也包括出生后即夭折的情形</w:t>
      </w:r>
      <w:r>
        <w:rPr>
          <w:rFonts w:hint="eastAsia" w:ascii="宋体" w:hAnsi="宋体" w:cs="Arial"/>
          <w:lang w:eastAsia="zh-CN"/>
        </w:rPr>
        <w:t>。</w:t>
      </w:r>
      <w:r>
        <w:rPr>
          <w:rFonts w:hint="eastAsia" w:ascii="宋体" w:hAnsi="宋体" w:cs="Arial"/>
          <w:color w:val="000000"/>
        </w:rPr>
        <w:t>如出生时即为死体，则自始没有权利能力</w:t>
      </w:r>
      <w:r>
        <w:rPr>
          <w:rFonts w:hint="eastAsia" w:ascii="宋体" w:hAnsi="宋体" w:cs="Arial"/>
          <w:color w:val="000000"/>
          <w:lang w:eastAsia="zh-CN"/>
        </w:rPr>
        <w:t>，</w:t>
      </w:r>
      <w:r>
        <w:rPr>
          <w:rFonts w:hint="eastAsia" w:ascii="宋体" w:hAnsi="宋体" w:cs="Arial"/>
          <w:color w:val="000000"/>
          <w:lang w:val="en-US" w:eastAsia="zh-CN"/>
        </w:rPr>
        <w:t>不可以取得继承的特留份</w:t>
      </w:r>
    </w:p>
    <w:p w14:paraId="2C9879BC">
      <w:pPr>
        <w:tabs>
          <w:tab w:val="left" w:pos="403"/>
          <w:tab w:val="left" w:pos="420"/>
        </w:tabs>
        <w:ind w:firstLine="420"/>
        <w:rPr>
          <w:rFonts w:hint="eastAsia" w:ascii="汉仪书宋二简" w:hAnsi="汉仪书宋二简" w:cs="汉仪书宋二简"/>
          <w:kern w:val="0"/>
        </w:rPr>
      </w:pPr>
      <w:r>
        <w:rPr>
          <w:rFonts w:hint="eastAsia" w:ascii="汉仪书宋二简" w:hAnsi="汉仪书宋二简" w:cs="汉仪书宋二简"/>
          <w:b/>
          <w:bCs/>
          <w:kern w:val="0"/>
          <w:lang w:eastAsia="zh-CN"/>
        </w:rPr>
        <w:tab/>
      </w:r>
      <w:r>
        <w:rPr>
          <w:rFonts w:hint="eastAsia" w:ascii="汉仪书宋二简" w:hAnsi="汉仪书宋二简" w:cs="汉仪书宋二简"/>
          <w:b/>
          <w:bCs/>
          <w:kern w:val="0"/>
          <w:lang w:val="en-US" w:eastAsia="zh-CN"/>
        </w:rPr>
        <w:t>二、</w:t>
      </w:r>
      <w:r>
        <w:rPr>
          <w:rFonts w:ascii="汉仪书宋二简" w:hAnsi="汉仪书宋二简" w:cs="汉仪书宋二简"/>
          <w:b/>
          <w:bCs/>
          <w:kern w:val="0"/>
        </w:rPr>
        <w:t>死者的人格利益保护</w:t>
      </w:r>
      <w:r>
        <w:rPr>
          <w:rFonts w:ascii="汉仪书宋二简" w:hAnsi="汉仪书宋二简" w:cs="汉仪书宋二简"/>
          <w:kern w:val="0"/>
        </w:rPr>
        <w:t>，现行法区分了两种情形：</w:t>
      </w:r>
    </w:p>
    <w:p w14:paraId="7B9597A4">
      <w:pPr>
        <w:tabs>
          <w:tab w:val="left" w:pos="420"/>
        </w:tabs>
        <w:ind w:firstLine="420"/>
        <w:rPr>
          <w:rFonts w:hint="eastAsia" w:ascii="汉仪书宋二简" w:hAnsi="汉仪书宋二简" w:cs="汉仪书宋二简"/>
          <w:kern w:val="0"/>
        </w:rPr>
      </w:pPr>
      <w:r>
        <w:rPr>
          <w:rFonts w:hint="eastAsia" w:ascii="汉仪书宋二简" w:hAnsi="汉仪书宋二简" w:cs="汉仪书宋二简"/>
          <w:kern w:val="0"/>
        </w:rPr>
        <w:t>（1）</w:t>
      </w:r>
      <w:r>
        <w:rPr>
          <w:rFonts w:ascii="汉仪书宋二简" w:hAnsi="汉仪书宋二简" w:cs="汉仪书宋二简"/>
          <w:kern w:val="0"/>
        </w:rPr>
        <w:t>一般的自然人死亡后，其姓名、肖像、名誉、荣誉、隐私、遗体等受到侵害</w:t>
      </w:r>
      <w:r>
        <w:rPr>
          <w:rFonts w:hint="eastAsia" w:ascii="汉仪书宋二简" w:hAnsi="汉仪书宋二简" w:cs="汉仪书宋二简"/>
          <w:kern w:val="0"/>
        </w:rPr>
        <w:t>的</w:t>
      </w:r>
      <w:r>
        <w:rPr>
          <w:rFonts w:ascii="汉仪书宋二简" w:hAnsi="汉仪书宋二简" w:cs="汉仪书宋二简"/>
          <w:kern w:val="0"/>
        </w:rPr>
        <w:t>时，其近亲属</w:t>
      </w:r>
      <w:r>
        <w:rPr>
          <w:rFonts w:hint="eastAsia" w:ascii="汉仪书宋二简" w:hAnsi="汉仪书宋二简" w:cs="汉仪书宋二简"/>
          <w:kern w:val="0"/>
        </w:rPr>
        <w:t>（配偶、父母、子女、兄弟姐妹、祖父母、外祖父母、孙子女、外孙子女）</w:t>
      </w:r>
      <w:r>
        <w:rPr>
          <w:rFonts w:ascii="汉仪书宋二简" w:hAnsi="汉仪书宋二简" w:cs="汉仪书宋二简"/>
          <w:kern w:val="0"/>
        </w:rPr>
        <w:t>可以按</w:t>
      </w:r>
      <w:r>
        <w:rPr>
          <w:rFonts w:hint="eastAsia" w:ascii="汉仪书宋二简" w:hAnsi="汉仪书宋二简" w:cs="汉仪书宋二简"/>
          <w:kern w:val="0"/>
        </w:rPr>
        <w:t>顺序</w:t>
      </w:r>
      <w:r>
        <w:rPr>
          <w:rFonts w:ascii="汉仪书宋二简" w:hAnsi="汉仪书宋二简" w:cs="汉仪书宋二简"/>
          <w:kern w:val="0"/>
        </w:rPr>
        <w:t>主张救济（《民法典》第994条）。</w:t>
      </w:r>
    </w:p>
    <w:p w14:paraId="1EA63577">
      <w:pPr>
        <w:spacing w:line="276" w:lineRule="auto"/>
        <w:ind w:firstLine="420"/>
        <w:rPr>
          <w:rFonts w:ascii="汉仪书宋二简" w:hAnsi="汉仪书宋二简" w:cs="汉仪书宋二简"/>
          <w:kern w:val="0"/>
        </w:rPr>
      </w:pPr>
      <w:r>
        <w:rPr>
          <w:rFonts w:hint="eastAsia" w:ascii="汉仪书宋二简" w:hAnsi="汉仪书宋二简" w:cs="汉仪书宋二简"/>
          <w:kern w:val="0"/>
        </w:rPr>
        <w:t>（2）</w:t>
      </w:r>
      <w:r>
        <w:rPr>
          <w:rFonts w:ascii="汉仪书宋二简" w:hAnsi="汉仪书宋二简" w:cs="汉仪书宋二简"/>
          <w:kern w:val="0"/>
        </w:rPr>
        <w:t>英雄烈士死亡后，其姓名、肖像、名誉、荣誉受侵害，并损害社会公共利益的，侵害人需要承担民事责任（《民法典》第185条）。英雄烈士死亡后的人格利益永远受保护。</w:t>
      </w:r>
    </w:p>
    <w:p w14:paraId="6FB623DA">
      <w:pPr>
        <w:spacing w:line="276" w:lineRule="auto"/>
        <w:ind w:firstLine="420"/>
        <w:rPr>
          <w:rFonts w:hint="default" w:ascii="汉仪书宋二简" w:hAnsi="汉仪书宋二简" w:eastAsia="宋体" w:cs="汉仪书宋二简"/>
          <w:kern w:val="0"/>
          <w:lang w:val="en-US" w:eastAsia="zh-CN"/>
        </w:rPr>
      </w:pPr>
      <w:r>
        <w:rPr>
          <w:rFonts w:hint="eastAsia" w:ascii="汉仪书宋二简" w:hAnsi="汉仪书宋二简" w:cs="汉仪书宋二简"/>
          <w:kern w:val="0"/>
          <w:lang w:val="en-US" w:eastAsia="zh-CN"/>
        </w:rPr>
        <w:t>检察院可公益诉讼</w:t>
      </w:r>
    </w:p>
    <w:p w14:paraId="5ABC2756">
      <w:pPr>
        <w:spacing w:line="276" w:lineRule="auto"/>
        <w:jc w:val="left"/>
        <w:outlineLvl w:val="1"/>
        <w:rPr>
          <w:rFonts w:ascii="宋体" w:hAnsi="宋体"/>
          <w:b/>
          <w:szCs w:val="21"/>
        </w:rPr>
      </w:pPr>
      <w:r>
        <w:rPr>
          <w:rFonts w:hint="eastAsia" w:ascii="宋体" w:hAnsi="宋体"/>
          <w:b/>
          <w:szCs w:val="21"/>
        </w:rPr>
        <w:t xml:space="preserve">     三、监护</w:t>
      </w:r>
    </w:p>
    <w:p w14:paraId="1125356E">
      <w:pPr>
        <w:spacing w:line="276" w:lineRule="auto"/>
        <w:outlineLvl w:val="2"/>
        <w:rPr>
          <w:rFonts w:ascii="宋体" w:hAnsi="宋体" w:cs="宋体"/>
          <w:b/>
          <w:kern w:val="0"/>
          <w:szCs w:val="21"/>
        </w:rPr>
      </w:pPr>
      <w:r>
        <w:rPr>
          <w:rFonts w:hint="eastAsia" w:ascii="宋体" w:hAnsi="宋体" w:cs="宋体"/>
          <w:b/>
          <w:kern w:val="0"/>
          <w:szCs w:val="21"/>
        </w:rPr>
        <w:t xml:space="preserve">    （一）监护人</w:t>
      </w:r>
      <w:r>
        <w:rPr>
          <w:rFonts w:ascii="宋体" w:hAnsi="宋体" w:cs="宋体"/>
          <w:b/>
          <w:kern w:val="0"/>
          <w:szCs w:val="21"/>
        </w:rPr>
        <w:t>的设立</w:t>
      </w:r>
    </w:p>
    <w:p w14:paraId="215EEFCC">
      <w:pPr>
        <w:spacing w:line="480" w:lineRule="auto"/>
        <w:ind w:firstLine="480"/>
        <w:rPr>
          <w:rFonts w:hint="eastAsia" w:ascii="宋体" w:hAnsi="宋体" w:cs="宋体"/>
          <w:b/>
          <w:bCs/>
          <w:kern w:val="0"/>
          <w:szCs w:val="21"/>
        </w:rPr>
      </w:pPr>
      <w:r>
        <w:rPr>
          <w:rFonts w:hint="eastAsia" w:ascii="宋体" w:hAnsi="宋体" w:cs="宋体"/>
          <w:b/>
          <w:bCs/>
          <w:kern w:val="0"/>
          <w:szCs w:val="21"/>
        </w:rPr>
        <w:t>1.法定监护</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4452"/>
        <w:gridCol w:w="2395"/>
      </w:tblGrid>
      <w:tr w14:paraId="5297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noWrap w:val="0"/>
            <w:vAlign w:val="center"/>
          </w:tcPr>
          <w:p w14:paraId="4C32D6A7">
            <w:pPr>
              <w:spacing w:line="276" w:lineRule="auto"/>
              <w:jc w:val="center"/>
              <w:rPr>
                <w:rFonts w:ascii="宋体" w:hAnsi="宋体" w:cs="宋体"/>
                <w:b/>
                <w:kern w:val="0"/>
                <w:szCs w:val="21"/>
              </w:rPr>
            </w:pPr>
            <w:r>
              <w:rPr>
                <w:rFonts w:hint="eastAsia" w:ascii="宋体" w:hAnsi="宋体" w:cs="宋体"/>
                <w:b/>
                <w:kern w:val="0"/>
                <w:szCs w:val="21"/>
              </w:rPr>
              <w:t>对象</w:t>
            </w:r>
          </w:p>
        </w:tc>
        <w:tc>
          <w:tcPr>
            <w:tcW w:w="4452" w:type="dxa"/>
            <w:noWrap w:val="0"/>
            <w:vAlign w:val="center"/>
          </w:tcPr>
          <w:p w14:paraId="31689EAF">
            <w:pPr>
              <w:spacing w:line="276" w:lineRule="auto"/>
              <w:jc w:val="center"/>
              <w:rPr>
                <w:rFonts w:ascii="宋体" w:hAnsi="宋体" w:cs="宋体"/>
                <w:b/>
                <w:kern w:val="0"/>
                <w:szCs w:val="21"/>
              </w:rPr>
            </w:pPr>
            <w:r>
              <w:rPr>
                <w:rFonts w:hint="eastAsia" w:ascii="宋体" w:hAnsi="宋体" w:cs="宋体"/>
                <w:b/>
                <w:kern w:val="0"/>
                <w:szCs w:val="21"/>
              </w:rPr>
              <w:t>法定监护人范围</w:t>
            </w:r>
            <w:r>
              <w:rPr>
                <w:rFonts w:hint="eastAsia" w:ascii="宋体" w:hAnsi="宋体" w:cs="宋体"/>
                <w:b/>
                <w:kern w:val="0"/>
                <w:szCs w:val="21"/>
                <w:u w:val="single"/>
              </w:rPr>
              <w:t>（按顺序</w:t>
            </w:r>
            <w:r>
              <w:rPr>
                <w:rFonts w:hint="eastAsia" w:ascii="宋体" w:hAnsi="宋体" w:cs="宋体"/>
                <w:b/>
                <w:kern w:val="0"/>
                <w:szCs w:val="21"/>
              </w:rPr>
              <w:t>）</w:t>
            </w:r>
          </w:p>
        </w:tc>
        <w:tc>
          <w:tcPr>
            <w:tcW w:w="2395" w:type="dxa"/>
            <w:noWrap w:val="0"/>
            <w:vAlign w:val="center"/>
          </w:tcPr>
          <w:p w14:paraId="14953880">
            <w:pPr>
              <w:spacing w:line="276" w:lineRule="auto"/>
              <w:jc w:val="center"/>
              <w:rPr>
                <w:rFonts w:ascii="宋体" w:hAnsi="宋体" w:cs="宋体"/>
                <w:b/>
                <w:kern w:val="0"/>
                <w:szCs w:val="21"/>
              </w:rPr>
            </w:pPr>
            <w:r>
              <w:rPr>
                <w:rFonts w:hint="eastAsia" w:ascii="宋体" w:hAnsi="宋体" w:cs="宋体"/>
                <w:b/>
                <w:kern w:val="0"/>
                <w:szCs w:val="21"/>
              </w:rPr>
              <w:t>国家监护（补充兜底）</w:t>
            </w:r>
          </w:p>
        </w:tc>
      </w:tr>
      <w:tr w14:paraId="1807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75" w:type="dxa"/>
            <w:noWrap w:val="0"/>
            <w:vAlign w:val="center"/>
          </w:tcPr>
          <w:p w14:paraId="58146640">
            <w:pPr>
              <w:spacing w:line="276" w:lineRule="auto"/>
              <w:jc w:val="center"/>
              <w:rPr>
                <w:rFonts w:ascii="宋体" w:hAnsi="宋体" w:cs="宋体"/>
                <w:kern w:val="0"/>
                <w:szCs w:val="21"/>
              </w:rPr>
            </w:pPr>
            <w:r>
              <w:rPr>
                <w:rFonts w:hint="eastAsia" w:ascii="宋体" w:hAnsi="宋体" w:cs="宋体"/>
                <w:kern w:val="0"/>
                <w:szCs w:val="21"/>
              </w:rPr>
              <w:t>未成年人</w:t>
            </w:r>
          </w:p>
        </w:tc>
        <w:tc>
          <w:tcPr>
            <w:tcW w:w="4452" w:type="dxa"/>
            <w:noWrap w:val="0"/>
            <w:vAlign w:val="center"/>
          </w:tcPr>
          <w:p w14:paraId="0C318D92">
            <w:pPr>
              <w:spacing w:line="276" w:lineRule="auto"/>
              <w:rPr>
                <w:rFonts w:cs="Arial"/>
              </w:rPr>
            </w:pPr>
            <w:r>
              <w:rPr>
                <w:rFonts w:hint="eastAsia" w:cs="Arial"/>
              </w:rPr>
              <w:t>①父母：亲生父母（含离婚）、养父母、继父母；</w:t>
            </w:r>
          </w:p>
          <w:p w14:paraId="1ABECC29">
            <w:pPr>
              <w:spacing w:line="276" w:lineRule="auto"/>
              <w:rPr>
                <w:rFonts w:cs="Arial"/>
              </w:rPr>
            </w:pPr>
            <w:r>
              <w:rPr>
                <w:rFonts w:hint="eastAsia" w:cs="Arial"/>
              </w:rPr>
              <w:t>②祖父母、外祖父母；</w:t>
            </w:r>
          </w:p>
          <w:p w14:paraId="045E3443">
            <w:pPr>
              <w:spacing w:line="276" w:lineRule="auto"/>
              <w:rPr>
                <w:rFonts w:cs="Arial"/>
              </w:rPr>
            </w:pPr>
            <w:r>
              <w:rPr>
                <w:rFonts w:hint="eastAsia" w:cs="Arial"/>
              </w:rPr>
              <w:t>③成年兄、姐</w:t>
            </w:r>
            <w:r>
              <w:rPr>
                <w:rFonts w:hint="eastAsia" w:cs="Arial"/>
                <w:lang w:eastAsia="zh-CN"/>
              </w:rPr>
              <w:t>（</w:t>
            </w:r>
            <w:r>
              <w:rPr>
                <w:rFonts w:hint="eastAsia" w:cs="Arial"/>
                <w:color w:val="FF0000"/>
                <w:lang w:val="en-US" w:eastAsia="zh-CN"/>
              </w:rPr>
              <w:t>需要具有完全行为能力，所以未成年兄姐不行</w:t>
            </w:r>
            <w:r>
              <w:rPr>
                <w:rFonts w:hint="eastAsia" w:cs="Arial"/>
                <w:lang w:eastAsia="zh-CN"/>
              </w:rPr>
              <w:t>）</w:t>
            </w:r>
            <w:r>
              <w:rPr>
                <w:rFonts w:hint="eastAsia" w:cs="Arial"/>
              </w:rPr>
              <w:t>；</w:t>
            </w:r>
          </w:p>
          <w:p w14:paraId="608F0948">
            <w:pPr>
              <w:spacing w:line="276" w:lineRule="auto"/>
              <w:rPr>
                <w:rFonts w:cs="Arial"/>
              </w:rPr>
            </w:pPr>
            <w:r>
              <w:rPr>
                <w:rFonts w:hint="eastAsia" w:cs="Arial"/>
              </w:rPr>
              <w:t>④其他愿意担任监护人的个人或者组织，但是须经未成年人住所地的居民委员会、村民委员会或者民政部门同意。</w:t>
            </w:r>
          </w:p>
        </w:tc>
        <w:tc>
          <w:tcPr>
            <w:tcW w:w="2395" w:type="dxa"/>
            <w:vMerge w:val="restart"/>
            <w:noWrap w:val="0"/>
            <w:vAlign w:val="center"/>
          </w:tcPr>
          <w:p w14:paraId="513933C1">
            <w:pPr>
              <w:spacing w:line="276" w:lineRule="auto"/>
              <w:rPr>
                <w:rFonts w:ascii="宋体" w:hAnsi="宋体" w:cs="宋体"/>
                <w:kern w:val="0"/>
                <w:szCs w:val="21"/>
              </w:rPr>
            </w:pPr>
            <w:r>
              <w:rPr>
                <w:rFonts w:hint="eastAsia" w:cs="Arial"/>
              </w:rPr>
              <w:t>没有依法具有监护资格的人的，监护人由</w:t>
            </w:r>
            <w:r>
              <w:rPr>
                <w:rFonts w:hint="eastAsia" w:cs="Arial"/>
                <w:b/>
                <w:bCs/>
              </w:rPr>
              <w:t>民政部门</w:t>
            </w:r>
            <w:r>
              <w:rPr>
                <w:rFonts w:hint="eastAsia" w:cs="Arial"/>
              </w:rPr>
              <w:t>担任，也可以由具备履行监护职责条件的被监护人住所地的</w:t>
            </w:r>
            <w:r>
              <w:rPr>
                <w:rFonts w:hint="eastAsia" w:cs="Arial"/>
                <w:b/>
                <w:bCs/>
              </w:rPr>
              <w:t>居民委员会、村民委员会</w:t>
            </w:r>
            <w:r>
              <w:rPr>
                <w:rFonts w:hint="eastAsia" w:cs="Arial"/>
              </w:rPr>
              <w:t>担任。</w:t>
            </w:r>
          </w:p>
        </w:tc>
      </w:tr>
      <w:tr w14:paraId="5701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75" w:type="dxa"/>
            <w:noWrap w:val="0"/>
            <w:vAlign w:val="center"/>
          </w:tcPr>
          <w:p w14:paraId="21518C25">
            <w:pPr>
              <w:spacing w:line="276" w:lineRule="auto"/>
              <w:jc w:val="center"/>
              <w:rPr>
                <w:rFonts w:ascii="宋体" w:hAnsi="宋体" w:cs="宋体"/>
                <w:kern w:val="0"/>
                <w:szCs w:val="21"/>
              </w:rPr>
            </w:pPr>
            <w:r>
              <w:rPr>
                <w:rFonts w:hint="eastAsia" w:ascii="宋体" w:hAnsi="宋体" w:cs="宋体"/>
                <w:kern w:val="0"/>
                <w:szCs w:val="21"/>
              </w:rPr>
              <w:t>无、限制民事行为能力的成年人</w:t>
            </w:r>
          </w:p>
        </w:tc>
        <w:tc>
          <w:tcPr>
            <w:tcW w:w="4452" w:type="dxa"/>
            <w:noWrap w:val="0"/>
            <w:vAlign w:val="center"/>
          </w:tcPr>
          <w:p w14:paraId="2978AB7C">
            <w:pPr>
              <w:spacing w:line="276" w:lineRule="auto"/>
              <w:rPr>
                <w:rFonts w:cs="Arial"/>
              </w:rPr>
            </w:pPr>
            <w:r>
              <w:rPr>
                <w:rFonts w:hint="eastAsia" w:cs="Arial"/>
              </w:rPr>
              <w:t>①配偶；</w:t>
            </w:r>
          </w:p>
          <w:p w14:paraId="5C79AE49">
            <w:pPr>
              <w:spacing w:line="276" w:lineRule="auto"/>
              <w:rPr>
                <w:rFonts w:cs="Arial"/>
              </w:rPr>
            </w:pPr>
            <w:r>
              <w:rPr>
                <w:rFonts w:hint="eastAsia" w:cs="Arial"/>
              </w:rPr>
              <w:t>②父母、成年子女；</w:t>
            </w:r>
          </w:p>
          <w:p w14:paraId="66CE71AE">
            <w:pPr>
              <w:spacing w:line="276" w:lineRule="auto"/>
              <w:rPr>
                <w:rFonts w:cs="Arial"/>
              </w:rPr>
            </w:pPr>
            <w:r>
              <w:rPr>
                <w:rFonts w:hint="eastAsia" w:cs="Arial"/>
              </w:rPr>
              <w:t>③其他近亲属；</w:t>
            </w:r>
          </w:p>
          <w:p w14:paraId="4290D355">
            <w:pPr>
              <w:spacing w:line="276" w:lineRule="auto"/>
              <w:rPr>
                <w:rFonts w:cs="Arial"/>
              </w:rPr>
            </w:pPr>
            <w:r>
              <w:rPr>
                <w:rFonts w:hint="eastAsia" w:cs="Arial"/>
              </w:rPr>
              <w:t>④其他愿意担任监护人的个人或者组织，但是须经</w:t>
            </w:r>
            <w:r>
              <w:rPr>
                <w:rFonts w:hint="eastAsia" w:cs="Arial"/>
                <w:b/>
                <w:bCs/>
                <w:color w:val="FF0000"/>
              </w:rPr>
              <w:t>未成年人</w:t>
            </w:r>
            <w:r>
              <w:rPr>
                <w:rFonts w:hint="eastAsia" w:cs="Arial"/>
                <w:b/>
                <w:bCs/>
                <w:color w:val="FF0000"/>
                <w:lang w:eastAsia="zh-CN"/>
              </w:rPr>
              <w:t>（</w:t>
            </w:r>
            <w:r>
              <w:rPr>
                <w:rFonts w:hint="eastAsia" w:cs="Arial"/>
                <w:b/>
                <w:bCs/>
                <w:color w:val="FF0000"/>
                <w:lang w:val="en-US" w:eastAsia="zh-CN"/>
              </w:rPr>
              <w:t>改为被监护人</w:t>
            </w:r>
            <w:r>
              <w:rPr>
                <w:rFonts w:hint="eastAsia" w:cs="Arial"/>
                <w:b/>
                <w:bCs/>
                <w:color w:val="FF0000"/>
                <w:lang w:eastAsia="zh-CN"/>
              </w:rPr>
              <w:t>）</w:t>
            </w:r>
            <w:r>
              <w:rPr>
                <w:rFonts w:hint="eastAsia" w:cs="Arial"/>
              </w:rPr>
              <w:t>住所地的居民委员会、村民委员会或者民政部门同意。</w:t>
            </w:r>
          </w:p>
        </w:tc>
        <w:tc>
          <w:tcPr>
            <w:tcW w:w="2395" w:type="dxa"/>
            <w:vMerge w:val="continue"/>
            <w:noWrap w:val="0"/>
            <w:vAlign w:val="center"/>
          </w:tcPr>
          <w:p w14:paraId="3883949A">
            <w:pPr>
              <w:spacing w:line="276" w:lineRule="auto"/>
              <w:rPr>
                <w:rFonts w:ascii="宋体" w:hAnsi="宋体" w:cs="宋体"/>
                <w:kern w:val="0"/>
                <w:szCs w:val="21"/>
              </w:rPr>
            </w:pPr>
          </w:p>
        </w:tc>
      </w:tr>
    </w:tbl>
    <w:p w14:paraId="31C6E7E2">
      <w:pPr>
        <w:spacing w:line="276" w:lineRule="auto"/>
        <w:ind w:firstLine="480"/>
        <w:rPr>
          <w:rFonts w:ascii="宋体" w:hAnsi="宋体" w:cs="宋体"/>
          <w:b/>
          <w:bCs/>
          <w:kern w:val="0"/>
          <w:szCs w:val="21"/>
        </w:rPr>
      </w:pPr>
    </w:p>
    <w:p w14:paraId="73DA87AE">
      <w:pPr>
        <w:numPr>
          <w:ilvl w:val="0"/>
          <w:numId w:val="0"/>
        </w:numPr>
        <w:spacing w:line="276" w:lineRule="auto"/>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协议监护，即</w:t>
      </w:r>
      <w:r>
        <w:rPr>
          <w:rFonts w:hint="eastAsia" w:ascii="宋体" w:hAnsi="宋体" w:cs="宋体"/>
          <w:kern w:val="0"/>
          <w:szCs w:val="21"/>
          <w:u w:val="single"/>
        </w:rPr>
        <w:t>具有监护资格的人</w:t>
      </w:r>
      <w:r>
        <w:rPr>
          <w:rFonts w:hint="eastAsia" w:ascii="宋体" w:hAnsi="宋体" w:cs="宋体"/>
          <w:kern w:val="0"/>
          <w:szCs w:val="21"/>
        </w:rPr>
        <w:t>之间通过协议来确定监护人的规则。</w:t>
      </w:r>
    </w:p>
    <w:p w14:paraId="731B7A0E">
      <w:pPr>
        <w:numPr>
          <w:ilvl w:val="0"/>
          <w:numId w:val="0"/>
        </w:numPr>
        <w:spacing w:line="276" w:lineRule="auto"/>
        <w:ind w:firstLine="420" w:firstLineChars="200"/>
        <w:rPr>
          <w:rFonts w:hint="eastAsia" w:ascii="宋体" w:hAnsi="宋体" w:cs="宋体"/>
          <w:kern w:val="0"/>
          <w:szCs w:val="21"/>
        </w:rPr>
      </w:pPr>
      <w:r>
        <w:rPr>
          <w:rFonts w:hint="eastAsia" w:ascii="宋体" w:hAnsi="宋体" w:cs="宋体"/>
          <w:color w:val="FF0000"/>
          <w:kern w:val="0"/>
          <w:szCs w:val="21"/>
          <w:lang w:val="en-US" w:eastAsia="zh-CN"/>
        </w:rPr>
        <w:t>不受顺序限制，但当然监护优先：</w:t>
      </w:r>
      <w:r>
        <w:rPr>
          <w:rFonts w:hint="eastAsia" w:ascii="宋体" w:hAnsi="宋体" w:cs="宋体"/>
          <w:kern w:val="0"/>
          <w:szCs w:val="21"/>
        </w:rPr>
        <w:t>依法具有监护资格的人之间依据民法典第三十条的规定，约定由民法典第二十七条第二款、第二十八条规定的不同顺序的人共同担任监护人，或者由顺序在后的人担任监护人的，人民法院依法予以支持。</w:t>
      </w:r>
    </w:p>
    <w:p w14:paraId="0B8DF3E6">
      <w:pPr>
        <w:numPr>
          <w:ilvl w:val="0"/>
          <w:numId w:val="0"/>
        </w:numPr>
        <w:spacing w:line="276" w:lineRule="auto"/>
        <w:ind w:firstLine="420" w:firstLineChars="200"/>
        <w:rPr>
          <w:rFonts w:ascii="宋体" w:hAnsi="宋体" w:cs="宋体"/>
          <w:bCs/>
          <w:kern w:val="0"/>
          <w:szCs w:val="21"/>
        </w:rPr>
      </w:pPr>
      <w:r>
        <w:rPr>
          <w:rFonts w:hint="eastAsia" w:ascii="宋体" w:hAnsi="宋体" w:cs="宋体"/>
          <w:bCs/>
          <w:kern w:val="0"/>
          <w:szCs w:val="21"/>
          <w:lang w:val="en-US" w:eastAsia="zh-CN"/>
        </w:rPr>
        <w:t>3.</w:t>
      </w:r>
      <w:r>
        <w:rPr>
          <w:rFonts w:hint="eastAsia" w:ascii="宋体" w:hAnsi="宋体" w:cs="宋体"/>
          <w:bCs/>
          <w:kern w:val="0"/>
          <w:szCs w:val="21"/>
        </w:rPr>
        <w:t>指定监护</w:t>
      </w:r>
    </w:p>
    <w:p w14:paraId="0F68E3E1">
      <w:pPr>
        <w:spacing w:line="276" w:lineRule="auto"/>
        <w:ind w:firstLine="480"/>
        <w:rPr>
          <w:rFonts w:ascii="宋体" w:hAnsi="宋体" w:cs="宋体"/>
          <w:kern w:val="0"/>
          <w:szCs w:val="21"/>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14:paraId="547D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0A5B1A19">
            <w:pPr>
              <w:spacing w:line="276" w:lineRule="auto"/>
              <w:jc w:val="center"/>
              <w:rPr>
                <w:rFonts w:hint="eastAsia" w:ascii="宋体" w:hAnsi="宋体" w:eastAsia="宋体" w:cs="宋体"/>
                <w:b/>
                <w:bCs/>
                <w:kern w:val="0"/>
                <w:szCs w:val="21"/>
                <w:lang w:eastAsia="zh-CN"/>
              </w:rPr>
            </w:pPr>
            <w:r>
              <w:rPr>
                <w:rFonts w:hint="eastAsia" w:ascii="宋体" w:hAnsi="宋体" w:cs="宋体"/>
                <w:b/>
                <w:bCs/>
                <w:kern w:val="0"/>
                <w:szCs w:val="21"/>
              </w:rPr>
              <w:t>申请程序</w:t>
            </w:r>
            <w:r>
              <w:rPr>
                <w:rFonts w:hint="eastAsia" w:ascii="宋体" w:hAnsi="宋体" w:cs="宋体"/>
                <w:b/>
                <w:bCs/>
                <w:color w:val="FF0000"/>
                <w:kern w:val="0"/>
                <w:szCs w:val="21"/>
                <w:lang w:eastAsia="zh-CN"/>
              </w:rPr>
              <w:t>（</w:t>
            </w:r>
            <w:r>
              <w:rPr>
                <w:rFonts w:hint="eastAsia" w:ascii="宋体" w:hAnsi="宋体" w:cs="宋体"/>
                <w:b/>
                <w:bCs/>
                <w:color w:val="FF0000"/>
                <w:kern w:val="0"/>
                <w:szCs w:val="21"/>
                <w:lang w:val="en-US" w:eastAsia="zh-CN"/>
              </w:rPr>
              <w:t>可以两步走或者一步走</w:t>
            </w:r>
            <w:r>
              <w:rPr>
                <w:rFonts w:hint="eastAsia" w:ascii="宋体" w:hAnsi="宋体" w:cs="宋体"/>
                <w:b/>
                <w:bCs/>
                <w:color w:val="FF0000"/>
                <w:kern w:val="0"/>
                <w:szCs w:val="21"/>
                <w:lang w:eastAsia="zh-CN"/>
              </w:rPr>
              <w:t>）</w:t>
            </w:r>
          </w:p>
        </w:tc>
        <w:tc>
          <w:tcPr>
            <w:tcW w:w="7280" w:type="dxa"/>
            <w:noWrap w:val="0"/>
            <w:vAlign w:val="center"/>
          </w:tcPr>
          <w:p w14:paraId="2DBB027E">
            <w:pPr>
              <w:spacing w:line="276" w:lineRule="auto"/>
              <w:rPr>
                <w:rFonts w:ascii="宋体" w:hAnsi="宋体" w:cs="宋体"/>
                <w:kern w:val="0"/>
                <w:szCs w:val="21"/>
              </w:rPr>
            </w:pPr>
            <w:r>
              <w:rPr>
                <w:rFonts w:hint="eastAsia" w:ascii="宋体" w:hAnsi="宋体" w:cs="宋体"/>
                <w:kern w:val="0"/>
                <w:szCs w:val="21"/>
              </w:rPr>
              <w:t>1. 当事人先向被监护人住所地的居委会、村委会或民政部门申请指定，对该组织的指定不服再申请法院指定；</w:t>
            </w:r>
          </w:p>
          <w:p w14:paraId="68714687">
            <w:pPr>
              <w:spacing w:line="276" w:lineRule="auto"/>
              <w:rPr>
                <w:rFonts w:ascii="宋体" w:hAnsi="宋体" w:cs="宋体"/>
                <w:kern w:val="0"/>
                <w:szCs w:val="21"/>
              </w:rPr>
            </w:pPr>
            <w:r>
              <w:rPr>
                <w:rFonts w:hint="eastAsia" w:ascii="宋体" w:hAnsi="宋体" w:cs="宋体"/>
                <w:kern w:val="0"/>
                <w:szCs w:val="21"/>
              </w:rPr>
              <w:t>2. 当事人也可直接向法院申请指定。</w:t>
            </w:r>
          </w:p>
        </w:tc>
      </w:tr>
      <w:tr w14:paraId="7E8C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1105A6F3">
            <w:pPr>
              <w:spacing w:line="276" w:lineRule="auto"/>
              <w:jc w:val="center"/>
              <w:rPr>
                <w:rFonts w:ascii="宋体" w:hAnsi="宋体" w:cs="宋体"/>
                <w:b/>
                <w:bCs/>
                <w:kern w:val="0"/>
                <w:szCs w:val="21"/>
              </w:rPr>
            </w:pPr>
            <w:r>
              <w:rPr>
                <w:rFonts w:hint="eastAsia" w:ascii="宋体" w:hAnsi="宋体" w:cs="宋体"/>
                <w:b/>
                <w:bCs/>
                <w:kern w:val="0"/>
                <w:szCs w:val="21"/>
              </w:rPr>
              <w:t>指定标准</w:t>
            </w:r>
          </w:p>
        </w:tc>
        <w:tc>
          <w:tcPr>
            <w:tcW w:w="7280" w:type="dxa"/>
            <w:noWrap w:val="0"/>
            <w:vAlign w:val="center"/>
          </w:tcPr>
          <w:p w14:paraId="6F42A059">
            <w:pPr>
              <w:spacing w:line="276" w:lineRule="auto"/>
              <w:rPr>
                <w:rFonts w:ascii="宋体" w:hAnsi="宋体" w:cs="宋体"/>
                <w:kern w:val="0"/>
                <w:szCs w:val="21"/>
              </w:rPr>
            </w:pPr>
            <w:r>
              <w:rPr>
                <w:rFonts w:hint="eastAsia" w:ascii="宋体" w:hAnsi="宋体" w:cs="宋体"/>
                <w:kern w:val="0"/>
                <w:szCs w:val="21"/>
              </w:rPr>
              <w:t>按照最有利于被监护人的原则</w:t>
            </w:r>
            <w:r>
              <w:rPr>
                <w:rFonts w:hint="eastAsia" w:ascii="宋体" w:hAnsi="宋体" w:cs="宋体"/>
                <w:color w:val="FF0000"/>
                <w:kern w:val="0"/>
                <w:szCs w:val="21"/>
              </w:rPr>
              <w:t>，从有监护资格的人中指定</w:t>
            </w:r>
            <w:r>
              <w:rPr>
                <w:rFonts w:hint="eastAsia" w:ascii="宋体" w:hAnsi="宋体" w:cs="宋体"/>
                <w:kern w:val="0"/>
                <w:szCs w:val="21"/>
              </w:rPr>
              <w:t>。</w:t>
            </w:r>
          </w:p>
        </w:tc>
      </w:tr>
      <w:tr w14:paraId="4493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35571A9A">
            <w:pPr>
              <w:spacing w:line="276" w:lineRule="auto"/>
              <w:jc w:val="center"/>
              <w:rPr>
                <w:rFonts w:ascii="宋体" w:hAnsi="宋体" w:cs="宋体"/>
                <w:b/>
                <w:bCs/>
                <w:kern w:val="0"/>
                <w:szCs w:val="21"/>
              </w:rPr>
            </w:pPr>
            <w:r>
              <w:rPr>
                <w:rFonts w:hint="eastAsia" w:ascii="宋体" w:hAnsi="宋体" w:cs="宋体"/>
                <w:b/>
                <w:bCs/>
                <w:kern w:val="0"/>
                <w:szCs w:val="21"/>
              </w:rPr>
              <w:t>临时监护</w:t>
            </w:r>
          </w:p>
        </w:tc>
        <w:tc>
          <w:tcPr>
            <w:tcW w:w="7280" w:type="dxa"/>
            <w:noWrap w:val="0"/>
            <w:vAlign w:val="center"/>
          </w:tcPr>
          <w:p w14:paraId="1A42CB2B">
            <w:pPr>
              <w:spacing w:line="276" w:lineRule="auto"/>
              <w:rPr>
                <w:rFonts w:ascii="宋体" w:hAnsi="宋体" w:cs="宋体"/>
                <w:kern w:val="0"/>
                <w:szCs w:val="21"/>
              </w:rPr>
            </w:pPr>
            <w:r>
              <w:rPr>
                <w:rFonts w:hint="eastAsia" w:ascii="宋体" w:hAnsi="宋体" w:cs="宋体"/>
                <w:kern w:val="0"/>
                <w:szCs w:val="21"/>
              </w:rPr>
              <w:t>在指定监护人前如被监护人的合法权益处于无人保护状态，则由有关组织（居委会、村委会、民政部门或其它组织）担任临时监护人。</w:t>
            </w:r>
          </w:p>
        </w:tc>
      </w:tr>
    </w:tbl>
    <w:p w14:paraId="05F9226F">
      <w:pPr>
        <w:spacing w:line="276" w:lineRule="auto"/>
        <w:ind w:firstLine="480"/>
        <w:rPr>
          <w:rFonts w:ascii="宋体" w:hAnsi="宋体" w:cs="宋体"/>
          <w:b/>
          <w:bCs/>
          <w:kern w:val="0"/>
          <w:szCs w:val="21"/>
        </w:rPr>
      </w:pPr>
    </w:p>
    <w:p w14:paraId="526202C0">
      <w:pPr>
        <w:spacing w:line="276" w:lineRule="auto"/>
        <w:ind w:firstLine="420"/>
        <w:rPr>
          <w:rFonts w:hint="eastAsia" w:cs="Arial"/>
        </w:rPr>
      </w:pPr>
      <w:r>
        <w:rPr>
          <w:rFonts w:hint="eastAsia" w:ascii="宋体" w:hAnsi="宋体" w:cs="宋体"/>
          <w:b/>
          <w:bCs/>
          <w:kern w:val="0"/>
          <w:szCs w:val="21"/>
          <w:lang w:val="en-US" w:eastAsia="zh-CN"/>
        </w:rPr>
        <w:t>4.</w:t>
      </w:r>
      <w:r>
        <w:rPr>
          <w:rFonts w:hint="eastAsia" w:ascii="宋体" w:hAnsi="宋体" w:cs="宋体"/>
          <w:b/>
          <w:bCs/>
          <w:kern w:val="0"/>
          <w:szCs w:val="21"/>
        </w:rPr>
        <w:t>父母</w:t>
      </w:r>
      <w:r>
        <w:rPr>
          <w:rFonts w:ascii="宋体" w:hAnsi="宋体" w:cs="宋体"/>
          <w:b/>
          <w:bCs/>
          <w:kern w:val="0"/>
          <w:szCs w:val="21"/>
        </w:rPr>
        <w:t>遗嘱</w:t>
      </w:r>
      <w:r>
        <w:rPr>
          <w:rFonts w:hint="eastAsia" w:ascii="宋体" w:hAnsi="宋体" w:cs="宋体"/>
          <w:b/>
          <w:bCs/>
          <w:kern w:val="0"/>
          <w:szCs w:val="21"/>
        </w:rPr>
        <w:t>指定</w:t>
      </w:r>
      <w:r>
        <w:rPr>
          <w:rFonts w:ascii="宋体" w:hAnsi="宋体" w:cs="宋体"/>
          <w:b/>
          <w:bCs/>
          <w:kern w:val="0"/>
          <w:szCs w:val="21"/>
        </w:rPr>
        <w:t>监护</w:t>
      </w:r>
      <w:r>
        <w:rPr>
          <w:rFonts w:hint="eastAsia" w:ascii="宋体" w:hAnsi="宋体" w:cs="宋体"/>
          <w:kern w:val="0"/>
          <w:szCs w:val="21"/>
        </w:rPr>
        <w:t>（《民法典》第29条）</w:t>
      </w:r>
      <w:r>
        <w:rPr>
          <w:rFonts w:ascii="宋体" w:hAnsi="宋体" w:cs="宋体"/>
          <w:kern w:val="0"/>
          <w:szCs w:val="21"/>
        </w:rPr>
        <w:t>，</w:t>
      </w:r>
      <w:r>
        <w:rPr>
          <w:rFonts w:hint="eastAsia" w:ascii="宋体" w:hAnsi="宋体" w:cs="宋体"/>
          <w:kern w:val="0"/>
          <w:szCs w:val="21"/>
        </w:rPr>
        <w:t>主要是</w:t>
      </w:r>
      <w:r>
        <w:rPr>
          <w:rFonts w:ascii="宋体" w:hAnsi="宋体" w:cs="宋体"/>
          <w:kern w:val="0"/>
          <w:szCs w:val="21"/>
        </w:rPr>
        <w:t>指</w:t>
      </w:r>
      <w:r>
        <w:rPr>
          <w:rFonts w:hint="eastAsia" w:cs="Arial"/>
        </w:rPr>
        <w:t>被监护人的</w:t>
      </w:r>
      <w:r>
        <w:rPr>
          <w:rFonts w:hint="eastAsia" w:cs="Arial"/>
          <w:u w:val="single"/>
        </w:rPr>
        <w:t>父母</w:t>
      </w:r>
      <w:r>
        <w:rPr>
          <w:rFonts w:hint="eastAsia" w:cs="Arial"/>
        </w:rPr>
        <w:t>在</w:t>
      </w:r>
      <w:r>
        <w:rPr>
          <w:rFonts w:hint="eastAsia" w:cs="Arial"/>
          <w:u w:val="single"/>
        </w:rPr>
        <w:t>担任监护人期间</w:t>
      </w:r>
      <w:r>
        <w:rPr>
          <w:rFonts w:hint="eastAsia" w:cs="Arial"/>
        </w:rPr>
        <w:t>，通过遗嘱为被监护人指定监护人的监护制度。</w:t>
      </w:r>
    </w:p>
    <w:p w14:paraId="6E35CEDE">
      <w:pPr>
        <w:spacing w:line="276" w:lineRule="auto"/>
        <w:ind w:firstLine="420"/>
        <w:rPr>
          <w:rFonts w:hint="eastAsia" w:cs="Arial"/>
        </w:rPr>
      </w:pPr>
      <w:r>
        <w:rPr>
          <w:rFonts w:hint="eastAsia" w:cs="Arial"/>
        </w:rPr>
        <w:t>担任监护人的被监护人父母通过遗嘱指定监护人，</w:t>
      </w:r>
      <w:r>
        <w:rPr>
          <w:rFonts w:hint="eastAsia" w:cs="Arial"/>
          <w:color w:val="FF0000"/>
        </w:rPr>
        <w:t>遗嘱生效时被指定的人不同意担任监护人的</w:t>
      </w:r>
      <w:r>
        <w:rPr>
          <w:rFonts w:hint="eastAsia" w:cs="Arial"/>
        </w:rPr>
        <w:t>，人民法院应当适用民法典第二十七条、第二十八条的规定确定监护人</w:t>
      </w:r>
      <w:r>
        <w:rPr>
          <w:rFonts w:hint="eastAsia" w:cs="Arial"/>
          <w:lang w:eastAsia="zh-CN"/>
        </w:rPr>
        <w:t>（</w:t>
      </w:r>
      <w:r>
        <w:rPr>
          <w:rFonts w:hint="eastAsia" w:cs="Arial"/>
          <w:lang w:val="en-US" w:eastAsia="zh-CN"/>
        </w:rPr>
        <w:t>顺序监护</w:t>
      </w:r>
      <w:r>
        <w:rPr>
          <w:rFonts w:hint="eastAsia" w:cs="Arial"/>
          <w:lang w:eastAsia="zh-CN"/>
        </w:rPr>
        <w:t>）</w:t>
      </w:r>
      <w:r>
        <w:rPr>
          <w:rFonts w:hint="eastAsia" w:cs="Arial"/>
        </w:rPr>
        <w:t>。</w:t>
      </w:r>
    </w:p>
    <w:p w14:paraId="0A7DEA6A">
      <w:pPr>
        <w:spacing w:line="276" w:lineRule="auto"/>
        <w:ind w:firstLine="420"/>
        <w:rPr>
          <w:rFonts w:hint="eastAsia" w:cs="Arial"/>
        </w:rPr>
      </w:pPr>
      <w:r>
        <w:rPr>
          <w:rFonts w:hint="eastAsia" w:cs="Arial"/>
        </w:rPr>
        <w:t>未成年人由父母担任监护人，父母中的一方通过遗嘱指定监护人，另一方在遗嘱生效时有监护能力，有关当事人对监护人的确定有争议的，人民法院应当适用民法典第二十七条第一款的规定确定监护人</w:t>
      </w:r>
      <w:r>
        <w:rPr>
          <w:rFonts w:hint="eastAsia" w:cs="Arial"/>
          <w:color w:val="FF0000"/>
          <w:lang w:eastAsia="zh-CN"/>
        </w:rPr>
        <w:t>（</w:t>
      </w:r>
      <w:r>
        <w:rPr>
          <w:rFonts w:hint="eastAsia" w:cs="Arial"/>
          <w:color w:val="FF0000"/>
          <w:lang w:val="en-US" w:eastAsia="zh-CN"/>
        </w:rPr>
        <w:t>另外一方还是监护人</w:t>
      </w:r>
      <w:r>
        <w:rPr>
          <w:rFonts w:hint="eastAsia" w:cs="Arial"/>
          <w:color w:val="FF0000"/>
          <w:lang w:eastAsia="zh-CN"/>
        </w:rPr>
        <w:t>）</w:t>
      </w:r>
      <w:r>
        <w:rPr>
          <w:rFonts w:hint="eastAsia" w:cs="Arial"/>
          <w:color w:val="FF0000"/>
        </w:rPr>
        <w:t>。</w:t>
      </w:r>
    </w:p>
    <w:p w14:paraId="049A36B9">
      <w:pPr>
        <w:numPr>
          <w:ilvl w:val="0"/>
          <w:numId w:val="0"/>
        </w:numPr>
        <w:spacing w:line="276" w:lineRule="auto"/>
        <w:ind w:left="480" w:leftChars="0"/>
        <w:rPr>
          <w:rFonts w:hint="eastAsia" w:cs="Arial"/>
          <w:color w:val="FF0000"/>
          <w:lang w:eastAsia="zh-CN"/>
        </w:rPr>
      </w:pPr>
      <w:r>
        <w:rPr>
          <w:rFonts w:hint="eastAsia" w:ascii="宋体" w:hAnsi="宋体" w:cs="Arial"/>
          <w:b/>
          <w:bCs/>
          <w:lang w:val="en-US" w:eastAsia="zh-CN"/>
        </w:rPr>
        <w:t>5.</w:t>
      </w:r>
      <w:r>
        <w:rPr>
          <w:rFonts w:hint="eastAsia" w:ascii="宋体" w:hAnsi="宋体" w:cs="Arial"/>
          <w:b/>
          <w:bCs/>
        </w:rPr>
        <w:t>成</w:t>
      </w:r>
      <w:r>
        <w:rPr>
          <w:rFonts w:hint="eastAsia" w:cs="Arial"/>
          <w:b/>
          <w:bCs/>
        </w:rPr>
        <w:t>年人意定监护</w:t>
      </w:r>
      <w:r>
        <w:rPr>
          <w:rFonts w:hint="eastAsia" w:ascii="宋体" w:hAnsi="宋体" w:cs="宋体"/>
          <w:kern w:val="0"/>
          <w:szCs w:val="21"/>
        </w:rPr>
        <w:t>（《民法典》第33条）</w:t>
      </w:r>
      <w:r>
        <w:rPr>
          <w:rFonts w:hint="eastAsia" w:cs="Arial"/>
        </w:rPr>
        <w:t>，即具有</w:t>
      </w:r>
      <w:r>
        <w:rPr>
          <w:rFonts w:hint="eastAsia" w:cs="Arial"/>
          <w:u w:val="single"/>
        </w:rPr>
        <w:t>完全民事行为能力</w:t>
      </w:r>
      <w:r>
        <w:rPr>
          <w:rFonts w:hint="eastAsia" w:cs="Arial"/>
        </w:rPr>
        <w:t>的成年人，可以与其</w:t>
      </w:r>
      <w:r>
        <w:rPr>
          <w:rFonts w:hint="eastAsia" w:cs="Arial"/>
          <w:u w:val="single"/>
        </w:rPr>
        <w:t>近亲属</w:t>
      </w:r>
      <w:r>
        <w:rPr>
          <w:rFonts w:hint="eastAsia" w:cs="Arial"/>
        </w:rPr>
        <w:t>、其他愿意担任监护人的</w:t>
      </w:r>
      <w:r>
        <w:rPr>
          <w:rFonts w:hint="eastAsia" w:cs="Arial"/>
          <w:u w:val="single"/>
        </w:rPr>
        <w:t>个人或者组织</w:t>
      </w:r>
      <w:r>
        <w:rPr>
          <w:rFonts w:hint="eastAsia" w:cs="Arial"/>
        </w:rPr>
        <w:t>事先协商，以</w:t>
      </w:r>
      <w:r>
        <w:rPr>
          <w:rFonts w:hint="eastAsia" w:cs="Arial"/>
          <w:u w:val="single"/>
        </w:rPr>
        <w:t>书面形式</w:t>
      </w:r>
      <w:r>
        <w:rPr>
          <w:rFonts w:hint="eastAsia" w:cs="Arial"/>
        </w:rPr>
        <w:t>确定自己的监护人。协商确定的监护人在该成年人丧失或者部分</w:t>
      </w:r>
      <w:r>
        <w:rPr>
          <w:rFonts w:hint="eastAsia" w:cs="Arial"/>
          <w:u w:val="single"/>
        </w:rPr>
        <w:t>丧失民事行为能力时</w:t>
      </w:r>
      <w:r>
        <w:rPr>
          <w:rFonts w:hint="eastAsia" w:cs="Arial"/>
        </w:rPr>
        <w:t>，履行监护职责。</w:t>
      </w:r>
      <w:r>
        <w:rPr>
          <w:rFonts w:hint="eastAsia" w:cs="Arial"/>
          <w:color w:val="FF0000"/>
          <w:lang w:eastAsia="zh-CN"/>
        </w:rPr>
        <w:t>（</w:t>
      </w:r>
      <w:r>
        <w:rPr>
          <w:rFonts w:hint="eastAsia" w:cs="Arial"/>
          <w:color w:val="FF0000"/>
          <w:lang w:val="en-US" w:eastAsia="zh-CN"/>
        </w:rPr>
        <w:t>必须是未雨绸缪，如果已经丧失完全民事行为能力不可以</w:t>
      </w:r>
      <w:r>
        <w:rPr>
          <w:rFonts w:hint="eastAsia" w:cs="Arial"/>
          <w:color w:val="FF0000"/>
          <w:lang w:eastAsia="zh-CN"/>
        </w:rPr>
        <w:t>）</w:t>
      </w:r>
    </w:p>
    <w:p w14:paraId="41067AF3">
      <w:pPr>
        <w:numPr>
          <w:ilvl w:val="0"/>
          <w:numId w:val="0"/>
        </w:numPr>
        <w:spacing w:line="276" w:lineRule="auto"/>
        <w:ind w:firstLine="420" w:firstLineChars="200"/>
        <w:rPr>
          <w:rFonts w:hint="eastAsia" w:cs="Arial"/>
          <w:color w:val="auto"/>
          <w:lang w:eastAsia="zh-CN"/>
        </w:rPr>
      </w:pPr>
      <w:r>
        <w:rPr>
          <w:rFonts w:hint="eastAsia" w:cs="Arial"/>
          <w:color w:val="FF0000"/>
          <w:lang w:val="en-US" w:eastAsia="zh-CN"/>
        </w:rPr>
        <w:t>任意解除权：</w:t>
      </w:r>
      <w:r>
        <w:rPr>
          <w:rFonts w:hint="eastAsia" w:cs="Arial"/>
          <w:color w:val="auto"/>
          <w:lang w:eastAsia="zh-CN"/>
        </w:rPr>
        <w:t>具有完全民事行为能力的成年人与他人依据民法典第三十三条的规定订立书面协议事先确定自己的监护人后，协议的任何一方在该成年人丧失或者部分丧失民事行为能力前请求解除协议的，人民法院依法予以支持。该成年人丧失或者部分丧失民事行为能力后，协议确定的监护人无正当理由请求解除协议的，人民法院不予支持。</w:t>
      </w:r>
    </w:p>
    <w:p w14:paraId="26885A55">
      <w:pPr>
        <w:numPr>
          <w:ilvl w:val="0"/>
          <w:numId w:val="1"/>
        </w:numPr>
        <w:spacing w:line="276" w:lineRule="auto"/>
        <w:ind w:firstLine="420" w:firstLineChars="200"/>
        <w:rPr>
          <w:rFonts w:hint="eastAsia" w:cs="Arial"/>
          <w:color w:val="auto"/>
          <w:lang w:val="en-US" w:eastAsia="zh-CN"/>
        </w:rPr>
      </w:pPr>
      <w:r>
        <w:rPr>
          <w:rFonts w:hint="eastAsia" w:cs="Arial"/>
          <w:color w:val="auto"/>
          <w:lang w:val="en-US" w:eastAsia="zh-CN"/>
        </w:rPr>
        <w:t>委托监护</w:t>
      </w:r>
    </w:p>
    <w:p w14:paraId="2834A3B6">
      <w:pPr>
        <w:numPr>
          <w:ilvl w:val="0"/>
          <w:numId w:val="0"/>
        </w:numPr>
        <w:spacing w:line="276" w:lineRule="auto"/>
        <w:ind w:firstLine="420" w:firstLineChars="200"/>
        <w:rPr>
          <w:rFonts w:hint="default" w:cs="Arial"/>
          <w:color w:val="auto"/>
          <w:lang w:val="en-US" w:eastAsia="zh-CN"/>
        </w:rPr>
      </w:pPr>
      <w:r>
        <w:rPr>
          <w:rFonts w:hint="eastAsia" w:ascii="汉仪书宋二简"/>
          <w:color w:val="000000"/>
        </w:rPr>
        <w:t>委托监护是指监护人在暂时无法履行监护职责时，将监护职责委托给其他主体的情形。</w:t>
      </w:r>
      <w:r>
        <w:rPr>
          <w:rFonts w:hint="eastAsia" w:ascii="汉仪书宋二简" w:eastAsia="汉仪中黑简"/>
          <w:color w:val="FF0000"/>
        </w:rPr>
        <w:t>在委托监护的情形下，受托人并非监护人，仍以委托人为监护人</w:t>
      </w:r>
    </w:p>
    <w:p w14:paraId="4631DD6F">
      <w:pPr>
        <w:spacing w:line="276" w:lineRule="auto"/>
        <w:outlineLvl w:val="2"/>
        <w:rPr>
          <w:rFonts w:ascii="宋体" w:hAnsi="宋体" w:cs="宋体"/>
          <w:b/>
          <w:kern w:val="0"/>
          <w:szCs w:val="21"/>
        </w:rPr>
      </w:pPr>
      <w:r>
        <w:rPr>
          <w:rFonts w:hint="eastAsia" w:ascii="宋体" w:hAnsi="宋体" w:cs="宋体"/>
          <w:b/>
          <w:bCs/>
          <w:kern w:val="0"/>
          <w:szCs w:val="21"/>
        </w:rPr>
        <w:t xml:space="preserve">    （二）</w:t>
      </w:r>
      <w:r>
        <w:rPr>
          <w:rFonts w:hint="eastAsia" w:ascii="宋体" w:hAnsi="宋体" w:cs="宋体"/>
          <w:b/>
          <w:kern w:val="0"/>
          <w:szCs w:val="21"/>
        </w:rPr>
        <w:t>监护人</w:t>
      </w:r>
      <w:r>
        <w:rPr>
          <w:rFonts w:ascii="宋体" w:hAnsi="宋体" w:cs="宋体"/>
          <w:b/>
          <w:kern w:val="0"/>
          <w:szCs w:val="21"/>
        </w:rPr>
        <w:t>的职责</w:t>
      </w:r>
    </w:p>
    <w:p w14:paraId="6B700691">
      <w:pPr>
        <w:spacing w:line="276" w:lineRule="auto"/>
        <w:ind w:firstLine="480"/>
        <w:rPr>
          <w:rFonts w:ascii="宋体" w:hAnsi="宋体" w:cs="宋体"/>
          <w:b/>
          <w:bCs/>
          <w:kern w:val="0"/>
          <w:szCs w:val="21"/>
        </w:rPr>
      </w:pPr>
      <w:r>
        <w:rPr>
          <w:rFonts w:ascii="宋体" w:hAnsi="宋体" w:cs="宋体"/>
          <w:b/>
          <w:bCs/>
          <w:kern w:val="0"/>
          <w:szCs w:val="21"/>
        </w:rPr>
        <w:t>1.</w:t>
      </w:r>
      <w:r>
        <w:rPr>
          <w:rFonts w:hint="eastAsia" w:ascii="宋体" w:hAnsi="宋体" w:cs="宋体"/>
          <w:b/>
          <w:bCs/>
          <w:kern w:val="0"/>
          <w:szCs w:val="21"/>
        </w:rPr>
        <w:t>监护人履行职责的基本原则</w:t>
      </w:r>
    </w:p>
    <w:p w14:paraId="3F70D099">
      <w:pPr>
        <w:spacing w:line="276" w:lineRule="auto"/>
        <w:ind w:firstLine="480"/>
        <w:rPr>
          <w:rFonts w:ascii="宋体" w:hAnsi="宋体" w:cs="宋体"/>
          <w:kern w:val="0"/>
          <w:szCs w:val="21"/>
        </w:rPr>
      </w:pPr>
      <w:r>
        <w:rPr>
          <w:rFonts w:ascii="宋体" w:hAnsi="宋体" w:cs="宋体"/>
          <w:kern w:val="0"/>
          <w:szCs w:val="21"/>
        </w:rPr>
        <w:t>（1）最有利于被</w:t>
      </w:r>
      <w:r>
        <w:rPr>
          <w:rFonts w:hint="eastAsia" w:ascii="宋体" w:hAnsi="宋体" w:cs="宋体"/>
          <w:kern w:val="0"/>
          <w:szCs w:val="21"/>
        </w:rPr>
        <w:t>监护人</w:t>
      </w:r>
      <w:r>
        <w:rPr>
          <w:rFonts w:ascii="宋体" w:hAnsi="宋体" w:cs="宋体"/>
          <w:kern w:val="0"/>
          <w:szCs w:val="21"/>
        </w:rPr>
        <w:t>原则</w:t>
      </w:r>
      <w:r>
        <w:rPr>
          <w:rFonts w:hint="eastAsia" w:ascii="宋体" w:hAnsi="宋体" w:cs="宋体"/>
          <w:kern w:val="0"/>
          <w:szCs w:val="21"/>
        </w:rPr>
        <w:t>；</w:t>
      </w:r>
      <w:r>
        <w:rPr>
          <w:rFonts w:ascii="宋体" w:hAnsi="宋体" w:cs="宋体"/>
          <w:kern w:val="0"/>
          <w:szCs w:val="21"/>
        </w:rPr>
        <w:t>（2）尊重被监护人意愿的原则，</w:t>
      </w:r>
    </w:p>
    <w:p w14:paraId="1CDD5BFE">
      <w:pPr>
        <w:spacing w:line="276" w:lineRule="auto"/>
        <w:ind w:firstLine="480"/>
        <w:rPr>
          <w:rFonts w:ascii="宋体" w:hAnsi="宋体" w:cs="宋体"/>
          <w:b/>
          <w:bCs/>
          <w:kern w:val="0"/>
          <w:szCs w:val="21"/>
        </w:rPr>
      </w:pPr>
      <w:r>
        <w:rPr>
          <w:rFonts w:ascii="宋体" w:hAnsi="宋体" w:cs="宋体"/>
          <w:b/>
          <w:bCs/>
          <w:kern w:val="0"/>
          <w:szCs w:val="21"/>
        </w:rPr>
        <w:t>2.</w:t>
      </w:r>
      <w:r>
        <w:rPr>
          <w:rFonts w:hint="eastAsia" w:ascii="宋体" w:hAnsi="宋体" w:cs="宋体"/>
          <w:b/>
          <w:bCs/>
          <w:kern w:val="0"/>
          <w:szCs w:val="21"/>
        </w:rPr>
        <w:t>监护人处分被监护人财产行为的效力</w:t>
      </w:r>
    </w:p>
    <w:p w14:paraId="6D89C150">
      <w:pPr>
        <w:spacing w:line="276" w:lineRule="auto"/>
        <w:ind w:firstLine="480"/>
        <w:rPr>
          <w:rFonts w:ascii="宋体" w:hAnsi="宋体" w:cs="宋体"/>
          <w:kern w:val="0"/>
          <w:szCs w:val="21"/>
        </w:rPr>
      </w:pPr>
      <w:r>
        <w:rPr>
          <w:rFonts w:hint="eastAsia" w:ascii="宋体" w:hAnsi="宋体" w:cs="宋体"/>
          <w:b/>
          <w:bCs/>
          <w:color w:val="FF0000"/>
          <w:kern w:val="0"/>
          <w:szCs w:val="21"/>
        </w:rPr>
        <w:t>根据最有利于被监护人原则，监护人除</w:t>
      </w:r>
      <w:r>
        <w:rPr>
          <w:rFonts w:hint="eastAsia" w:ascii="宋体" w:hAnsi="宋体" w:cs="宋体"/>
          <w:b/>
          <w:bCs/>
          <w:color w:val="FF0000"/>
          <w:kern w:val="0"/>
          <w:szCs w:val="21"/>
          <w:u w:val="single"/>
        </w:rPr>
        <w:t>为维护被监护人利益</w:t>
      </w:r>
      <w:r>
        <w:rPr>
          <w:rFonts w:hint="eastAsia" w:ascii="宋体" w:hAnsi="宋体" w:cs="宋体"/>
          <w:b/>
          <w:bCs/>
          <w:color w:val="FF0000"/>
          <w:kern w:val="0"/>
          <w:szCs w:val="21"/>
        </w:rPr>
        <w:t>外，</w:t>
      </w:r>
      <w:r>
        <w:rPr>
          <w:rFonts w:hint="eastAsia" w:ascii="宋体" w:hAnsi="宋体" w:cs="宋体"/>
          <w:b/>
          <w:bCs/>
          <w:color w:val="FF0000"/>
          <w:kern w:val="0"/>
          <w:szCs w:val="21"/>
          <w:u w:val="single"/>
        </w:rPr>
        <w:t>不得处分被监护人的财产</w:t>
      </w:r>
      <w:r>
        <w:rPr>
          <w:rFonts w:hint="eastAsia" w:ascii="宋体" w:hAnsi="宋体" w:cs="宋体"/>
          <w:kern w:val="0"/>
          <w:szCs w:val="21"/>
        </w:rPr>
        <w:t>。</w:t>
      </w:r>
    </w:p>
    <w:p w14:paraId="599DC099">
      <w:pPr>
        <w:spacing w:line="276" w:lineRule="auto"/>
        <w:rPr>
          <w:rFonts w:ascii="宋体" w:hAnsi="宋体" w:cs="宋体"/>
          <w:kern w:val="0"/>
          <w:szCs w:val="21"/>
        </w:rPr>
      </w:pPr>
      <w:r>
        <w:rPr>
          <w:rFonts w:hint="eastAsia" w:ascii="宋体" w:hAnsi="宋体" w:cs="宋体"/>
          <w:kern w:val="0"/>
          <w:szCs w:val="21"/>
        </w:rPr>
        <w:t xml:space="preserve">     </w:t>
      </w:r>
      <w:r>
        <w:rPr>
          <w:rFonts w:ascii="宋体" w:hAnsi="宋体" w:cs="宋体"/>
          <w:b/>
          <w:bCs/>
          <w:kern w:val="0"/>
          <w:szCs w:val="21"/>
        </w:rPr>
        <w:t>3.</w:t>
      </w:r>
      <w:r>
        <w:rPr>
          <w:rFonts w:hint="eastAsia" w:ascii="宋体" w:hAnsi="宋体" w:cs="宋体"/>
          <w:b/>
          <w:bCs/>
          <w:kern w:val="0"/>
          <w:szCs w:val="21"/>
        </w:rPr>
        <w:t>无、限制民事行为能力人的侵权责任承担——监护人承担补充、替代、无过错责任</w:t>
      </w:r>
    </w:p>
    <w:p w14:paraId="760F9E30">
      <w:pPr>
        <w:spacing w:line="276" w:lineRule="auto"/>
        <w:ind w:firstLine="420"/>
        <w:rPr>
          <w:rFonts w:hint="eastAsia" w:ascii="宋体" w:hAnsi="宋体" w:eastAsia="宋体" w:cs="宋体"/>
          <w:color w:val="FF0000"/>
          <w:kern w:val="0"/>
          <w:szCs w:val="21"/>
          <w:lang w:eastAsia="zh-CN"/>
        </w:rPr>
      </w:pPr>
      <w:r>
        <w:rPr>
          <w:rFonts w:ascii="宋体" w:hAnsi="宋体" w:cs="宋体"/>
          <w:kern w:val="0"/>
          <w:szCs w:val="21"/>
        </w:rPr>
        <w:t>无民事行为能力人、限制民事行为能力人造成他人损害的，由监护人承担侵权责任。</w:t>
      </w:r>
      <w:r>
        <w:rPr>
          <w:rFonts w:ascii="宋体" w:hAnsi="宋体" w:cs="宋体"/>
          <w:color w:val="FF0000"/>
          <w:kern w:val="0"/>
          <w:szCs w:val="21"/>
        </w:rPr>
        <w:t>监护人尽到监护责任的，可以减轻其侵权责任。</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特殊无过错责任</w:t>
      </w:r>
      <w:r>
        <w:rPr>
          <w:rFonts w:hint="eastAsia" w:ascii="宋体" w:hAnsi="宋体" w:cs="宋体"/>
          <w:color w:val="FF0000"/>
          <w:kern w:val="0"/>
          <w:szCs w:val="21"/>
          <w:lang w:eastAsia="zh-CN"/>
        </w:rPr>
        <w:t>）</w:t>
      </w:r>
    </w:p>
    <w:p w14:paraId="3AC0AB27">
      <w:pPr>
        <w:spacing w:line="276" w:lineRule="auto"/>
        <w:ind w:firstLine="420"/>
        <w:rPr>
          <w:rFonts w:ascii="宋体" w:hAnsi="宋体" w:cs="宋体"/>
          <w:kern w:val="0"/>
          <w:szCs w:val="21"/>
          <w:u w:val="single"/>
        </w:rPr>
      </w:pPr>
      <w:r>
        <w:rPr>
          <w:rFonts w:hint="eastAsia" w:ascii="宋体" w:hAnsi="宋体" w:cs="宋体"/>
          <w:kern w:val="0"/>
          <w:szCs w:val="21"/>
        </w:rPr>
        <w:t>在具体的责任承担方式上，</w:t>
      </w:r>
      <w:r>
        <w:rPr>
          <w:rFonts w:hint="eastAsia" w:ascii="宋体" w:hAnsi="宋体" w:cs="宋体"/>
          <w:color w:val="FF0000"/>
          <w:kern w:val="0"/>
          <w:szCs w:val="21"/>
        </w:rPr>
        <w:t>首先</w:t>
      </w:r>
      <w:r>
        <w:rPr>
          <w:rFonts w:ascii="宋体" w:hAnsi="宋体" w:cs="宋体"/>
          <w:color w:val="FF0000"/>
          <w:kern w:val="0"/>
          <w:szCs w:val="21"/>
        </w:rPr>
        <w:t>从</w:t>
      </w:r>
      <w:r>
        <w:rPr>
          <w:rFonts w:hint="eastAsia" w:ascii="宋体" w:hAnsi="宋体" w:cs="宋体"/>
          <w:color w:val="FF0000"/>
          <w:kern w:val="0"/>
          <w:szCs w:val="21"/>
        </w:rPr>
        <w:t>无、限制民事行为能力人的</w:t>
      </w:r>
      <w:r>
        <w:rPr>
          <w:rFonts w:ascii="宋体" w:hAnsi="宋体" w:cs="宋体"/>
          <w:color w:val="FF0000"/>
          <w:kern w:val="0"/>
          <w:szCs w:val="21"/>
        </w:rPr>
        <w:t>本人财产中支付</w:t>
      </w:r>
      <w:r>
        <w:rPr>
          <w:rFonts w:hint="eastAsia" w:ascii="宋体" w:hAnsi="宋体" w:cs="宋体"/>
          <w:color w:val="FF0000"/>
          <w:kern w:val="0"/>
          <w:szCs w:val="21"/>
        </w:rPr>
        <w:t>侵权</w:t>
      </w:r>
      <w:r>
        <w:rPr>
          <w:rFonts w:ascii="宋体" w:hAnsi="宋体" w:cs="宋体"/>
          <w:color w:val="FF0000"/>
          <w:kern w:val="0"/>
          <w:szCs w:val="21"/>
        </w:rPr>
        <w:t>赔偿费用</w:t>
      </w:r>
      <w:r>
        <w:rPr>
          <w:rFonts w:hint="eastAsia" w:ascii="宋体" w:hAnsi="宋体" w:cs="宋体"/>
          <w:color w:val="FF0000"/>
          <w:kern w:val="0"/>
          <w:szCs w:val="21"/>
        </w:rPr>
        <w:t>，</w:t>
      </w:r>
      <w:r>
        <w:rPr>
          <w:rFonts w:ascii="宋体" w:hAnsi="宋体" w:cs="宋体"/>
          <w:color w:val="FF0000"/>
          <w:kern w:val="0"/>
          <w:szCs w:val="21"/>
        </w:rPr>
        <w:t>不足部分，</w:t>
      </w:r>
      <w:r>
        <w:rPr>
          <w:rFonts w:hint="eastAsia" w:ascii="宋体" w:hAnsi="宋体" w:cs="宋体"/>
          <w:color w:val="FF0000"/>
          <w:kern w:val="0"/>
          <w:szCs w:val="21"/>
        </w:rPr>
        <w:t>再</w:t>
      </w:r>
      <w:r>
        <w:rPr>
          <w:rFonts w:ascii="宋体" w:hAnsi="宋体" w:cs="宋体"/>
          <w:color w:val="FF0000"/>
          <w:kern w:val="0"/>
          <w:szCs w:val="21"/>
        </w:rPr>
        <w:t>由监护人</w:t>
      </w:r>
      <w:r>
        <w:rPr>
          <w:rFonts w:hint="eastAsia" w:ascii="宋体" w:hAnsi="宋体" w:cs="宋体"/>
          <w:color w:val="FF0000"/>
          <w:kern w:val="0"/>
          <w:szCs w:val="21"/>
        </w:rPr>
        <w:t>补充</w:t>
      </w:r>
      <w:r>
        <w:rPr>
          <w:rFonts w:ascii="宋体" w:hAnsi="宋体" w:cs="宋体"/>
          <w:color w:val="FF0000"/>
          <w:kern w:val="0"/>
          <w:szCs w:val="21"/>
        </w:rPr>
        <w:t>赔偿</w:t>
      </w:r>
      <w:r>
        <w:rPr>
          <w:rFonts w:ascii="宋体" w:hAnsi="宋体" w:cs="宋体"/>
          <w:kern w:val="0"/>
          <w:szCs w:val="21"/>
        </w:rPr>
        <w:t>。</w:t>
      </w:r>
    </w:p>
    <w:p w14:paraId="0A3811FF">
      <w:pPr>
        <w:spacing w:line="276" w:lineRule="auto"/>
        <w:outlineLvl w:val="2"/>
        <w:rPr>
          <w:rFonts w:ascii="宋体" w:hAnsi="宋体" w:cs="宋体"/>
          <w:b/>
          <w:kern w:val="0"/>
          <w:szCs w:val="21"/>
        </w:rPr>
      </w:pPr>
      <w:r>
        <w:rPr>
          <w:rFonts w:hint="eastAsia" w:ascii="宋体" w:hAnsi="宋体" w:cs="宋体"/>
          <w:b/>
          <w:bCs/>
          <w:kern w:val="0"/>
          <w:szCs w:val="21"/>
        </w:rPr>
        <w:t xml:space="preserve">    （三）监护人资格</w:t>
      </w:r>
      <w:r>
        <w:rPr>
          <w:rFonts w:ascii="宋体" w:hAnsi="宋体" w:cs="宋体"/>
          <w:b/>
          <w:bCs/>
          <w:kern w:val="0"/>
          <w:szCs w:val="21"/>
        </w:rPr>
        <w:t>的撤销</w:t>
      </w:r>
      <w:r>
        <w:rPr>
          <w:rFonts w:hint="eastAsia" w:ascii="宋体" w:hAnsi="宋体" w:cs="宋体"/>
          <w:b/>
          <w:bCs/>
          <w:kern w:val="0"/>
          <w:szCs w:val="21"/>
        </w:rPr>
        <w:t>与恢复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421"/>
      </w:tblGrid>
      <w:tr w14:paraId="191C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14:paraId="702A2E33">
            <w:pPr>
              <w:widowControl/>
              <w:autoSpaceDE w:val="0"/>
              <w:autoSpaceDN w:val="0"/>
              <w:adjustRightInd w:val="0"/>
              <w:spacing w:line="276" w:lineRule="auto"/>
              <w:jc w:val="left"/>
              <w:rPr>
                <w:rFonts w:ascii="宋体" w:hAnsi="宋体" w:cs="宋体"/>
                <w:kern w:val="0"/>
                <w:szCs w:val="21"/>
              </w:rPr>
            </w:pPr>
            <w:r>
              <w:rPr>
                <w:rFonts w:ascii="宋体" w:hAnsi="宋体" w:cs="宋体"/>
                <w:b/>
                <w:bCs/>
                <w:kern w:val="0"/>
                <w:szCs w:val="21"/>
              </w:rPr>
              <w:t>撤销原因</w:t>
            </w:r>
          </w:p>
        </w:tc>
        <w:tc>
          <w:tcPr>
            <w:tcW w:w="7421" w:type="dxa"/>
            <w:noWrap w:val="0"/>
            <w:vAlign w:val="center"/>
          </w:tcPr>
          <w:p w14:paraId="03E0ACB6">
            <w:pPr>
              <w:widowControl/>
              <w:autoSpaceDE w:val="0"/>
              <w:autoSpaceDN w:val="0"/>
              <w:adjustRightInd w:val="0"/>
              <w:spacing w:line="276" w:lineRule="auto"/>
              <w:jc w:val="left"/>
              <w:rPr>
                <w:rFonts w:ascii="宋体" w:hAnsi="宋体" w:cs="宋体"/>
                <w:kern w:val="0"/>
                <w:szCs w:val="21"/>
              </w:rPr>
            </w:pPr>
            <w:r>
              <w:rPr>
                <w:rFonts w:ascii="宋体" w:hAnsi="宋体" w:cs="宋体"/>
                <w:kern w:val="0"/>
                <w:szCs w:val="21"/>
              </w:rPr>
              <w:t>（1）严重损害被监护人身心健康；</w:t>
            </w:r>
          </w:p>
          <w:p w14:paraId="12D80268">
            <w:pPr>
              <w:widowControl/>
              <w:autoSpaceDE w:val="0"/>
              <w:autoSpaceDN w:val="0"/>
              <w:adjustRightInd w:val="0"/>
              <w:spacing w:line="276" w:lineRule="auto"/>
              <w:jc w:val="left"/>
              <w:rPr>
                <w:rFonts w:ascii="宋体" w:hAnsi="宋体" w:cs="宋体"/>
                <w:kern w:val="0"/>
                <w:szCs w:val="21"/>
              </w:rPr>
            </w:pPr>
            <w:r>
              <w:rPr>
                <w:rFonts w:ascii="宋体" w:hAnsi="宋体" w:cs="宋体"/>
                <w:kern w:val="0"/>
                <w:szCs w:val="21"/>
              </w:rPr>
              <w:t>（2）怠于履行监护职责，或者无法履行监护职责并且拒绝将监护职责部分或者全部委托给他人，导致被监护人处于危困状态；</w:t>
            </w:r>
          </w:p>
          <w:p w14:paraId="3A0938EC">
            <w:pPr>
              <w:widowControl/>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严重侵害被监护人合法权益的其他行为。</w:t>
            </w:r>
          </w:p>
        </w:tc>
      </w:tr>
      <w:tr w14:paraId="76B0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14:paraId="45F1568B">
            <w:pPr>
              <w:widowControl/>
              <w:autoSpaceDE w:val="0"/>
              <w:autoSpaceDN w:val="0"/>
              <w:adjustRightInd w:val="0"/>
              <w:spacing w:line="276" w:lineRule="auto"/>
              <w:jc w:val="left"/>
              <w:rPr>
                <w:rFonts w:ascii="宋体" w:hAnsi="宋体" w:cs="宋体"/>
                <w:kern w:val="0"/>
                <w:szCs w:val="21"/>
              </w:rPr>
            </w:pPr>
            <w:r>
              <w:rPr>
                <w:rFonts w:hint="eastAsia" w:ascii="宋体" w:hAnsi="宋体" w:cs="宋体"/>
                <w:b/>
                <w:bCs/>
                <w:kern w:val="0"/>
                <w:szCs w:val="21"/>
              </w:rPr>
              <w:t>申请主体</w:t>
            </w:r>
          </w:p>
        </w:tc>
        <w:tc>
          <w:tcPr>
            <w:tcW w:w="7421" w:type="dxa"/>
            <w:noWrap w:val="0"/>
            <w:vAlign w:val="center"/>
          </w:tcPr>
          <w:p w14:paraId="635AD3C7">
            <w:pPr>
              <w:widowControl/>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其他具有监护资格的人；</w:t>
            </w:r>
          </w:p>
          <w:p w14:paraId="48958DF5">
            <w:pPr>
              <w:widowControl/>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有关个人、组织（范围广泛，各类社会团体组织均可）。</w:t>
            </w:r>
          </w:p>
        </w:tc>
      </w:tr>
      <w:tr w14:paraId="5359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14:paraId="47D2A4AB">
            <w:pPr>
              <w:widowControl/>
              <w:autoSpaceDE w:val="0"/>
              <w:autoSpaceDN w:val="0"/>
              <w:adjustRightInd w:val="0"/>
              <w:spacing w:line="276" w:lineRule="auto"/>
              <w:jc w:val="left"/>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决定主体</w:t>
            </w:r>
          </w:p>
        </w:tc>
        <w:tc>
          <w:tcPr>
            <w:tcW w:w="7421" w:type="dxa"/>
            <w:noWrap w:val="0"/>
            <w:vAlign w:val="center"/>
          </w:tcPr>
          <w:p w14:paraId="4CF7FF5A">
            <w:pPr>
              <w:widowControl/>
              <w:autoSpaceDE w:val="0"/>
              <w:autoSpaceDN w:val="0"/>
              <w:adjustRightInd w:val="0"/>
              <w:spacing w:line="276" w:lineRule="auto"/>
              <w:jc w:val="left"/>
              <w:rPr>
                <w:rFonts w:hint="default" w:ascii="宋体" w:hAnsi="宋体" w:eastAsia="宋体" w:cs="宋体"/>
                <w:kern w:val="0"/>
                <w:szCs w:val="21"/>
                <w:lang w:val="en-US" w:eastAsia="zh-CN"/>
              </w:rPr>
            </w:pPr>
            <w:r>
              <w:rPr>
                <w:rFonts w:hint="eastAsia" w:ascii="宋体" w:hAnsi="宋体" w:cs="宋体"/>
                <w:color w:val="FF0000"/>
                <w:kern w:val="0"/>
                <w:szCs w:val="21"/>
                <w:lang w:val="en-US" w:eastAsia="zh-CN"/>
              </w:rPr>
              <w:t>只能法院决定</w:t>
            </w:r>
          </w:p>
        </w:tc>
      </w:tr>
      <w:tr w14:paraId="316B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14:paraId="132CCC72">
            <w:pPr>
              <w:widowControl/>
              <w:autoSpaceDE w:val="0"/>
              <w:autoSpaceDN w:val="0"/>
              <w:adjustRightInd w:val="0"/>
              <w:spacing w:line="276" w:lineRule="auto"/>
              <w:jc w:val="left"/>
              <w:rPr>
                <w:rFonts w:ascii="宋体" w:hAnsi="宋体" w:cs="宋体"/>
                <w:kern w:val="0"/>
                <w:szCs w:val="21"/>
              </w:rPr>
            </w:pPr>
            <w:r>
              <w:rPr>
                <w:rFonts w:hint="eastAsia" w:ascii="宋体" w:hAnsi="宋体" w:cs="宋体"/>
                <w:b/>
                <w:bCs/>
                <w:kern w:val="0"/>
                <w:szCs w:val="21"/>
              </w:rPr>
              <w:t>撤销后果</w:t>
            </w:r>
          </w:p>
        </w:tc>
        <w:tc>
          <w:tcPr>
            <w:tcW w:w="7421" w:type="dxa"/>
            <w:noWrap w:val="0"/>
            <w:vAlign w:val="center"/>
          </w:tcPr>
          <w:p w14:paraId="71DE6E46">
            <w:pPr>
              <w:widowControl/>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丧失监护人身份，但</w:t>
            </w:r>
            <w:r>
              <w:rPr>
                <w:rFonts w:hint="eastAsia" w:ascii="宋体" w:hAnsi="宋体" w:cs="宋体"/>
                <w:kern w:val="0"/>
                <w:szCs w:val="21"/>
                <w:lang w:val="en-US" w:eastAsia="zh-CN"/>
              </w:rPr>
              <w:t>仍需负担抚养费等</w:t>
            </w:r>
            <w:r>
              <w:rPr>
                <w:rFonts w:hint="eastAsia" w:ascii="宋体" w:hAnsi="宋体" w:cs="宋体"/>
                <w:kern w:val="0"/>
                <w:szCs w:val="21"/>
              </w:rPr>
              <w:t>。</w:t>
            </w:r>
          </w:p>
        </w:tc>
      </w:tr>
      <w:tr w14:paraId="1E72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14:paraId="0C95E03C">
            <w:pPr>
              <w:widowControl/>
              <w:autoSpaceDE w:val="0"/>
              <w:autoSpaceDN w:val="0"/>
              <w:adjustRightInd w:val="0"/>
              <w:spacing w:line="276" w:lineRule="auto"/>
              <w:jc w:val="left"/>
              <w:rPr>
                <w:rFonts w:ascii="宋体" w:hAnsi="宋体" w:cs="宋体"/>
                <w:kern w:val="0"/>
                <w:szCs w:val="21"/>
              </w:rPr>
            </w:pPr>
            <w:r>
              <w:rPr>
                <w:rFonts w:hint="eastAsia" w:ascii="宋体" w:hAnsi="宋体" w:cs="宋体"/>
                <w:b/>
                <w:bCs/>
                <w:kern w:val="0"/>
                <w:szCs w:val="21"/>
              </w:rPr>
              <w:t>恢复程序</w:t>
            </w:r>
          </w:p>
        </w:tc>
        <w:tc>
          <w:tcPr>
            <w:tcW w:w="7421" w:type="dxa"/>
            <w:noWrap w:val="0"/>
            <w:vAlign w:val="center"/>
          </w:tcPr>
          <w:p w14:paraId="04DF99EC">
            <w:pPr>
              <w:widowControl/>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（1）</w:t>
            </w:r>
            <w:r>
              <w:rPr>
                <w:rFonts w:hint="eastAsia" w:ascii="宋体" w:hAnsi="宋体" w:cs="宋体"/>
                <w:color w:val="FF0000"/>
                <w:kern w:val="0"/>
                <w:szCs w:val="21"/>
              </w:rPr>
              <w:t>仅限于父母或子女被撤销监护人资格情形</w:t>
            </w:r>
            <w:r>
              <w:rPr>
                <w:rFonts w:hint="eastAsia" w:ascii="宋体" w:hAnsi="宋体" w:cs="宋体"/>
                <w:kern w:val="0"/>
                <w:szCs w:val="21"/>
              </w:rPr>
              <w:t>；（</w:t>
            </w:r>
            <w:r>
              <w:rPr>
                <w:rFonts w:hint="eastAsia" w:ascii="宋体" w:hAnsi="宋体" w:cs="宋体"/>
                <w:kern w:val="0"/>
                <w:szCs w:val="21"/>
                <w:u w:val="single"/>
              </w:rPr>
              <w:t>注意：不包括配偶）</w:t>
            </w:r>
          </w:p>
          <w:p w14:paraId="16201F4C">
            <w:pPr>
              <w:widowControl/>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（2）确有悔改表现</w:t>
            </w:r>
            <w:r>
              <w:rPr>
                <w:rFonts w:hint="eastAsia" w:ascii="宋体" w:hAnsi="宋体" w:cs="宋体"/>
                <w:kern w:val="0"/>
                <w:szCs w:val="21"/>
                <w:u w:val="single"/>
              </w:rPr>
              <w:t>并且经本人申请</w:t>
            </w:r>
            <w:r>
              <w:rPr>
                <w:rFonts w:hint="eastAsia" w:ascii="宋体" w:hAnsi="宋体" w:cs="宋体"/>
                <w:kern w:val="0"/>
                <w:szCs w:val="21"/>
              </w:rPr>
              <w:t xml:space="preserve">； </w:t>
            </w:r>
          </w:p>
          <w:p w14:paraId="07D9478D">
            <w:pPr>
              <w:widowControl/>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（3）尊重被监护人意愿前提下，</w:t>
            </w:r>
            <w:r>
              <w:rPr>
                <w:rFonts w:hint="eastAsia" w:ascii="宋体" w:hAnsi="宋体" w:cs="宋体"/>
                <w:color w:val="FF0000"/>
                <w:kern w:val="0"/>
                <w:szCs w:val="21"/>
              </w:rPr>
              <w:t>法院</w:t>
            </w:r>
            <w:r>
              <w:rPr>
                <w:rFonts w:hint="eastAsia" w:ascii="宋体" w:hAnsi="宋体" w:cs="宋体"/>
                <w:kern w:val="0"/>
                <w:szCs w:val="21"/>
              </w:rPr>
              <w:t>酌定恢复；</w:t>
            </w:r>
          </w:p>
          <w:p w14:paraId="1C4927E8">
            <w:pPr>
              <w:widowControl/>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（4）同时终止人民法院指定的监护关系；</w:t>
            </w:r>
          </w:p>
          <w:p w14:paraId="649079C0">
            <w:pPr>
              <w:widowControl/>
              <w:autoSpaceDE w:val="0"/>
              <w:autoSpaceDN w:val="0"/>
              <w:adjustRightInd w:val="0"/>
              <w:spacing w:line="276" w:lineRule="auto"/>
              <w:jc w:val="left"/>
              <w:rPr>
                <w:rFonts w:ascii="宋体" w:hAnsi="宋体" w:cs="宋体"/>
                <w:kern w:val="0"/>
                <w:szCs w:val="21"/>
              </w:rPr>
            </w:pPr>
            <w:r>
              <w:rPr>
                <w:rFonts w:hint="eastAsia" w:ascii="宋体" w:hAnsi="宋体" w:cs="宋体"/>
                <w:kern w:val="0"/>
                <w:szCs w:val="21"/>
              </w:rPr>
              <w:t>（5）</w:t>
            </w:r>
            <w:r>
              <w:rPr>
                <w:rFonts w:hint="eastAsia" w:ascii="宋体" w:hAnsi="宋体" w:cs="宋体"/>
                <w:color w:val="FF0000"/>
                <w:kern w:val="0"/>
                <w:szCs w:val="21"/>
              </w:rPr>
              <w:t>对被监护人实施</w:t>
            </w:r>
            <w:r>
              <w:rPr>
                <w:rFonts w:hint="eastAsia" w:ascii="宋体" w:hAnsi="宋体" w:cs="宋体"/>
                <w:color w:val="FF0000"/>
                <w:kern w:val="0"/>
                <w:szCs w:val="21"/>
                <w:u w:val="single"/>
              </w:rPr>
              <w:t>故意犯罪</w:t>
            </w:r>
            <w:r>
              <w:rPr>
                <w:rFonts w:hint="eastAsia" w:ascii="宋体" w:hAnsi="宋体" w:cs="宋体"/>
                <w:color w:val="FF0000"/>
                <w:kern w:val="0"/>
                <w:szCs w:val="21"/>
              </w:rPr>
              <w:t>者，</w:t>
            </w:r>
            <w:r>
              <w:rPr>
                <w:rFonts w:hint="eastAsia" w:ascii="宋体" w:hAnsi="宋体" w:cs="宋体"/>
                <w:color w:val="FF0000"/>
                <w:kern w:val="0"/>
                <w:szCs w:val="21"/>
                <w:u w:val="single"/>
              </w:rPr>
              <w:t>禁止恢复</w:t>
            </w:r>
            <w:r>
              <w:rPr>
                <w:rFonts w:hint="eastAsia" w:ascii="宋体" w:hAnsi="宋体" w:cs="宋体"/>
                <w:color w:val="FF0000"/>
                <w:kern w:val="0"/>
                <w:szCs w:val="21"/>
              </w:rPr>
              <w:t>其监护资格。</w:t>
            </w:r>
          </w:p>
        </w:tc>
      </w:tr>
    </w:tbl>
    <w:p w14:paraId="462C80B0">
      <w:pPr>
        <w:widowControl/>
        <w:autoSpaceDE w:val="0"/>
        <w:autoSpaceDN w:val="0"/>
        <w:adjustRightInd w:val="0"/>
        <w:spacing w:line="276" w:lineRule="auto"/>
        <w:jc w:val="left"/>
        <w:rPr>
          <w:rFonts w:ascii="宋体" w:hAnsi="宋体" w:cs="宋体"/>
          <w:kern w:val="0"/>
          <w:szCs w:val="21"/>
        </w:rPr>
      </w:pPr>
    </w:p>
    <w:p w14:paraId="13F3B79B">
      <w:pPr>
        <w:spacing w:line="276" w:lineRule="auto"/>
        <w:outlineLvl w:val="2"/>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（四）监护关系终止</w:t>
      </w:r>
    </w:p>
    <w:p w14:paraId="2C450C2E">
      <w:pPr>
        <w:tabs>
          <w:tab w:val="left" w:pos="420"/>
        </w:tabs>
        <w:ind w:firstLine="420"/>
        <w:rPr>
          <w:rFonts w:ascii="汉仪书宋二简" w:hAnsi="Calibri" w:cs="Arial"/>
          <w:color w:val="000000"/>
        </w:rPr>
      </w:pPr>
      <w:r>
        <w:rPr>
          <w:rFonts w:hint="eastAsia" w:ascii="汉仪书宋二简" w:hAnsi="Calibri" w:cs="Arial"/>
          <w:color w:val="000000"/>
        </w:rPr>
        <w:t>监护关系的终止事由有以下几种：</w:t>
      </w:r>
    </w:p>
    <w:p w14:paraId="3ACCEAA3">
      <w:pPr>
        <w:tabs>
          <w:tab w:val="left" w:pos="420"/>
        </w:tabs>
        <w:ind w:firstLine="420"/>
        <w:rPr>
          <w:rFonts w:ascii="汉仪书宋二简" w:hAnsi="Calibri" w:cs="Arial"/>
          <w:color w:val="000000"/>
        </w:rPr>
      </w:pPr>
      <w:r>
        <w:rPr>
          <w:rFonts w:hint="eastAsia" w:ascii="汉仪书宋二简" w:hAnsi="Calibri" w:cs="Arial"/>
          <w:color w:val="000000"/>
        </w:rPr>
        <w:t>1．</w:t>
      </w:r>
      <w:r>
        <w:rPr>
          <w:rFonts w:ascii="汉仪书宋二简" w:hAnsi="Calibri" w:cs="Arial"/>
          <w:color w:val="000000"/>
        </w:rPr>
        <w:t>被监护人取得或者恢复完全民事行为能力；</w:t>
      </w:r>
    </w:p>
    <w:p w14:paraId="76E1F354">
      <w:pPr>
        <w:tabs>
          <w:tab w:val="left" w:pos="420"/>
        </w:tabs>
        <w:ind w:firstLine="420"/>
        <w:rPr>
          <w:rFonts w:ascii="汉仪书宋二简" w:hAnsi="Calibri" w:cs="Arial"/>
          <w:color w:val="000000"/>
        </w:rPr>
      </w:pPr>
      <w:r>
        <w:rPr>
          <w:rFonts w:hint="eastAsia" w:ascii="汉仪书宋二简" w:hAnsi="Calibri" w:cs="Arial"/>
          <w:color w:val="000000"/>
        </w:rPr>
        <w:t>2．</w:t>
      </w:r>
      <w:r>
        <w:rPr>
          <w:rFonts w:ascii="汉仪书宋二简" w:hAnsi="Calibri" w:cs="Arial"/>
          <w:color w:val="000000"/>
        </w:rPr>
        <w:t>监护人丧失监护能力；</w:t>
      </w:r>
    </w:p>
    <w:p w14:paraId="726D6359">
      <w:pPr>
        <w:tabs>
          <w:tab w:val="left" w:pos="420"/>
        </w:tabs>
        <w:ind w:firstLine="420"/>
        <w:rPr>
          <w:rFonts w:ascii="汉仪书宋二简" w:hAnsi="Calibri" w:cs="Arial"/>
          <w:color w:val="000000"/>
        </w:rPr>
      </w:pPr>
      <w:r>
        <w:rPr>
          <w:rFonts w:hint="eastAsia" w:ascii="汉仪书宋二简" w:hAnsi="Calibri" w:cs="Arial"/>
          <w:color w:val="000000"/>
        </w:rPr>
        <w:t>3．</w:t>
      </w:r>
      <w:r>
        <w:rPr>
          <w:rFonts w:ascii="汉仪书宋二简" w:hAnsi="Calibri" w:cs="Arial"/>
          <w:color w:val="000000"/>
        </w:rPr>
        <w:t>被监护人或者监护人死亡；</w:t>
      </w:r>
    </w:p>
    <w:p w14:paraId="6F3264AC">
      <w:pPr>
        <w:tabs>
          <w:tab w:val="left" w:pos="420"/>
        </w:tabs>
        <w:ind w:firstLine="420"/>
        <w:rPr>
          <w:rFonts w:hint="eastAsia" w:ascii="汉仪书宋二简" w:hAnsi="Calibri" w:cs="Arial"/>
          <w:color w:val="000000"/>
        </w:rPr>
      </w:pPr>
      <w:r>
        <w:rPr>
          <w:rFonts w:hint="eastAsia" w:ascii="汉仪书宋二简" w:hAnsi="Calibri" w:cs="Arial"/>
          <w:color w:val="000000"/>
        </w:rPr>
        <w:t>4．</w:t>
      </w:r>
      <w:r>
        <w:rPr>
          <w:rFonts w:ascii="汉仪书宋二简" w:hAnsi="Calibri" w:cs="Arial"/>
          <w:color w:val="000000"/>
        </w:rPr>
        <w:t>人民法院认定监护关系终止的其他情形</w:t>
      </w:r>
      <w:r>
        <w:rPr>
          <w:rFonts w:hint="eastAsia" w:ascii="汉仪书宋二简" w:hAnsi="Calibri" w:cs="Arial"/>
          <w:color w:val="000000"/>
        </w:rPr>
        <w:t>。</w:t>
      </w:r>
    </w:p>
    <w:p w14:paraId="0B56EA8C">
      <w:pPr>
        <w:tabs>
          <w:tab w:val="left" w:pos="420"/>
        </w:tabs>
        <w:rPr>
          <w:rFonts w:hint="default" w:ascii="汉仪书宋二简" w:hAnsi="Calibri" w:cs="Arial"/>
          <w:color w:val="000000"/>
          <w:lang w:val="en-US" w:eastAsia="zh-CN"/>
        </w:rPr>
      </w:pPr>
    </w:p>
    <w:p w14:paraId="425A59CA">
      <w:pPr>
        <w:spacing w:line="276" w:lineRule="auto"/>
        <w:jc w:val="left"/>
        <w:outlineLvl w:val="1"/>
        <w:rPr>
          <w:rFonts w:ascii="宋体" w:hAnsi="宋体"/>
          <w:b/>
          <w:szCs w:val="21"/>
        </w:rPr>
      </w:pPr>
      <w:bookmarkStart w:id="7" w:name="_Toc514093050"/>
      <w:r>
        <w:rPr>
          <w:rFonts w:hint="eastAsia" w:ascii="宋体" w:hAnsi="宋体"/>
          <w:b/>
          <w:szCs w:val="21"/>
        </w:rPr>
        <w:t xml:space="preserve">    四、宣告失踪、宣告死亡</w:t>
      </w:r>
      <w:bookmarkEnd w:id="7"/>
    </w:p>
    <w:p w14:paraId="20AE0A29">
      <w:pPr>
        <w:spacing w:line="276" w:lineRule="auto"/>
        <w:outlineLvl w:val="2"/>
        <w:rPr>
          <w:rFonts w:ascii="宋体" w:hAnsi="宋体" w:cs="宋体"/>
          <w:b/>
          <w:bCs/>
          <w:kern w:val="0"/>
          <w:szCs w:val="21"/>
        </w:rPr>
      </w:pPr>
      <w:r>
        <w:rPr>
          <w:rFonts w:hint="eastAsia" w:ascii="宋体" w:hAnsi="宋体" w:cs="宋体"/>
          <w:b/>
          <w:bCs/>
          <w:kern w:val="0"/>
          <w:szCs w:val="21"/>
        </w:rPr>
        <w:t xml:space="preserve">    （一）宣告失踪</w:t>
      </w:r>
    </w:p>
    <w:p w14:paraId="6A753062">
      <w:pPr>
        <w:spacing w:line="276" w:lineRule="auto"/>
        <w:ind w:firstLine="420"/>
        <w:rPr>
          <w:rFonts w:ascii="宋体" w:hAnsi="宋体" w:cs="宋体"/>
          <w:b/>
          <w:bCs/>
          <w:kern w:val="0"/>
          <w:szCs w:val="21"/>
        </w:rPr>
      </w:pPr>
      <w:r>
        <w:rPr>
          <w:rFonts w:ascii="宋体" w:hAnsi="宋体" w:cs="宋体"/>
          <w:b/>
          <w:bCs/>
          <w:kern w:val="0"/>
          <w:szCs w:val="21"/>
        </w:rPr>
        <w:t>1.</w:t>
      </w:r>
      <w:r>
        <w:rPr>
          <w:rFonts w:hint="eastAsia" w:ascii="宋体" w:hAnsi="宋体" w:cs="宋体"/>
          <w:b/>
          <w:bCs/>
          <w:kern w:val="0"/>
          <w:szCs w:val="21"/>
        </w:rPr>
        <w:t>条件</w:t>
      </w:r>
    </w:p>
    <w:p w14:paraId="57D23E50">
      <w:pPr>
        <w:spacing w:line="276" w:lineRule="auto"/>
        <w:ind w:firstLine="420"/>
        <w:rPr>
          <w:rFonts w:ascii="宋体" w:hAnsi="宋体" w:cs="宋体"/>
          <w:kern w:val="0"/>
          <w:szCs w:val="21"/>
        </w:rPr>
      </w:pPr>
      <w:r>
        <w:rPr>
          <w:rFonts w:hint="eastAsia" w:ascii="宋体" w:hAnsi="宋体" w:cs="宋体"/>
          <w:kern w:val="0"/>
          <w:szCs w:val="21"/>
        </w:rPr>
        <w:t>启动宣告失踪程序，</w:t>
      </w:r>
      <w:r>
        <w:rPr>
          <w:rFonts w:hint="eastAsia" w:ascii="宋体" w:hAnsi="宋体" w:cs="宋体"/>
          <w:color w:val="FF0000"/>
          <w:kern w:val="0"/>
          <w:szCs w:val="21"/>
        </w:rPr>
        <w:t>要求自然人下落不明满2年，自其失去音讯之日起算</w:t>
      </w:r>
      <w:r>
        <w:rPr>
          <w:rFonts w:hint="eastAsia" w:ascii="宋体" w:hAnsi="宋体" w:cs="宋体"/>
          <w:kern w:val="0"/>
          <w:szCs w:val="21"/>
        </w:rPr>
        <w:t>。如在战争期间下落不明的，自战争结束之日或者有关机关确定的下落不明之日起计算。</w:t>
      </w:r>
    </w:p>
    <w:p w14:paraId="747CAECC">
      <w:pPr>
        <w:spacing w:line="276" w:lineRule="auto"/>
        <w:ind w:firstLine="420"/>
        <w:rPr>
          <w:rFonts w:ascii="宋体" w:hAnsi="宋体" w:cs="宋体"/>
          <w:b/>
          <w:bCs/>
          <w:kern w:val="0"/>
          <w:szCs w:val="21"/>
        </w:rPr>
      </w:pPr>
      <w:r>
        <w:rPr>
          <w:rFonts w:ascii="宋体" w:hAnsi="宋体" w:cs="宋体"/>
          <w:b/>
          <w:bCs/>
          <w:kern w:val="0"/>
          <w:szCs w:val="21"/>
        </w:rPr>
        <w:t>2.</w:t>
      </w:r>
      <w:r>
        <w:rPr>
          <w:rFonts w:hint="eastAsia" w:ascii="宋体" w:hAnsi="宋体" w:cs="宋体"/>
          <w:b/>
          <w:bCs/>
          <w:kern w:val="0"/>
          <w:szCs w:val="21"/>
        </w:rPr>
        <w:t>程序</w:t>
      </w:r>
    </w:p>
    <w:p w14:paraId="49CFB2D7">
      <w:pPr>
        <w:spacing w:line="276" w:lineRule="auto"/>
        <w:ind w:firstLine="420"/>
        <w:rPr>
          <w:rFonts w:hint="eastAsia" w:ascii="宋体" w:hAnsi="宋体" w:cs="宋体"/>
          <w:kern w:val="0"/>
          <w:szCs w:val="21"/>
        </w:rPr>
      </w:pPr>
      <w:r>
        <w:rPr>
          <w:rFonts w:hint="eastAsia" w:ascii="宋体" w:hAnsi="宋体" w:cs="宋体"/>
          <w:kern w:val="0"/>
          <w:szCs w:val="21"/>
        </w:rPr>
        <w:t>（1）利害关系人申请：</w:t>
      </w:r>
    </w:p>
    <w:p w14:paraId="3E07249E">
      <w:pPr>
        <w:spacing w:line="276" w:lineRule="auto"/>
        <w:ind w:firstLine="420"/>
        <w:rPr>
          <w:rFonts w:hint="eastAsia" w:ascii="宋体" w:hAnsi="宋体" w:cs="宋体"/>
          <w:color w:val="FF0000"/>
          <w:kern w:val="0"/>
          <w:szCs w:val="21"/>
        </w:rPr>
      </w:pPr>
      <w:r>
        <w:rPr>
          <w:rFonts w:hint="eastAsia" w:ascii="宋体" w:hAnsi="宋体" w:cs="宋体"/>
          <w:kern w:val="0"/>
          <w:szCs w:val="21"/>
        </w:rPr>
        <w:t>人民法院审理宣告失踪案件时，下列人员应当认定为民法典第四十条规定的利害关系人：（一）被</w:t>
      </w:r>
      <w:r>
        <w:rPr>
          <w:rFonts w:hint="eastAsia" w:ascii="宋体" w:hAnsi="宋体" w:cs="宋体"/>
          <w:color w:val="FF0000"/>
          <w:kern w:val="0"/>
          <w:szCs w:val="21"/>
        </w:rPr>
        <w:t>申请人的近亲属；</w:t>
      </w:r>
    </w:p>
    <w:p w14:paraId="473AC1F0">
      <w:pPr>
        <w:spacing w:line="276" w:lineRule="auto"/>
        <w:ind w:firstLine="420" w:firstLineChars="200"/>
        <w:rPr>
          <w:rFonts w:hint="eastAsia" w:ascii="宋体" w:hAnsi="宋体" w:cs="宋体"/>
          <w:color w:val="FF0000"/>
          <w:kern w:val="0"/>
          <w:szCs w:val="21"/>
        </w:rPr>
      </w:pPr>
      <w:r>
        <w:rPr>
          <w:rFonts w:hint="eastAsia" w:ascii="宋体" w:hAnsi="宋体" w:cs="宋体"/>
          <w:color w:val="FF0000"/>
          <w:kern w:val="0"/>
          <w:szCs w:val="21"/>
        </w:rPr>
        <w:t>（二）依据民法典第一千一百二十八条、第一千一百二十九条规定对被申请人有继承权的亲属；</w:t>
      </w:r>
    </w:p>
    <w:p w14:paraId="33F83B41">
      <w:pPr>
        <w:spacing w:line="276" w:lineRule="auto"/>
        <w:ind w:firstLine="420" w:firstLineChars="200"/>
        <w:rPr>
          <w:rFonts w:hint="eastAsia" w:ascii="宋体" w:hAnsi="宋体" w:cs="宋体"/>
          <w:kern w:val="0"/>
          <w:szCs w:val="21"/>
        </w:rPr>
      </w:pPr>
      <w:r>
        <w:rPr>
          <w:rFonts w:hint="eastAsia" w:ascii="宋体" w:hAnsi="宋体" w:cs="宋体"/>
          <w:color w:val="FF0000"/>
          <w:kern w:val="0"/>
          <w:szCs w:val="21"/>
        </w:rPr>
        <w:t>（三）债权人、债务人、合伙人等与被申请人有民事权利义务关系的民事主体，但是不申请宣告失踪不影响其权利行使、义务履行的除外</w:t>
      </w:r>
      <w:r>
        <w:rPr>
          <w:rFonts w:hint="eastAsia" w:ascii="宋体" w:hAnsi="宋体" w:cs="宋体"/>
          <w:kern w:val="0"/>
          <w:szCs w:val="21"/>
        </w:rPr>
        <w:t>。</w:t>
      </w:r>
    </w:p>
    <w:p w14:paraId="04B67824">
      <w:pPr>
        <w:spacing w:line="276" w:lineRule="auto"/>
        <w:ind w:firstLine="420"/>
        <w:rPr>
          <w:rFonts w:ascii="宋体" w:hAnsi="宋体" w:cs="宋体"/>
          <w:kern w:val="0"/>
          <w:szCs w:val="21"/>
        </w:rPr>
      </w:pPr>
      <w:r>
        <w:rPr>
          <w:rFonts w:hint="eastAsia" w:ascii="宋体" w:hAnsi="宋体" w:cs="宋体"/>
          <w:kern w:val="0"/>
          <w:szCs w:val="21"/>
        </w:rPr>
        <w:t>（2）法院受理与宣告：由被申请人住所地基层法院管辖，公告期为3个月。</w:t>
      </w:r>
    </w:p>
    <w:p w14:paraId="27AF6FB5">
      <w:pPr>
        <w:spacing w:line="276" w:lineRule="auto"/>
        <w:ind w:firstLine="420"/>
        <w:rPr>
          <w:rFonts w:ascii="宋体" w:hAnsi="宋体" w:cs="宋体"/>
          <w:b/>
          <w:bCs/>
          <w:kern w:val="0"/>
          <w:szCs w:val="21"/>
        </w:rPr>
      </w:pPr>
      <w:r>
        <w:rPr>
          <w:rFonts w:ascii="宋体" w:hAnsi="宋体" w:cs="宋体"/>
          <w:b/>
          <w:bCs/>
          <w:kern w:val="0"/>
          <w:szCs w:val="21"/>
        </w:rPr>
        <w:t>3.</w:t>
      </w:r>
      <w:r>
        <w:rPr>
          <w:rFonts w:hint="eastAsia" w:ascii="宋体" w:hAnsi="宋体" w:cs="宋体"/>
          <w:b/>
          <w:bCs/>
          <w:kern w:val="0"/>
          <w:szCs w:val="21"/>
        </w:rPr>
        <w:t>法律效果</w:t>
      </w:r>
    </w:p>
    <w:p w14:paraId="24F6200C">
      <w:pPr>
        <w:spacing w:line="276" w:lineRule="auto"/>
        <w:ind w:firstLine="420"/>
        <w:rPr>
          <w:rFonts w:ascii="宋体" w:hAnsi="宋体" w:cs="宋体"/>
          <w:kern w:val="0"/>
          <w:szCs w:val="21"/>
        </w:rPr>
      </w:pPr>
      <w:r>
        <w:rPr>
          <w:rFonts w:hint="eastAsia" w:ascii="宋体" w:hAnsi="宋体" w:cs="宋体"/>
          <w:kern w:val="0"/>
          <w:szCs w:val="21"/>
        </w:rPr>
        <w:t>（1）失踪人财产代管制度：由其</w:t>
      </w:r>
      <w:r>
        <w:rPr>
          <w:rFonts w:hint="eastAsia" w:ascii="宋体" w:hAnsi="宋体" w:cs="宋体"/>
          <w:kern w:val="0"/>
          <w:szCs w:val="21"/>
          <w:u w:val="single"/>
        </w:rPr>
        <w:t>配偶、成年子女、父母或者其他</w:t>
      </w:r>
      <w:r>
        <w:rPr>
          <w:rFonts w:hint="eastAsia" w:ascii="宋体" w:hAnsi="宋体" w:cs="宋体"/>
          <w:kern w:val="0"/>
          <w:szCs w:val="21"/>
        </w:rPr>
        <w:t>愿意担任财产代管人的人代管，无顺位或人数限制；对于代管发生争议时，由</w:t>
      </w:r>
      <w:r>
        <w:rPr>
          <w:rFonts w:hint="eastAsia" w:ascii="宋体" w:hAnsi="宋体" w:cs="宋体"/>
          <w:kern w:val="0"/>
          <w:szCs w:val="21"/>
          <w:u w:val="single"/>
        </w:rPr>
        <w:t>人民法院指定</w:t>
      </w:r>
      <w:r>
        <w:rPr>
          <w:rFonts w:hint="eastAsia" w:ascii="宋体" w:hAnsi="宋体" w:cs="宋体"/>
          <w:kern w:val="0"/>
          <w:szCs w:val="21"/>
        </w:rPr>
        <w:t>代管人。</w:t>
      </w:r>
    </w:p>
    <w:p w14:paraId="6B5EE19C">
      <w:pPr>
        <w:spacing w:line="276" w:lineRule="auto"/>
        <w:ind w:firstLine="420"/>
        <w:rPr>
          <w:rFonts w:hint="eastAsia" w:ascii="宋体" w:hAnsi="宋体" w:cs="宋体"/>
          <w:kern w:val="0"/>
          <w:szCs w:val="21"/>
        </w:rPr>
      </w:pPr>
      <w:r>
        <w:rPr>
          <w:rFonts w:hint="eastAsia" w:ascii="宋体" w:hAnsi="宋体" w:cs="宋体"/>
          <w:kern w:val="0"/>
          <w:szCs w:val="21"/>
        </w:rPr>
        <w:t>（2）财产代管人的法律地位：①实体上作为失踪人的代理人，代为处理失踪人的债权债务的履行问题；②程序法上以自己的名义（而非失踪人名义）直接参与诉讼。</w:t>
      </w:r>
    </w:p>
    <w:p w14:paraId="6228B430">
      <w:pPr>
        <w:spacing w:line="276" w:lineRule="auto"/>
        <w:ind w:firstLine="420"/>
        <w:rPr>
          <w:rFonts w:hint="eastAsia" w:ascii="宋体" w:hAnsi="宋体" w:cs="宋体"/>
          <w:color w:val="FF0000"/>
          <w:kern w:val="0"/>
          <w:szCs w:val="21"/>
        </w:rPr>
      </w:pPr>
      <w:r>
        <w:rPr>
          <w:rFonts w:hint="eastAsia" w:ascii="宋体" w:hAnsi="宋体" w:cs="宋体"/>
          <w:color w:val="FF0000"/>
          <w:kern w:val="0"/>
          <w:szCs w:val="21"/>
        </w:rPr>
        <w:t>失踪人的财产代管人向失踪人的债务人请求偿还债务的，人民法院应当将财产代管人列为原告。</w:t>
      </w:r>
    </w:p>
    <w:p w14:paraId="1B17A524">
      <w:pPr>
        <w:spacing w:line="276" w:lineRule="auto"/>
        <w:ind w:firstLine="420" w:firstLineChars="200"/>
        <w:rPr>
          <w:rFonts w:hint="eastAsia" w:ascii="宋体" w:hAnsi="宋体" w:cs="宋体"/>
          <w:kern w:val="0"/>
          <w:szCs w:val="21"/>
        </w:rPr>
      </w:pPr>
      <w:r>
        <w:rPr>
          <w:rFonts w:hint="eastAsia" w:ascii="宋体" w:hAnsi="宋体" w:cs="宋体"/>
          <w:kern w:val="0"/>
          <w:szCs w:val="21"/>
        </w:rPr>
        <w:t>债权人提起诉讼，请求失踪人的财产代管人支付失踪人所欠的债务和其他费用的，人民法院应当将财产代管人列为被告。经审理认为债权人的诉讼请求成立的，人民法院应当判决财产代管人从失踪人的财产中支付失踪人所欠的债务和其他费用。</w:t>
      </w:r>
    </w:p>
    <w:p w14:paraId="39DB56E2">
      <w:pPr>
        <w:spacing w:line="276" w:lineRule="auto"/>
        <w:outlineLvl w:val="2"/>
        <w:rPr>
          <w:rFonts w:hint="eastAsia" w:ascii="宋体" w:hAnsi="宋体" w:eastAsia="宋体" w:cs="宋体"/>
          <w:b/>
          <w:bCs/>
          <w:kern w:val="0"/>
          <w:szCs w:val="21"/>
          <w:lang w:eastAsia="zh-CN"/>
        </w:rPr>
      </w:pPr>
      <w:r>
        <w:rPr>
          <w:rFonts w:hint="eastAsia" w:ascii="宋体" w:hAnsi="宋体" w:cs="宋体"/>
          <w:b/>
          <w:bCs/>
          <w:kern w:val="0"/>
          <w:szCs w:val="21"/>
        </w:rPr>
        <w:t xml:space="preserve">    （二）宣告死亡</w:t>
      </w:r>
    </w:p>
    <w:p w14:paraId="7EEB1373">
      <w:pPr>
        <w:spacing w:line="276" w:lineRule="auto"/>
        <w:ind w:firstLine="420"/>
        <w:rPr>
          <w:rFonts w:ascii="宋体" w:hAnsi="宋体" w:cs="宋体"/>
          <w:kern w:val="0"/>
          <w:szCs w:val="21"/>
        </w:rPr>
      </w:pPr>
      <w:r>
        <w:rPr>
          <w:rFonts w:ascii="宋体" w:hAnsi="宋体" w:cs="宋体"/>
          <w:b/>
          <w:bCs/>
          <w:kern w:val="0"/>
          <w:szCs w:val="21"/>
        </w:rPr>
        <w:t>1.</w:t>
      </w:r>
      <w:r>
        <w:rPr>
          <w:rFonts w:hint="eastAsia" w:ascii="宋体" w:hAnsi="宋体" w:cs="宋体"/>
          <w:b/>
          <w:bCs/>
          <w:kern w:val="0"/>
          <w:szCs w:val="21"/>
        </w:rPr>
        <w:t>条件</w:t>
      </w:r>
    </w:p>
    <w:p w14:paraId="2CC513CF">
      <w:pPr>
        <w:spacing w:line="276" w:lineRule="auto"/>
        <w:ind w:firstLine="420"/>
        <w:rPr>
          <w:rFonts w:ascii="宋体" w:hAnsi="宋体" w:cs="宋体"/>
          <w:kern w:val="0"/>
          <w:szCs w:val="21"/>
        </w:rPr>
      </w:pPr>
      <w:r>
        <w:rPr>
          <w:rFonts w:hint="eastAsia" w:ascii="宋体" w:hAnsi="宋体" w:cs="宋体"/>
          <w:kern w:val="0"/>
          <w:szCs w:val="21"/>
        </w:rPr>
        <w:t>（1）下落不明满4年；</w:t>
      </w:r>
      <w:r>
        <w:rPr>
          <w:rFonts w:ascii="宋体" w:hAnsi="宋体" w:cs="宋体"/>
          <w:kern w:val="0"/>
          <w:szCs w:val="21"/>
        </w:rPr>
        <w:t xml:space="preserve"> </w:t>
      </w:r>
    </w:p>
    <w:p w14:paraId="1529AD00">
      <w:pPr>
        <w:spacing w:line="276" w:lineRule="auto"/>
        <w:ind w:firstLine="420"/>
        <w:rPr>
          <w:rFonts w:ascii="宋体" w:hAnsi="宋体" w:cs="宋体"/>
          <w:kern w:val="0"/>
          <w:szCs w:val="21"/>
        </w:rPr>
      </w:pPr>
      <w:r>
        <w:rPr>
          <w:rFonts w:hint="eastAsia" w:ascii="宋体" w:hAnsi="宋体" w:cs="宋体"/>
          <w:kern w:val="0"/>
          <w:szCs w:val="21"/>
        </w:rPr>
        <w:t>（2）因意外事件，下落不明满2年；</w:t>
      </w:r>
    </w:p>
    <w:p w14:paraId="20277C6F">
      <w:pPr>
        <w:spacing w:line="276" w:lineRule="auto"/>
        <w:ind w:firstLine="420"/>
        <w:rPr>
          <w:rFonts w:ascii="宋体" w:hAnsi="宋体" w:cs="宋体"/>
          <w:kern w:val="0"/>
          <w:szCs w:val="21"/>
        </w:rPr>
      </w:pPr>
      <w:r>
        <w:rPr>
          <w:rFonts w:hint="eastAsia" w:ascii="宋体" w:hAnsi="宋体" w:cs="宋体"/>
          <w:kern w:val="0"/>
          <w:szCs w:val="21"/>
        </w:rPr>
        <w:t>（3）</w:t>
      </w:r>
      <w:r>
        <w:rPr>
          <w:rFonts w:hint="eastAsia" w:ascii="宋体" w:hAnsi="宋体" w:cs="宋体"/>
          <w:color w:val="FF0000"/>
          <w:kern w:val="0"/>
          <w:szCs w:val="21"/>
        </w:rPr>
        <w:t>因意外事件下落不明，经有关机关证明该自然人不可能生存的，申请宣告死亡不受二年时间的限制</w:t>
      </w:r>
      <w:r>
        <w:rPr>
          <w:rFonts w:hint="eastAsia" w:ascii="宋体" w:hAnsi="宋体" w:cs="宋体"/>
          <w:kern w:val="0"/>
          <w:szCs w:val="21"/>
        </w:rPr>
        <w:t>。</w:t>
      </w:r>
    </w:p>
    <w:p w14:paraId="11AD85EB">
      <w:pPr>
        <w:spacing w:line="276" w:lineRule="auto"/>
        <w:ind w:firstLine="420"/>
        <w:rPr>
          <w:rFonts w:ascii="宋体" w:hAnsi="宋体" w:cs="宋体"/>
          <w:b/>
          <w:bCs/>
          <w:kern w:val="0"/>
          <w:szCs w:val="21"/>
        </w:rPr>
      </w:pPr>
      <w:r>
        <w:rPr>
          <w:rFonts w:ascii="宋体" w:hAnsi="宋体" w:cs="宋体"/>
          <w:b/>
          <w:bCs/>
          <w:kern w:val="0"/>
          <w:szCs w:val="21"/>
        </w:rPr>
        <w:t>2.</w:t>
      </w:r>
      <w:r>
        <w:rPr>
          <w:rFonts w:hint="eastAsia" w:ascii="宋体" w:hAnsi="宋体" w:cs="宋体"/>
          <w:b/>
          <w:bCs/>
          <w:kern w:val="0"/>
          <w:szCs w:val="21"/>
        </w:rPr>
        <w:t>程序</w:t>
      </w:r>
    </w:p>
    <w:p w14:paraId="5C29891C">
      <w:pPr>
        <w:spacing w:line="276" w:lineRule="auto"/>
        <w:ind w:firstLine="420"/>
        <w:rPr>
          <w:rFonts w:hint="eastAsia" w:ascii="宋体" w:hAnsi="宋体" w:cs="宋体"/>
          <w:kern w:val="0"/>
          <w:szCs w:val="21"/>
        </w:rPr>
      </w:pPr>
      <w:r>
        <w:rPr>
          <w:rFonts w:hint="eastAsia" w:ascii="宋体" w:hAnsi="宋体" w:cs="宋体"/>
          <w:kern w:val="0"/>
          <w:szCs w:val="21"/>
        </w:rPr>
        <w:t>（1）利害关系人申请：</w:t>
      </w:r>
    </w:p>
    <w:p w14:paraId="14DB7669">
      <w:pPr>
        <w:spacing w:line="276" w:lineRule="auto"/>
        <w:ind w:firstLine="420"/>
        <w:rPr>
          <w:rFonts w:hint="eastAsia" w:ascii="宋体" w:hAnsi="宋体" w:cs="宋体"/>
          <w:kern w:val="0"/>
          <w:szCs w:val="21"/>
        </w:rPr>
      </w:pPr>
      <w:r>
        <w:rPr>
          <w:rFonts w:hint="eastAsia" w:ascii="宋体" w:hAnsi="宋体" w:cs="宋体"/>
          <w:kern w:val="0"/>
          <w:szCs w:val="21"/>
        </w:rPr>
        <w:t>人民法院审理宣告死亡案件时，</w:t>
      </w:r>
      <w:r>
        <w:rPr>
          <w:rFonts w:hint="eastAsia" w:ascii="宋体" w:hAnsi="宋体" w:cs="宋体"/>
          <w:color w:val="FF0000"/>
          <w:kern w:val="0"/>
          <w:szCs w:val="21"/>
        </w:rPr>
        <w:t>被申请人的配偶、父母、子女，以及依据民法典第一千一百二十九条规定对被申请人有继承权的亲属</w:t>
      </w:r>
      <w:r>
        <w:rPr>
          <w:rFonts w:hint="eastAsia" w:ascii="宋体" w:hAnsi="宋体" w:cs="宋体"/>
          <w:kern w:val="0"/>
          <w:szCs w:val="21"/>
        </w:rPr>
        <w:t>应当认定为民法典第四十六条规定的利害关系人。</w:t>
      </w:r>
    </w:p>
    <w:p w14:paraId="415A30C4">
      <w:pPr>
        <w:spacing w:line="276" w:lineRule="auto"/>
        <w:ind w:firstLine="420"/>
        <w:rPr>
          <w:rFonts w:hint="eastAsia" w:ascii="宋体" w:hAnsi="宋体" w:cs="宋体"/>
          <w:kern w:val="0"/>
          <w:szCs w:val="21"/>
        </w:rPr>
      </w:pPr>
      <w:r>
        <w:rPr>
          <w:rFonts w:hint="eastAsia" w:ascii="宋体" w:hAnsi="宋体" w:cs="宋体"/>
          <w:kern w:val="0"/>
          <w:szCs w:val="21"/>
        </w:rPr>
        <w:t>符合下列情形之一的，被申请人的其他近亲属，以及依据民法典第一千一百二十八条规定对被申请人有继承权的亲属应当认定为民法典第四十六条规定的利害关系人：</w:t>
      </w:r>
    </w:p>
    <w:p w14:paraId="0AE7634F">
      <w:pPr>
        <w:spacing w:line="276" w:lineRule="auto"/>
        <w:ind w:firstLine="420"/>
        <w:rPr>
          <w:rFonts w:hint="eastAsia" w:ascii="宋体" w:hAnsi="宋体" w:cs="宋体"/>
          <w:kern w:val="0"/>
          <w:szCs w:val="21"/>
        </w:rPr>
      </w:pPr>
      <w:r>
        <w:rPr>
          <w:rFonts w:hint="eastAsia" w:ascii="宋体" w:hAnsi="宋体" w:cs="宋体"/>
          <w:kern w:val="0"/>
          <w:szCs w:val="21"/>
        </w:rPr>
        <w:t>（一）被申请人的配偶、父母、子女均已死亡或者下落不明的；</w:t>
      </w:r>
    </w:p>
    <w:p w14:paraId="6B0051CF">
      <w:pPr>
        <w:spacing w:line="276" w:lineRule="auto"/>
        <w:ind w:firstLine="420"/>
        <w:rPr>
          <w:rFonts w:hint="eastAsia" w:ascii="宋体" w:hAnsi="宋体" w:cs="宋体"/>
          <w:kern w:val="0"/>
          <w:szCs w:val="21"/>
        </w:rPr>
      </w:pPr>
      <w:r>
        <w:rPr>
          <w:rFonts w:hint="eastAsia" w:ascii="宋体" w:hAnsi="宋体" w:cs="宋体"/>
          <w:kern w:val="0"/>
          <w:szCs w:val="21"/>
        </w:rPr>
        <w:t>（二）不申请宣告死亡不能保护其相应合法权益的。</w:t>
      </w:r>
    </w:p>
    <w:p w14:paraId="25C61E4C">
      <w:pPr>
        <w:spacing w:line="276" w:lineRule="auto"/>
        <w:ind w:firstLine="420"/>
        <w:rPr>
          <w:rFonts w:ascii="宋体" w:hAnsi="宋体" w:cs="宋体"/>
          <w:kern w:val="0"/>
          <w:szCs w:val="21"/>
        </w:rPr>
      </w:pPr>
      <w:r>
        <w:rPr>
          <w:rFonts w:hint="eastAsia" w:ascii="宋体" w:hAnsi="宋体" w:cs="宋体"/>
          <w:kern w:val="0"/>
          <w:szCs w:val="21"/>
        </w:rPr>
        <w:t>被申请人的债权人、债务人、合伙人等民事主体不能认定为民法典第四十六条规定的利害关系人，但是不申请宣告死亡不能保护其相应合法权益的除外。</w:t>
      </w:r>
    </w:p>
    <w:p w14:paraId="57EAA1DC">
      <w:pPr>
        <w:spacing w:line="276" w:lineRule="auto"/>
        <w:ind w:firstLine="420"/>
        <w:rPr>
          <w:rFonts w:ascii="宋体" w:hAnsi="宋体" w:cs="宋体"/>
          <w:kern w:val="0"/>
          <w:szCs w:val="21"/>
        </w:rPr>
      </w:pPr>
      <w:r>
        <w:rPr>
          <w:rFonts w:hint="eastAsia" w:ascii="宋体" w:hAnsi="宋体" w:cs="宋体"/>
          <w:kern w:val="0"/>
          <w:szCs w:val="21"/>
        </w:rPr>
        <w:t>（2）法院受理与宣告：由被申请人住所地基层法院管辖，公告期为</w:t>
      </w:r>
      <w:r>
        <w:rPr>
          <w:rFonts w:hint="eastAsia" w:ascii="宋体" w:hAnsi="宋体" w:cs="宋体"/>
          <w:kern w:val="0"/>
          <w:szCs w:val="21"/>
          <w:u w:val="single"/>
        </w:rPr>
        <w:t>1年</w:t>
      </w:r>
      <w:r>
        <w:rPr>
          <w:rFonts w:hint="eastAsia" w:ascii="宋体" w:hAnsi="宋体" w:cs="宋体"/>
          <w:kern w:val="0"/>
          <w:szCs w:val="21"/>
        </w:rPr>
        <w:t>；</w:t>
      </w:r>
    </w:p>
    <w:p w14:paraId="4FB36F54">
      <w:pPr>
        <w:spacing w:line="276" w:lineRule="auto"/>
        <w:ind w:firstLine="420"/>
        <w:rPr>
          <w:rFonts w:hint="eastAsia" w:ascii="宋体" w:hAnsi="宋体" w:cs="宋体"/>
          <w:kern w:val="0"/>
          <w:szCs w:val="21"/>
        </w:rPr>
      </w:pPr>
      <w:r>
        <w:rPr>
          <w:rFonts w:hint="eastAsia" w:ascii="宋体" w:hAnsi="宋体" w:cs="宋体"/>
          <w:kern w:val="0"/>
          <w:szCs w:val="21"/>
        </w:rPr>
        <w:t>（3）死亡日期：</w:t>
      </w:r>
      <w:r>
        <w:rPr>
          <w:rFonts w:hint="eastAsia" w:ascii="宋体" w:hAnsi="宋体" w:cs="宋体"/>
          <w:color w:val="FF0000"/>
          <w:kern w:val="0"/>
          <w:szCs w:val="21"/>
          <w:u w:val="single"/>
        </w:rPr>
        <w:t>法院判决</w:t>
      </w:r>
      <w:r>
        <w:rPr>
          <w:rFonts w:hint="eastAsia" w:ascii="宋体" w:hAnsi="宋体" w:cs="宋体"/>
          <w:b/>
          <w:color w:val="FF0000"/>
          <w:kern w:val="0"/>
          <w:szCs w:val="21"/>
          <w:u w:val="single"/>
        </w:rPr>
        <w:t>作出之日</w:t>
      </w:r>
      <w:r>
        <w:rPr>
          <w:rFonts w:hint="eastAsia" w:ascii="宋体" w:hAnsi="宋体" w:cs="宋体"/>
          <w:color w:val="FF0000"/>
          <w:kern w:val="0"/>
          <w:szCs w:val="21"/>
        </w:rPr>
        <w:t>，因意外事件下落不明宣告死亡的，</w:t>
      </w:r>
      <w:r>
        <w:rPr>
          <w:rFonts w:hint="eastAsia" w:ascii="宋体" w:hAnsi="宋体" w:cs="宋体"/>
          <w:color w:val="FF0000"/>
          <w:kern w:val="0"/>
          <w:szCs w:val="21"/>
          <w:u w:val="single"/>
        </w:rPr>
        <w:t>意外事件发生之日</w:t>
      </w:r>
      <w:r>
        <w:rPr>
          <w:rFonts w:hint="eastAsia" w:ascii="宋体" w:hAnsi="宋体" w:cs="宋体"/>
          <w:color w:val="FF0000"/>
          <w:kern w:val="0"/>
          <w:szCs w:val="21"/>
        </w:rPr>
        <w:t>视为其死亡的日期</w:t>
      </w:r>
      <w:r>
        <w:rPr>
          <w:rFonts w:hint="eastAsia" w:ascii="宋体" w:hAnsi="宋体" w:cs="宋体"/>
          <w:kern w:val="0"/>
          <w:szCs w:val="21"/>
        </w:rPr>
        <w:t>。</w:t>
      </w:r>
    </w:p>
    <w:p w14:paraId="339C70AD">
      <w:pPr>
        <w:spacing w:line="276" w:lineRule="auto"/>
        <w:ind w:firstLine="420"/>
        <w:rPr>
          <w:rFonts w:hint="eastAsia" w:ascii="宋体" w:hAnsi="宋体" w:eastAsia="汉仪中黑简" w:cs="宋体"/>
          <w:color w:val="FF0000"/>
          <w:kern w:val="0"/>
          <w:szCs w:val="21"/>
          <w:lang w:eastAsia="zh-CN"/>
        </w:rPr>
      </w:pPr>
      <w:r>
        <w:rPr>
          <w:rFonts w:hint="eastAsia" w:ascii="汉仪书宋二简" w:eastAsia="汉仪中黑简"/>
          <w:color w:val="9D061F"/>
          <w:kern w:val="0"/>
        </w:rPr>
        <w:t>宣告死亡程序不以宣告失踪程序为前提</w:t>
      </w:r>
      <w:r>
        <w:rPr>
          <w:rFonts w:hint="eastAsia" w:ascii="汉仪书宋二简" w:eastAsia="汉仪中黑简"/>
          <w:color w:val="9D061F"/>
          <w:kern w:val="0"/>
          <w:lang w:eastAsia="zh-CN"/>
        </w:rPr>
        <w:t>。</w:t>
      </w:r>
      <w:r>
        <w:rPr>
          <w:rFonts w:ascii="汉仪书宋二简" w:hAnsi="Calibri" w:cs="Arial"/>
          <w:color w:val="000000"/>
        </w:rPr>
        <w:t>对同一自然人，有的利害关系人申请宣告死亡，有的利害关系人申请宣告失踪，</w:t>
      </w:r>
      <w:r>
        <w:rPr>
          <w:rFonts w:hint="eastAsia" w:ascii="汉仪书宋二简" w:hAnsi="Calibri" w:cs="Arial"/>
          <w:color w:val="000000"/>
        </w:rPr>
        <w:t>如果</w:t>
      </w:r>
      <w:r>
        <w:rPr>
          <w:rFonts w:ascii="汉仪书宋二简" w:hAnsi="Calibri" w:cs="Arial"/>
          <w:color w:val="000000"/>
        </w:rPr>
        <w:t>符合宣告死亡条件，</w:t>
      </w:r>
      <w:r>
        <w:rPr>
          <w:rFonts w:ascii="汉仪书宋二简" w:hAnsi="Calibri" w:cs="Arial"/>
          <w:color w:val="FF0000"/>
        </w:rPr>
        <w:t>人民法院应当宣告死亡</w:t>
      </w:r>
    </w:p>
    <w:p w14:paraId="3F23B966">
      <w:pPr>
        <w:spacing w:line="276" w:lineRule="auto"/>
        <w:ind w:firstLine="420"/>
        <w:rPr>
          <w:rFonts w:ascii="宋体" w:hAnsi="宋体" w:cs="宋体"/>
          <w:b/>
          <w:bCs/>
          <w:kern w:val="0"/>
          <w:szCs w:val="21"/>
        </w:rPr>
      </w:pPr>
      <w:r>
        <w:rPr>
          <w:rFonts w:ascii="宋体" w:hAnsi="宋体" w:cs="宋体"/>
          <w:b/>
          <w:bCs/>
          <w:kern w:val="0"/>
          <w:szCs w:val="21"/>
        </w:rPr>
        <w:t>3.</w:t>
      </w:r>
      <w:r>
        <w:rPr>
          <w:rFonts w:hint="eastAsia" w:ascii="宋体" w:hAnsi="宋体" w:cs="宋体"/>
          <w:b/>
          <w:bCs/>
          <w:kern w:val="0"/>
          <w:szCs w:val="21"/>
        </w:rPr>
        <w:t>法律效果：等同于自然死亡</w:t>
      </w:r>
    </w:p>
    <w:p w14:paraId="41063D90">
      <w:pPr>
        <w:spacing w:line="276" w:lineRule="auto"/>
        <w:ind w:firstLine="420"/>
        <w:rPr>
          <w:rFonts w:ascii="宋体" w:hAnsi="宋体" w:cs="宋体"/>
          <w:kern w:val="0"/>
          <w:szCs w:val="21"/>
        </w:rPr>
      </w:pPr>
      <w:r>
        <w:rPr>
          <w:rFonts w:hint="eastAsia" w:ascii="宋体" w:hAnsi="宋体" w:cs="宋体"/>
          <w:kern w:val="0"/>
          <w:szCs w:val="21"/>
        </w:rPr>
        <w:t>（1）本人民事主体资格、民事权利能力丧失，其行为能力也终止（自</w:t>
      </w:r>
      <w:r>
        <w:rPr>
          <w:rFonts w:hint="eastAsia" w:ascii="宋体" w:hAnsi="宋体" w:cs="宋体"/>
          <w:color w:val="FF0000"/>
          <w:kern w:val="0"/>
          <w:szCs w:val="21"/>
        </w:rPr>
        <w:t>然人被宣告死亡但实际未死亡的，其在被宣告死亡期间的法律行为效力不受影响</w:t>
      </w:r>
      <w:r>
        <w:rPr>
          <w:rFonts w:hint="eastAsia" w:ascii="宋体" w:hAnsi="宋体" w:cs="宋体"/>
          <w:kern w:val="0"/>
          <w:szCs w:val="21"/>
        </w:rPr>
        <w:t>）；</w:t>
      </w:r>
    </w:p>
    <w:p w14:paraId="14D63659">
      <w:pPr>
        <w:spacing w:line="276" w:lineRule="auto"/>
        <w:ind w:firstLine="420"/>
        <w:rPr>
          <w:rFonts w:ascii="宋体" w:hAnsi="宋体" w:cs="宋体"/>
          <w:kern w:val="0"/>
          <w:szCs w:val="21"/>
        </w:rPr>
      </w:pPr>
      <w:r>
        <w:rPr>
          <w:rFonts w:hint="eastAsia" w:ascii="宋体" w:hAnsi="宋体" w:cs="宋体"/>
          <w:kern w:val="0"/>
          <w:szCs w:val="21"/>
        </w:rPr>
        <w:t>（2）财产关系：本人合法财产成为遗产，继承开始；</w:t>
      </w:r>
    </w:p>
    <w:p w14:paraId="6580649E">
      <w:pPr>
        <w:spacing w:line="276" w:lineRule="auto"/>
        <w:ind w:firstLine="420"/>
        <w:rPr>
          <w:rFonts w:hint="eastAsia" w:ascii="宋体" w:hAnsi="宋体" w:cs="宋体"/>
          <w:color w:val="FF0000"/>
          <w:kern w:val="0"/>
          <w:szCs w:val="21"/>
          <w:lang w:val="en-US" w:eastAsia="zh-CN"/>
        </w:rPr>
      </w:pPr>
      <w:r>
        <w:rPr>
          <w:rFonts w:hint="eastAsia" w:ascii="宋体" w:hAnsi="宋体" w:cs="宋体"/>
          <w:kern w:val="0"/>
          <w:szCs w:val="21"/>
        </w:rPr>
        <w:t>（3）婚姻关系：婚姻关系自死亡宣告之日起消灭。</w:t>
      </w:r>
      <w:r>
        <w:rPr>
          <w:rFonts w:hint="eastAsia" w:ascii="宋体" w:hAnsi="宋体" w:cs="宋体"/>
          <w:color w:val="FF0000"/>
          <w:kern w:val="0"/>
          <w:szCs w:val="21"/>
          <w:lang w:val="en-US" w:eastAsia="zh-CN"/>
        </w:rPr>
        <w:t>配偶再婚不构成重婚</w:t>
      </w:r>
    </w:p>
    <w:p w14:paraId="7EFA8A12">
      <w:pPr>
        <w:tabs>
          <w:tab w:val="left" w:pos="420"/>
        </w:tabs>
        <w:ind w:firstLine="420"/>
        <w:rPr>
          <w:rFonts w:hint="default" w:ascii="宋体" w:hAnsi="宋体" w:cs="宋体"/>
          <w:color w:val="FF0000"/>
          <w:kern w:val="0"/>
          <w:szCs w:val="21"/>
          <w:lang w:val="en-US" w:eastAsia="zh-CN"/>
        </w:rPr>
      </w:pPr>
      <w:r>
        <w:rPr>
          <w:rFonts w:hint="eastAsia" w:ascii="汉仪书宋二简" w:hAnsi="Calibri" w:cs="Arial"/>
          <w:color w:val="000000"/>
        </w:rPr>
        <w:t>（</w:t>
      </w:r>
      <w:r>
        <w:rPr>
          <w:rFonts w:hint="eastAsia" w:ascii="汉仪书宋二简" w:cs="Arial"/>
          <w:color w:val="000000"/>
          <w:lang w:val="en-US" w:eastAsia="zh-CN"/>
        </w:rPr>
        <w:t>4</w:t>
      </w:r>
      <w:r>
        <w:rPr>
          <w:rFonts w:hint="eastAsia" w:ascii="汉仪书宋二简" w:hAnsi="Calibri" w:cs="Arial"/>
          <w:color w:val="000000"/>
        </w:rPr>
        <w:t>）亲子关系：</w:t>
      </w:r>
      <w:r>
        <w:rPr>
          <w:rFonts w:ascii="汉仪书宋二简" w:hAnsi="Calibri" w:cs="Arial"/>
          <w:color w:val="000000"/>
        </w:rPr>
        <w:t>被宣告死亡</w:t>
      </w:r>
      <w:r>
        <w:rPr>
          <w:rFonts w:hint="eastAsia" w:ascii="汉仪书宋二简" w:hAnsi="Calibri" w:cs="Arial"/>
          <w:color w:val="000000"/>
        </w:rPr>
        <w:t>之</w:t>
      </w:r>
      <w:r>
        <w:rPr>
          <w:rFonts w:ascii="汉仪书宋二简" w:hAnsi="Calibri" w:cs="Arial"/>
          <w:color w:val="000000"/>
        </w:rPr>
        <w:t>人</w:t>
      </w:r>
      <w:r>
        <w:rPr>
          <w:rFonts w:hint="eastAsia" w:ascii="汉仪书宋二简" w:hAnsi="Calibri" w:cs="Arial"/>
          <w:color w:val="000000"/>
        </w:rPr>
        <w:t>的子女依法可以被他人收养。</w:t>
      </w:r>
    </w:p>
    <w:p w14:paraId="1A8EC12F">
      <w:pPr>
        <w:spacing w:line="276" w:lineRule="auto"/>
        <w:ind w:firstLine="420"/>
        <w:rPr>
          <w:rFonts w:ascii="宋体" w:hAnsi="宋体" w:cs="宋体"/>
          <w:b/>
          <w:bCs/>
          <w:kern w:val="0"/>
          <w:szCs w:val="21"/>
        </w:rPr>
      </w:pPr>
      <w:r>
        <w:rPr>
          <w:rFonts w:ascii="宋体" w:hAnsi="宋体" w:cs="宋体"/>
          <w:b/>
          <w:bCs/>
          <w:kern w:val="0"/>
          <w:szCs w:val="21"/>
        </w:rPr>
        <w:t>4.</w:t>
      </w:r>
      <w:r>
        <w:rPr>
          <w:rFonts w:hint="eastAsia" w:ascii="宋体" w:hAnsi="宋体" w:cs="宋体"/>
          <w:b/>
          <w:bCs/>
          <w:kern w:val="0"/>
          <w:szCs w:val="21"/>
        </w:rPr>
        <w:t>撤销</w:t>
      </w:r>
    </w:p>
    <w:p w14:paraId="59340F80">
      <w:pPr>
        <w:spacing w:line="276" w:lineRule="auto"/>
        <w:ind w:firstLine="420"/>
        <w:rPr>
          <w:rFonts w:ascii="宋体" w:hAnsi="宋体" w:cs="宋体"/>
          <w:kern w:val="0"/>
          <w:szCs w:val="21"/>
        </w:rPr>
      </w:pPr>
      <w:r>
        <w:rPr>
          <w:rFonts w:hint="eastAsia" w:ascii="宋体" w:hAnsi="宋体" w:cs="宋体"/>
          <w:kern w:val="0"/>
          <w:szCs w:val="21"/>
        </w:rPr>
        <w:t>（1）程序：被宣告死亡人重新出现，</w:t>
      </w:r>
      <w:r>
        <w:rPr>
          <w:rFonts w:hint="eastAsia" w:ascii="宋体" w:hAnsi="宋体" w:cs="宋体"/>
          <w:color w:val="FF0000"/>
          <w:kern w:val="0"/>
          <w:szCs w:val="21"/>
        </w:rPr>
        <w:t>由本人或利害关系人向法院申请</w:t>
      </w:r>
      <w:r>
        <w:rPr>
          <w:rFonts w:hint="eastAsia" w:ascii="宋体" w:hAnsi="宋体" w:cs="宋体"/>
          <w:kern w:val="0"/>
          <w:szCs w:val="21"/>
        </w:rPr>
        <w:t>撤销死亡宣告。</w:t>
      </w:r>
    </w:p>
    <w:p w14:paraId="00376C8E">
      <w:pPr>
        <w:spacing w:line="276" w:lineRule="auto"/>
        <w:ind w:firstLine="420"/>
        <w:rPr>
          <w:rFonts w:ascii="宋体" w:hAnsi="宋体" w:cs="宋体"/>
          <w:kern w:val="0"/>
          <w:szCs w:val="21"/>
        </w:rPr>
      </w:pPr>
      <w:r>
        <w:rPr>
          <w:rFonts w:hint="eastAsia" w:ascii="宋体" w:hAnsi="宋体" w:cs="宋体"/>
          <w:kern w:val="0"/>
          <w:szCs w:val="21"/>
        </w:rPr>
        <w:t>（2）法律效果：</w:t>
      </w:r>
    </w:p>
    <w:p w14:paraId="638FA7B4">
      <w:pPr>
        <w:spacing w:line="276" w:lineRule="auto"/>
        <w:ind w:firstLine="420"/>
        <w:rPr>
          <w:rFonts w:ascii="宋体" w:hAnsi="宋体" w:cs="宋体"/>
          <w:color w:val="FF0000"/>
          <w:kern w:val="0"/>
          <w:szCs w:val="21"/>
        </w:rPr>
      </w:pPr>
      <w:r>
        <w:rPr>
          <w:rFonts w:hint="eastAsia" w:ascii="宋体" w:hAnsi="宋体" w:cs="宋体"/>
          <w:kern w:val="0"/>
          <w:szCs w:val="21"/>
        </w:rPr>
        <w:t>①婚姻关系：自动恢复，</w:t>
      </w:r>
      <w:r>
        <w:rPr>
          <w:rFonts w:hint="eastAsia" w:ascii="宋体" w:hAnsi="宋体" w:cs="宋体"/>
          <w:color w:val="FF0000"/>
          <w:kern w:val="0"/>
          <w:szCs w:val="21"/>
        </w:rPr>
        <w:t>但其配偶再婚或向婚姻登记机关</w:t>
      </w:r>
      <w:r>
        <w:rPr>
          <w:rFonts w:hint="eastAsia" w:ascii="宋体" w:hAnsi="宋体" w:cs="宋体"/>
          <w:color w:val="FF0000"/>
          <w:kern w:val="0"/>
          <w:szCs w:val="21"/>
          <w:u w:val="single"/>
        </w:rPr>
        <w:t>书面声明不愿意恢复的除外</w:t>
      </w:r>
      <w:r>
        <w:rPr>
          <w:rFonts w:hint="eastAsia" w:ascii="宋体" w:hAnsi="宋体" w:cs="宋体"/>
          <w:color w:val="FF0000"/>
          <w:kern w:val="0"/>
          <w:szCs w:val="21"/>
        </w:rPr>
        <w:t>。</w:t>
      </w:r>
    </w:p>
    <w:p w14:paraId="2F34EFA8">
      <w:pPr>
        <w:spacing w:line="276" w:lineRule="auto"/>
        <w:ind w:firstLine="420"/>
        <w:rPr>
          <w:rFonts w:ascii="宋体" w:hAnsi="宋体" w:cs="宋体"/>
          <w:kern w:val="0"/>
          <w:szCs w:val="21"/>
        </w:rPr>
      </w:pPr>
      <w:r>
        <w:rPr>
          <w:rFonts w:hint="eastAsia" w:ascii="宋体" w:hAnsi="宋体" w:cs="宋体"/>
          <w:kern w:val="0"/>
          <w:szCs w:val="21"/>
        </w:rPr>
        <w:t>②收养关系：继续有效，不得仅因未经本人同意为由主张收养关系无效。</w:t>
      </w:r>
    </w:p>
    <w:p w14:paraId="452F0E5C">
      <w:pPr>
        <w:spacing w:line="276" w:lineRule="auto"/>
        <w:ind w:firstLine="420"/>
        <w:rPr>
          <w:rFonts w:ascii="宋体" w:hAnsi="宋体" w:cs="宋体"/>
          <w:kern w:val="0"/>
          <w:szCs w:val="21"/>
        </w:rPr>
      </w:pPr>
      <w:r>
        <w:rPr>
          <w:rFonts w:hint="eastAsia" w:ascii="宋体" w:hAnsi="宋体" w:cs="宋体"/>
          <w:kern w:val="0"/>
          <w:szCs w:val="21"/>
        </w:rPr>
        <w:t>③财产关系：因继承取得的财产应返还原物，无法返还的予以</w:t>
      </w:r>
      <w:r>
        <w:rPr>
          <w:rFonts w:hint="eastAsia" w:ascii="宋体" w:hAnsi="宋体" w:cs="宋体"/>
          <w:kern w:val="0"/>
          <w:szCs w:val="21"/>
          <w:u w:val="single"/>
        </w:rPr>
        <w:t>适当补偿</w:t>
      </w:r>
      <w:r>
        <w:rPr>
          <w:rFonts w:hint="eastAsia" w:ascii="宋体" w:hAnsi="宋体" w:cs="宋体"/>
          <w:kern w:val="0"/>
          <w:szCs w:val="21"/>
        </w:rPr>
        <w:t>；原物已被第三人合法取得（指通过继承以外的方式取得如买卖、赠与等），第三人无返还义务。</w:t>
      </w:r>
    </w:p>
    <w:p w14:paraId="1CC93E3B">
      <w:pPr>
        <w:spacing w:line="276" w:lineRule="auto"/>
        <w:ind w:firstLine="420"/>
        <w:rPr>
          <w:rFonts w:ascii="宋体" w:hAnsi="宋体" w:cs="宋体"/>
          <w:kern w:val="0"/>
          <w:szCs w:val="21"/>
        </w:rPr>
      </w:pPr>
      <w:r>
        <w:rPr>
          <w:rFonts w:hint="eastAsia" w:ascii="宋体" w:hAnsi="宋体" w:cs="宋体"/>
          <w:kern w:val="0"/>
          <w:szCs w:val="21"/>
        </w:rPr>
        <w:t>恶意利害关系人的法律责任：利害关系人隐瞒真实情况，致使他人被宣告死亡取得其财产的，应当返还财产，并对由此造成的损失承担赔偿责任。</w:t>
      </w:r>
    </w:p>
    <w:p w14:paraId="205C076E"/>
    <w:p w14:paraId="41A4FD6A">
      <w:pPr>
        <w:pStyle w:val="6"/>
        <w:spacing w:line="276" w:lineRule="auto"/>
        <w:rPr>
          <w:rFonts w:ascii="仿宋" w:hAnsi="仿宋" w:eastAsia="仿宋" w:cs="仿宋"/>
          <w:b/>
          <w:bCs/>
          <w:szCs w:val="21"/>
        </w:rPr>
      </w:pPr>
      <w:bookmarkStart w:id="8" w:name="_Toc29721"/>
      <w:bookmarkStart w:id="9" w:name="_Toc534638254"/>
      <w:bookmarkStart w:id="10" w:name="_Toc514093051"/>
      <w:bookmarkStart w:id="11" w:name="_Toc33346099"/>
      <w:bookmarkStart w:id="12" w:name="_Toc534638280"/>
      <w:bookmarkStart w:id="13" w:name="_Toc4856984"/>
      <w:bookmarkStart w:id="14" w:name="_Toc536382647"/>
      <w:r>
        <w:rPr>
          <w:rFonts w:hint="eastAsia"/>
          <w:color w:val="auto"/>
          <w:sz w:val="36"/>
          <w:szCs w:val="36"/>
        </w:rPr>
        <w:t>考点3  法人和非法人组织</w:t>
      </w:r>
      <w:bookmarkEnd w:id="8"/>
      <w:bookmarkEnd w:id="9"/>
      <w:bookmarkEnd w:id="10"/>
      <w:bookmarkEnd w:id="11"/>
      <w:bookmarkEnd w:id="12"/>
      <w:bookmarkEnd w:id="13"/>
      <w:bookmarkEnd w:id="14"/>
    </w:p>
    <w:p w14:paraId="7D09A9DF">
      <w:pPr>
        <w:spacing w:line="276" w:lineRule="auto"/>
        <w:jc w:val="left"/>
        <w:outlineLvl w:val="1"/>
        <w:rPr>
          <w:rFonts w:ascii="宋体" w:hAnsi="宋体"/>
          <w:b/>
          <w:szCs w:val="28"/>
        </w:rPr>
      </w:pPr>
      <w:r>
        <w:rPr>
          <w:rFonts w:hint="eastAsia" w:ascii="宋体" w:hAnsi="宋体"/>
          <w:b/>
          <w:szCs w:val="28"/>
        </w:rPr>
        <w:t xml:space="preserve">    一、</w:t>
      </w:r>
      <w:r>
        <w:rPr>
          <w:rFonts w:ascii="宋体" w:hAnsi="宋体"/>
          <w:b/>
          <w:szCs w:val="28"/>
        </w:rPr>
        <w:t>法人</w:t>
      </w:r>
      <w:r>
        <w:rPr>
          <w:rFonts w:hint="eastAsia" w:ascii="宋体" w:hAnsi="宋体"/>
          <w:b/>
          <w:szCs w:val="28"/>
        </w:rPr>
        <w:t>的法律地位</w:t>
      </w:r>
    </w:p>
    <w:p w14:paraId="6B52ED39">
      <w:pPr>
        <w:spacing w:line="276" w:lineRule="auto"/>
        <w:ind w:firstLine="480"/>
        <w:rPr>
          <w:rFonts w:ascii="宋体" w:hAnsi="宋体" w:cs="宋体"/>
          <w:kern w:val="0"/>
          <w:szCs w:val="21"/>
        </w:rPr>
      </w:pPr>
      <w:r>
        <w:rPr>
          <w:rFonts w:hint="eastAsia" w:ascii="宋体" w:hAnsi="宋体" w:cs="宋体"/>
          <w:kern w:val="0"/>
          <w:szCs w:val="21"/>
        </w:rPr>
        <w:t>法人是具有民事权利能力和民事行为能力、依法独立享有民事权利和承担民事义务的组织，</w:t>
      </w:r>
      <w:r>
        <w:rPr>
          <w:rFonts w:hint="eastAsia" w:ascii="宋体" w:hAnsi="宋体" w:cs="宋体"/>
          <w:color w:val="FF0000"/>
          <w:kern w:val="0"/>
          <w:szCs w:val="21"/>
          <w:lang w:val="en-US" w:eastAsia="zh-CN"/>
        </w:rPr>
        <w:t>法人具有独立财产、独立人格和独立责任</w:t>
      </w:r>
    </w:p>
    <w:p w14:paraId="144DA96D">
      <w:pPr>
        <w:spacing w:line="276" w:lineRule="auto"/>
        <w:jc w:val="left"/>
        <w:outlineLvl w:val="1"/>
        <w:rPr>
          <w:rFonts w:ascii="宋体" w:hAnsi="宋体"/>
          <w:b/>
          <w:szCs w:val="28"/>
        </w:rPr>
      </w:pPr>
      <w:r>
        <w:rPr>
          <w:rFonts w:hint="eastAsia" w:ascii="宋体" w:hAnsi="宋体"/>
          <w:b/>
          <w:szCs w:val="28"/>
        </w:rPr>
        <w:t xml:space="preserve">    二、法人的分类</w:t>
      </w:r>
    </w:p>
    <w:p w14:paraId="1BC7BC06">
      <w:pPr>
        <w:spacing w:line="276" w:lineRule="auto"/>
        <w:ind w:firstLine="480"/>
        <w:rPr>
          <w:rFonts w:ascii="宋体" w:hAnsi="宋体" w:cs="宋体"/>
          <w:b/>
          <w:bCs/>
          <w:kern w:val="0"/>
          <w:szCs w:val="21"/>
        </w:rPr>
      </w:pPr>
      <w:r>
        <w:rPr>
          <w:rFonts w:hint="eastAsia" w:ascii="宋体" w:hAnsi="宋体" w:cs="宋体"/>
          <w:b/>
          <w:bCs/>
          <w:kern w:val="0"/>
          <w:szCs w:val="21"/>
        </w:rPr>
        <w:t>（一）社团法人、财团法人</w:t>
      </w:r>
    </w:p>
    <w:p w14:paraId="08899C02">
      <w:pPr>
        <w:spacing w:line="276" w:lineRule="auto"/>
        <w:ind w:firstLine="480"/>
        <w:rPr>
          <w:rFonts w:hint="eastAsia" w:ascii="宋体" w:hAnsi="宋体" w:eastAsia="宋体" w:cs="宋体"/>
          <w:kern w:val="0"/>
          <w:szCs w:val="21"/>
          <w:lang w:eastAsia="zh-CN"/>
        </w:rPr>
      </w:pPr>
      <w:r>
        <w:rPr>
          <w:rFonts w:hint="eastAsia" w:ascii="宋体" w:hAnsi="宋体" w:cs="宋体"/>
          <w:kern w:val="0"/>
          <w:szCs w:val="21"/>
        </w:rPr>
        <w:t>1.根据法人的</w:t>
      </w:r>
      <w:r>
        <w:rPr>
          <w:rFonts w:hint="eastAsia" w:ascii="宋体" w:hAnsi="宋体" w:cs="宋体"/>
          <w:color w:val="FF0000"/>
          <w:kern w:val="0"/>
          <w:szCs w:val="21"/>
          <w:u w:val="single"/>
        </w:rPr>
        <w:t>成立基础</w:t>
      </w:r>
      <w:r>
        <w:rPr>
          <w:rFonts w:hint="eastAsia" w:ascii="宋体" w:hAnsi="宋体" w:cs="宋体"/>
          <w:color w:val="FF0000"/>
          <w:kern w:val="0"/>
          <w:szCs w:val="21"/>
        </w:rPr>
        <w:t>是人的集合抑或是财产的集合</w:t>
      </w:r>
      <w:r>
        <w:rPr>
          <w:rFonts w:hint="eastAsia" w:ascii="宋体" w:hAnsi="宋体" w:cs="宋体"/>
          <w:kern w:val="0"/>
          <w:szCs w:val="21"/>
        </w:rPr>
        <w:t>，可分为社团法人与财团法人。</w:t>
      </w:r>
      <w:r>
        <w:rPr>
          <w:rFonts w:hint="eastAsia" w:ascii="宋体" w:hAnsi="宋体" w:cs="宋体"/>
          <w:kern w:val="0"/>
          <w:szCs w:val="21"/>
          <w:lang w:eastAsia="zh-CN"/>
        </w:rPr>
        <w:t>（</w:t>
      </w:r>
      <w:r>
        <w:rPr>
          <w:rFonts w:hint="eastAsia" w:ascii="宋体" w:hAnsi="宋体" w:cs="宋体"/>
          <w:color w:val="FF0000"/>
          <w:kern w:val="0"/>
          <w:szCs w:val="21"/>
          <w:lang w:val="en-US" w:eastAsia="zh-CN"/>
        </w:rPr>
        <w:t>社团财团与人合资合不同，人合资合公司都是社团法人</w:t>
      </w:r>
      <w:r>
        <w:rPr>
          <w:rFonts w:hint="eastAsia" w:ascii="宋体" w:hAnsi="宋体" w:cs="宋体"/>
          <w:kern w:val="0"/>
          <w:szCs w:val="21"/>
          <w:lang w:eastAsia="zh-CN"/>
        </w:rPr>
        <w:t>）</w:t>
      </w:r>
    </w:p>
    <w:p w14:paraId="63BE41BB">
      <w:pPr>
        <w:spacing w:line="276" w:lineRule="auto"/>
        <w:ind w:firstLine="480"/>
        <w:rPr>
          <w:rFonts w:ascii="宋体" w:hAnsi="宋体" w:cs="宋体"/>
          <w:kern w:val="0"/>
          <w:szCs w:val="21"/>
        </w:rPr>
      </w:pPr>
      <w:r>
        <w:rPr>
          <w:rFonts w:hint="eastAsia" w:ascii="宋体" w:hAnsi="宋体" w:cs="宋体"/>
          <w:kern w:val="0"/>
          <w:szCs w:val="21"/>
        </w:rPr>
        <w:t>2.社团法人由自然人作为成员而成立，根据《公司法》成立的有限责任公司与股份有限公司是典型的社团法人。</w:t>
      </w:r>
    </w:p>
    <w:p w14:paraId="5C35AD5B">
      <w:pPr>
        <w:spacing w:line="276" w:lineRule="auto"/>
        <w:ind w:firstLine="480"/>
        <w:rPr>
          <w:rFonts w:hint="eastAsia" w:ascii="宋体" w:hAnsi="宋体" w:cs="宋体"/>
          <w:b/>
          <w:bCs/>
          <w:color w:val="FF0000"/>
          <w:kern w:val="0"/>
          <w:szCs w:val="21"/>
          <w:lang w:val="en-US" w:eastAsia="zh-CN"/>
        </w:rPr>
      </w:pPr>
      <w:r>
        <w:rPr>
          <w:rFonts w:hint="eastAsia" w:ascii="宋体" w:hAnsi="宋体" w:cs="宋体"/>
          <w:kern w:val="0"/>
          <w:szCs w:val="21"/>
        </w:rPr>
        <w:t>3.财团法人也称“捐助法人”，财团法人无成员，是财产的集合体，基金会法人是典型的财团法人。财团法人的设立和终止，须经政府部门的核准。</w:t>
      </w:r>
      <w:r>
        <w:rPr>
          <w:rFonts w:hint="eastAsia" w:ascii="宋体" w:hAnsi="宋体" w:cs="宋体"/>
          <w:b/>
          <w:bCs/>
          <w:color w:val="FF0000"/>
          <w:kern w:val="0"/>
          <w:szCs w:val="21"/>
          <w:lang w:val="en-US" w:eastAsia="zh-CN"/>
        </w:rPr>
        <w:t>财团法人都是公益目的</w:t>
      </w:r>
    </w:p>
    <w:tbl>
      <w:tblPr>
        <w:tblStyle w:val="8"/>
        <w:tblW w:w="8505" w:type="dxa"/>
        <w:jc w:val="center"/>
        <w:tblBorders>
          <w:top w:val="single" w:color="9D061F" w:sz="8" w:space="0"/>
          <w:left w:val="single" w:color="9D061F" w:sz="8" w:space="0"/>
          <w:bottom w:val="single" w:color="9D061F" w:sz="8" w:space="0"/>
          <w:right w:val="single" w:color="9D061F" w:sz="8" w:space="0"/>
          <w:insideH w:val="single" w:color="9D061F" w:sz="8" w:space="0"/>
          <w:insideV w:val="single" w:color="9D061F" w:sz="8" w:space="0"/>
        </w:tblBorders>
        <w:tblLayout w:type="autofit"/>
        <w:tblCellMar>
          <w:top w:w="0" w:type="dxa"/>
          <w:left w:w="57" w:type="dxa"/>
          <w:bottom w:w="0" w:type="dxa"/>
          <w:right w:w="0" w:type="dxa"/>
        </w:tblCellMar>
      </w:tblPr>
      <w:tblGrid>
        <w:gridCol w:w="1408"/>
        <w:gridCol w:w="4262"/>
        <w:gridCol w:w="2835"/>
      </w:tblGrid>
      <w:tr w14:paraId="46F4BF49">
        <w:tblPrEx>
          <w:tblBorders>
            <w:top w:val="single" w:color="9D061F" w:sz="8" w:space="0"/>
            <w:left w:val="single" w:color="9D061F" w:sz="8" w:space="0"/>
            <w:bottom w:val="single" w:color="9D061F" w:sz="8" w:space="0"/>
            <w:right w:val="single" w:color="9D061F" w:sz="8" w:space="0"/>
            <w:insideH w:val="single" w:color="9D061F" w:sz="8" w:space="0"/>
            <w:insideV w:val="single" w:color="9D061F" w:sz="8" w:space="0"/>
          </w:tblBorders>
          <w:tblCellMar>
            <w:top w:w="0" w:type="dxa"/>
            <w:left w:w="57" w:type="dxa"/>
            <w:bottom w:w="0" w:type="dxa"/>
            <w:right w:w="0" w:type="dxa"/>
          </w:tblCellMar>
        </w:tblPrEx>
        <w:trPr>
          <w:jc w:val="center"/>
        </w:trPr>
        <w:tc>
          <w:tcPr>
            <w:tcW w:w="1408" w:type="dxa"/>
            <w:noWrap w:val="0"/>
            <w:vAlign w:val="center"/>
          </w:tcPr>
          <w:p w14:paraId="6513DE64">
            <w:pPr>
              <w:tabs>
                <w:tab w:val="left" w:pos="420"/>
              </w:tabs>
              <w:spacing w:before="31" w:beforeLines="10" w:after="62" w:afterLines="20" w:line="280" w:lineRule="exact"/>
              <w:ind w:firstLine="420"/>
              <w:jc w:val="center"/>
              <w:rPr>
                <w:rFonts w:ascii="Times New Roman" w:hAnsi="Times New Roman" w:cs="Times New Roman"/>
                <w:kern w:val="0"/>
              </w:rPr>
            </w:pPr>
          </w:p>
        </w:tc>
        <w:tc>
          <w:tcPr>
            <w:tcW w:w="4262" w:type="dxa"/>
            <w:noWrap w:val="0"/>
            <w:vAlign w:val="center"/>
          </w:tcPr>
          <w:p w14:paraId="709143B8">
            <w:pPr>
              <w:tabs>
                <w:tab w:val="left" w:pos="420"/>
              </w:tabs>
              <w:spacing w:before="31" w:beforeLines="10" w:after="62" w:afterLines="20" w:line="280" w:lineRule="exact"/>
              <w:ind w:firstLine="0" w:firstLineChars="0"/>
              <w:jc w:val="center"/>
              <w:rPr>
                <w:rFonts w:ascii="汉仪书宋一简" w:eastAsia="汉仪中黑简"/>
                <w:bCs/>
                <w:iCs/>
                <w:color w:val="000000"/>
                <w:kern w:val="0"/>
                <w:sz w:val="20"/>
              </w:rPr>
            </w:pPr>
            <w:r>
              <w:rPr>
                <w:rFonts w:ascii="汉仪书宋一简" w:eastAsia="汉仪中黑简"/>
                <w:bCs/>
                <w:iCs/>
                <w:color w:val="000000"/>
                <w:kern w:val="0"/>
                <w:sz w:val="20"/>
              </w:rPr>
              <w:t>社团法人</w:t>
            </w:r>
          </w:p>
        </w:tc>
        <w:tc>
          <w:tcPr>
            <w:tcW w:w="2835" w:type="dxa"/>
            <w:noWrap w:val="0"/>
            <w:vAlign w:val="center"/>
          </w:tcPr>
          <w:p w14:paraId="20E0AF93">
            <w:pPr>
              <w:tabs>
                <w:tab w:val="left" w:pos="420"/>
              </w:tabs>
              <w:spacing w:before="31" w:beforeLines="10" w:after="62" w:afterLines="20" w:line="280" w:lineRule="exact"/>
              <w:ind w:firstLine="0" w:firstLineChars="0"/>
              <w:jc w:val="center"/>
              <w:rPr>
                <w:rFonts w:ascii="汉仪书宋一简" w:eastAsia="汉仪中黑简"/>
                <w:bCs/>
                <w:iCs/>
                <w:color w:val="000000"/>
                <w:kern w:val="0"/>
                <w:sz w:val="20"/>
              </w:rPr>
            </w:pPr>
            <w:r>
              <w:rPr>
                <w:rFonts w:ascii="汉仪书宋一简" w:eastAsia="汉仪中黑简"/>
                <w:bCs/>
                <w:iCs/>
                <w:color w:val="000000"/>
                <w:kern w:val="0"/>
                <w:sz w:val="20"/>
              </w:rPr>
              <w:t>财团法人</w:t>
            </w:r>
          </w:p>
        </w:tc>
      </w:tr>
      <w:tr w14:paraId="120A4D8F">
        <w:tblPrEx>
          <w:tblBorders>
            <w:top w:val="single" w:color="9D061F" w:sz="8" w:space="0"/>
            <w:left w:val="single" w:color="9D061F" w:sz="8" w:space="0"/>
            <w:bottom w:val="single" w:color="9D061F" w:sz="8" w:space="0"/>
            <w:right w:val="single" w:color="9D061F" w:sz="8" w:space="0"/>
            <w:insideH w:val="single" w:color="9D061F" w:sz="8" w:space="0"/>
            <w:insideV w:val="single" w:color="9D061F" w:sz="8" w:space="0"/>
          </w:tblBorders>
          <w:tblCellMar>
            <w:top w:w="0" w:type="dxa"/>
            <w:left w:w="57" w:type="dxa"/>
            <w:bottom w:w="0" w:type="dxa"/>
            <w:right w:w="0" w:type="dxa"/>
          </w:tblCellMar>
        </w:tblPrEx>
        <w:trPr>
          <w:jc w:val="center"/>
        </w:trPr>
        <w:tc>
          <w:tcPr>
            <w:tcW w:w="1408" w:type="dxa"/>
            <w:noWrap w:val="0"/>
            <w:vAlign w:val="center"/>
          </w:tcPr>
          <w:p w14:paraId="68E2B6B2">
            <w:pPr>
              <w:tabs>
                <w:tab w:val="left" w:pos="420"/>
              </w:tabs>
              <w:spacing w:before="31" w:beforeLines="10" w:after="62" w:afterLines="20" w:line="280" w:lineRule="exact"/>
              <w:ind w:firstLine="0" w:firstLineChars="0"/>
              <w:jc w:val="center"/>
              <w:rPr>
                <w:rFonts w:ascii="汉仪书宋一简" w:eastAsia="汉仪中黑简"/>
                <w:bCs/>
                <w:iCs/>
                <w:color w:val="000000"/>
                <w:kern w:val="0"/>
                <w:sz w:val="20"/>
              </w:rPr>
            </w:pPr>
            <w:r>
              <w:rPr>
                <w:rFonts w:ascii="汉仪书宋一简" w:eastAsia="汉仪中黑简"/>
                <w:bCs/>
                <w:iCs/>
                <w:color w:val="000000"/>
                <w:kern w:val="0"/>
                <w:sz w:val="20"/>
              </w:rPr>
              <w:t>成立基础</w:t>
            </w:r>
          </w:p>
        </w:tc>
        <w:tc>
          <w:tcPr>
            <w:tcW w:w="4262" w:type="dxa"/>
            <w:noWrap w:val="0"/>
            <w:vAlign w:val="center"/>
          </w:tcPr>
          <w:p w14:paraId="5C317C8B">
            <w:pPr>
              <w:tabs>
                <w:tab w:val="left" w:pos="420"/>
              </w:tabs>
              <w:spacing w:before="31" w:beforeLines="10" w:after="62" w:afterLines="20" w:line="280" w:lineRule="exact"/>
              <w:ind w:firstLine="0" w:firstLineChars="0"/>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人的联合</w:t>
            </w:r>
          </w:p>
        </w:tc>
        <w:tc>
          <w:tcPr>
            <w:tcW w:w="2835" w:type="dxa"/>
            <w:noWrap w:val="0"/>
            <w:vAlign w:val="center"/>
          </w:tcPr>
          <w:p w14:paraId="29472636">
            <w:pPr>
              <w:tabs>
                <w:tab w:val="left" w:pos="420"/>
              </w:tabs>
              <w:spacing w:before="31" w:beforeLines="10" w:after="62" w:afterLines="20" w:line="280" w:lineRule="exact"/>
              <w:ind w:firstLine="0" w:firstLineChars="0"/>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财产的集合</w:t>
            </w:r>
          </w:p>
        </w:tc>
      </w:tr>
      <w:tr w14:paraId="4293F9D5">
        <w:tblPrEx>
          <w:tblBorders>
            <w:top w:val="single" w:color="9D061F" w:sz="8" w:space="0"/>
            <w:left w:val="single" w:color="9D061F" w:sz="8" w:space="0"/>
            <w:bottom w:val="single" w:color="9D061F" w:sz="8" w:space="0"/>
            <w:right w:val="single" w:color="9D061F" w:sz="8" w:space="0"/>
            <w:insideH w:val="single" w:color="9D061F" w:sz="8" w:space="0"/>
            <w:insideV w:val="single" w:color="9D061F" w:sz="8" w:space="0"/>
          </w:tblBorders>
          <w:tblCellMar>
            <w:top w:w="0" w:type="dxa"/>
            <w:left w:w="57" w:type="dxa"/>
            <w:bottom w:w="0" w:type="dxa"/>
            <w:right w:w="0" w:type="dxa"/>
          </w:tblCellMar>
        </w:tblPrEx>
        <w:trPr>
          <w:jc w:val="center"/>
        </w:trPr>
        <w:tc>
          <w:tcPr>
            <w:tcW w:w="1408" w:type="dxa"/>
            <w:noWrap w:val="0"/>
            <w:vAlign w:val="center"/>
          </w:tcPr>
          <w:p w14:paraId="11AEB3E4">
            <w:pPr>
              <w:tabs>
                <w:tab w:val="left" w:pos="420"/>
              </w:tabs>
              <w:spacing w:before="31" w:beforeLines="10" w:after="62" w:afterLines="20" w:line="280" w:lineRule="exact"/>
              <w:ind w:firstLine="0" w:firstLineChars="0"/>
              <w:jc w:val="center"/>
              <w:rPr>
                <w:rFonts w:ascii="汉仪书宋一简" w:eastAsia="汉仪中黑简"/>
                <w:bCs/>
                <w:iCs/>
                <w:color w:val="000000"/>
                <w:kern w:val="0"/>
                <w:sz w:val="20"/>
              </w:rPr>
            </w:pPr>
            <w:r>
              <w:rPr>
                <w:rFonts w:ascii="汉仪书宋一简" w:eastAsia="汉仪中黑简"/>
                <w:bCs/>
                <w:iCs/>
                <w:color w:val="000000"/>
                <w:kern w:val="0"/>
                <w:sz w:val="20"/>
              </w:rPr>
              <w:t>是否有成员</w:t>
            </w:r>
          </w:p>
        </w:tc>
        <w:tc>
          <w:tcPr>
            <w:tcW w:w="4262" w:type="dxa"/>
            <w:noWrap w:val="0"/>
            <w:vAlign w:val="center"/>
          </w:tcPr>
          <w:p w14:paraId="2FAB8758">
            <w:pPr>
              <w:tabs>
                <w:tab w:val="left" w:pos="420"/>
              </w:tabs>
              <w:spacing w:before="31" w:beforeLines="10" w:after="62" w:afterLines="20" w:line="280" w:lineRule="exact"/>
              <w:ind w:firstLine="0" w:firstLineChars="0"/>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有成员</w:t>
            </w:r>
          </w:p>
        </w:tc>
        <w:tc>
          <w:tcPr>
            <w:tcW w:w="2835" w:type="dxa"/>
            <w:noWrap w:val="0"/>
            <w:vAlign w:val="center"/>
          </w:tcPr>
          <w:p w14:paraId="5AAD8E39">
            <w:pPr>
              <w:tabs>
                <w:tab w:val="left" w:pos="420"/>
              </w:tabs>
              <w:spacing w:before="31" w:beforeLines="10" w:after="62" w:afterLines="20" w:line="280" w:lineRule="exact"/>
              <w:ind w:firstLine="0" w:firstLineChars="0"/>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无成员</w:t>
            </w:r>
          </w:p>
        </w:tc>
      </w:tr>
      <w:tr w14:paraId="09A96498">
        <w:tblPrEx>
          <w:tblBorders>
            <w:top w:val="single" w:color="9D061F" w:sz="8" w:space="0"/>
            <w:left w:val="single" w:color="9D061F" w:sz="8" w:space="0"/>
            <w:bottom w:val="single" w:color="9D061F" w:sz="8" w:space="0"/>
            <w:right w:val="single" w:color="9D061F" w:sz="8" w:space="0"/>
            <w:insideH w:val="single" w:color="9D061F" w:sz="8" w:space="0"/>
            <w:insideV w:val="single" w:color="9D061F" w:sz="8" w:space="0"/>
          </w:tblBorders>
          <w:tblCellMar>
            <w:top w:w="0" w:type="dxa"/>
            <w:left w:w="57" w:type="dxa"/>
            <w:bottom w:w="0" w:type="dxa"/>
            <w:right w:w="0" w:type="dxa"/>
          </w:tblCellMar>
        </w:tblPrEx>
        <w:trPr>
          <w:jc w:val="center"/>
        </w:trPr>
        <w:tc>
          <w:tcPr>
            <w:tcW w:w="1408" w:type="dxa"/>
            <w:noWrap w:val="0"/>
            <w:vAlign w:val="center"/>
          </w:tcPr>
          <w:p w14:paraId="6C24EDF0">
            <w:pPr>
              <w:tabs>
                <w:tab w:val="left" w:pos="420"/>
              </w:tabs>
              <w:spacing w:before="31" w:beforeLines="10" w:after="62" w:afterLines="20" w:line="280" w:lineRule="exact"/>
              <w:ind w:firstLine="0" w:firstLineChars="0"/>
              <w:jc w:val="center"/>
              <w:rPr>
                <w:rFonts w:ascii="汉仪书宋一简" w:eastAsia="汉仪中黑简"/>
                <w:bCs/>
                <w:iCs/>
                <w:color w:val="000000"/>
                <w:kern w:val="0"/>
                <w:sz w:val="20"/>
              </w:rPr>
            </w:pPr>
            <w:r>
              <w:rPr>
                <w:rFonts w:ascii="汉仪书宋一简" w:eastAsia="汉仪中黑简"/>
                <w:bCs/>
                <w:iCs/>
                <w:color w:val="000000"/>
                <w:kern w:val="0"/>
                <w:sz w:val="20"/>
              </w:rPr>
              <w:t>设立行为</w:t>
            </w:r>
          </w:p>
        </w:tc>
        <w:tc>
          <w:tcPr>
            <w:tcW w:w="4262" w:type="dxa"/>
            <w:noWrap w:val="0"/>
            <w:vAlign w:val="center"/>
          </w:tcPr>
          <w:p w14:paraId="0EC0A338">
            <w:pPr>
              <w:tabs>
                <w:tab w:val="left" w:pos="420"/>
              </w:tabs>
              <w:spacing w:before="31" w:beforeLines="10" w:after="62" w:afterLines="20" w:line="280" w:lineRule="exact"/>
              <w:ind w:firstLine="0" w:firstLineChars="0"/>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由设立人共同设立（共同行为）</w:t>
            </w:r>
          </w:p>
        </w:tc>
        <w:tc>
          <w:tcPr>
            <w:tcW w:w="2835" w:type="dxa"/>
            <w:noWrap w:val="0"/>
            <w:vAlign w:val="center"/>
          </w:tcPr>
          <w:p w14:paraId="2E702B3C">
            <w:pPr>
              <w:tabs>
                <w:tab w:val="left" w:pos="420"/>
              </w:tabs>
              <w:spacing w:before="31" w:beforeLines="10" w:after="62" w:afterLines="20" w:line="280" w:lineRule="exact"/>
              <w:ind w:firstLine="0" w:firstLineChars="0"/>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设立人以捐助行为设立</w:t>
            </w:r>
          </w:p>
        </w:tc>
      </w:tr>
      <w:tr w14:paraId="4CA36313">
        <w:tblPrEx>
          <w:tblBorders>
            <w:top w:val="single" w:color="9D061F" w:sz="8" w:space="0"/>
            <w:left w:val="single" w:color="9D061F" w:sz="8" w:space="0"/>
            <w:bottom w:val="single" w:color="9D061F" w:sz="8" w:space="0"/>
            <w:right w:val="single" w:color="9D061F" w:sz="8" w:space="0"/>
            <w:insideH w:val="single" w:color="9D061F" w:sz="8" w:space="0"/>
            <w:insideV w:val="single" w:color="9D061F" w:sz="8" w:space="0"/>
          </w:tblBorders>
          <w:tblCellMar>
            <w:top w:w="0" w:type="dxa"/>
            <w:left w:w="57" w:type="dxa"/>
            <w:bottom w:w="0" w:type="dxa"/>
            <w:right w:w="0" w:type="dxa"/>
          </w:tblCellMar>
        </w:tblPrEx>
        <w:trPr>
          <w:jc w:val="center"/>
        </w:trPr>
        <w:tc>
          <w:tcPr>
            <w:tcW w:w="1408" w:type="dxa"/>
            <w:noWrap w:val="0"/>
            <w:vAlign w:val="center"/>
          </w:tcPr>
          <w:p w14:paraId="6EFC862E">
            <w:pPr>
              <w:tabs>
                <w:tab w:val="left" w:pos="420"/>
              </w:tabs>
              <w:spacing w:before="31" w:beforeLines="10" w:after="62" w:afterLines="20" w:line="280" w:lineRule="exact"/>
              <w:ind w:firstLine="0" w:firstLineChars="0"/>
              <w:jc w:val="center"/>
              <w:rPr>
                <w:rFonts w:ascii="汉仪书宋一简" w:eastAsia="汉仪中黑简"/>
                <w:bCs/>
                <w:iCs/>
                <w:color w:val="000000"/>
                <w:kern w:val="0"/>
                <w:sz w:val="20"/>
              </w:rPr>
            </w:pPr>
            <w:r>
              <w:rPr>
                <w:rFonts w:ascii="汉仪书宋一简" w:eastAsia="汉仪中黑简"/>
                <w:bCs/>
                <w:iCs/>
                <w:color w:val="000000"/>
                <w:kern w:val="0"/>
                <w:sz w:val="20"/>
              </w:rPr>
              <w:t>组织机构</w:t>
            </w:r>
          </w:p>
        </w:tc>
        <w:tc>
          <w:tcPr>
            <w:tcW w:w="4262" w:type="dxa"/>
            <w:noWrap w:val="0"/>
            <w:vAlign w:val="center"/>
          </w:tcPr>
          <w:p w14:paraId="2C57F569">
            <w:pPr>
              <w:tabs>
                <w:tab w:val="left" w:pos="420"/>
              </w:tabs>
              <w:spacing w:before="31" w:beforeLines="10" w:after="62" w:afterLines="20" w:line="280" w:lineRule="exact"/>
              <w:ind w:firstLine="0" w:firstLineChars="0"/>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成员大会是其意思形成机关（权力机关）</w:t>
            </w:r>
          </w:p>
        </w:tc>
        <w:tc>
          <w:tcPr>
            <w:tcW w:w="2835" w:type="dxa"/>
            <w:noWrap w:val="0"/>
            <w:vAlign w:val="center"/>
          </w:tcPr>
          <w:p w14:paraId="527EAE32">
            <w:pPr>
              <w:tabs>
                <w:tab w:val="left" w:pos="420"/>
              </w:tabs>
              <w:spacing w:before="31" w:beforeLines="10" w:after="62" w:afterLines="20" w:line="280" w:lineRule="exact"/>
              <w:ind w:firstLine="0" w:firstLineChars="0"/>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无成员大会</w:t>
            </w:r>
          </w:p>
        </w:tc>
      </w:tr>
      <w:tr w14:paraId="48DB8C14">
        <w:tblPrEx>
          <w:tblBorders>
            <w:top w:val="single" w:color="9D061F" w:sz="8" w:space="0"/>
            <w:left w:val="single" w:color="9D061F" w:sz="8" w:space="0"/>
            <w:bottom w:val="single" w:color="9D061F" w:sz="8" w:space="0"/>
            <w:right w:val="single" w:color="9D061F" w:sz="8" w:space="0"/>
            <w:insideH w:val="single" w:color="9D061F" w:sz="8" w:space="0"/>
            <w:insideV w:val="single" w:color="9D061F" w:sz="8" w:space="0"/>
          </w:tblBorders>
          <w:tblCellMar>
            <w:top w:w="0" w:type="dxa"/>
            <w:left w:w="57" w:type="dxa"/>
            <w:bottom w:w="0" w:type="dxa"/>
            <w:right w:w="0" w:type="dxa"/>
          </w:tblCellMar>
        </w:tblPrEx>
        <w:trPr>
          <w:jc w:val="center"/>
        </w:trPr>
        <w:tc>
          <w:tcPr>
            <w:tcW w:w="1408" w:type="dxa"/>
            <w:noWrap w:val="0"/>
            <w:vAlign w:val="center"/>
          </w:tcPr>
          <w:p w14:paraId="77A0E157">
            <w:pPr>
              <w:tabs>
                <w:tab w:val="left" w:pos="420"/>
              </w:tabs>
              <w:spacing w:before="31" w:beforeLines="10" w:after="62" w:afterLines="20" w:line="280" w:lineRule="exact"/>
              <w:ind w:firstLine="0" w:firstLineChars="0"/>
              <w:jc w:val="center"/>
              <w:rPr>
                <w:rFonts w:ascii="汉仪书宋一简" w:eastAsia="汉仪中黑简"/>
                <w:bCs/>
                <w:iCs/>
                <w:color w:val="000000"/>
                <w:kern w:val="0"/>
                <w:sz w:val="20"/>
              </w:rPr>
            </w:pPr>
            <w:r>
              <w:rPr>
                <w:rFonts w:ascii="汉仪书宋一简" w:eastAsia="汉仪中黑简"/>
                <w:bCs/>
                <w:iCs/>
                <w:color w:val="000000"/>
                <w:kern w:val="0"/>
                <w:sz w:val="20"/>
              </w:rPr>
              <w:t>目的事业</w:t>
            </w:r>
          </w:p>
        </w:tc>
        <w:tc>
          <w:tcPr>
            <w:tcW w:w="4262" w:type="dxa"/>
            <w:noWrap w:val="0"/>
            <w:vAlign w:val="center"/>
          </w:tcPr>
          <w:p w14:paraId="39339151">
            <w:pPr>
              <w:tabs>
                <w:tab w:val="left" w:pos="420"/>
              </w:tabs>
              <w:spacing w:before="31" w:beforeLines="10" w:after="62" w:afterLines="20" w:line="280" w:lineRule="exact"/>
              <w:ind w:firstLine="0" w:firstLineChars="0"/>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营利事业与非营利事业均可</w:t>
            </w:r>
          </w:p>
        </w:tc>
        <w:tc>
          <w:tcPr>
            <w:tcW w:w="2835" w:type="dxa"/>
            <w:noWrap w:val="0"/>
            <w:vAlign w:val="center"/>
          </w:tcPr>
          <w:p w14:paraId="0888FB0F">
            <w:pPr>
              <w:tabs>
                <w:tab w:val="left" w:pos="420"/>
              </w:tabs>
              <w:spacing w:before="31" w:beforeLines="10" w:after="62" w:afterLines="20" w:line="280" w:lineRule="exact"/>
              <w:ind w:firstLine="0" w:firstLineChars="0"/>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非营利事业</w:t>
            </w:r>
          </w:p>
        </w:tc>
      </w:tr>
      <w:tr w14:paraId="4FE35B92">
        <w:tblPrEx>
          <w:tblBorders>
            <w:top w:val="single" w:color="9D061F" w:sz="8" w:space="0"/>
            <w:left w:val="single" w:color="9D061F" w:sz="8" w:space="0"/>
            <w:bottom w:val="single" w:color="9D061F" w:sz="8" w:space="0"/>
            <w:right w:val="single" w:color="9D061F" w:sz="8" w:space="0"/>
            <w:insideH w:val="single" w:color="9D061F" w:sz="8" w:space="0"/>
            <w:insideV w:val="single" w:color="9D061F" w:sz="8" w:space="0"/>
          </w:tblBorders>
          <w:tblCellMar>
            <w:top w:w="0" w:type="dxa"/>
            <w:left w:w="57" w:type="dxa"/>
            <w:bottom w:w="0" w:type="dxa"/>
            <w:right w:w="0" w:type="dxa"/>
          </w:tblCellMar>
        </w:tblPrEx>
        <w:trPr>
          <w:jc w:val="center"/>
        </w:trPr>
        <w:tc>
          <w:tcPr>
            <w:tcW w:w="1408" w:type="dxa"/>
            <w:noWrap w:val="0"/>
            <w:vAlign w:val="center"/>
          </w:tcPr>
          <w:p w14:paraId="7200F3AC">
            <w:pPr>
              <w:tabs>
                <w:tab w:val="left" w:pos="420"/>
              </w:tabs>
              <w:spacing w:before="31" w:beforeLines="10" w:after="62" w:afterLines="20" w:line="280" w:lineRule="exact"/>
              <w:ind w:firstLine="0" w:firstLineChars="0"/>
              <w:jc w:val="center"/>
              <w:rPr>
                <w:rFonts w:ascii="汉仪书宋一简" w:eastAsia="汉仪中黑简"/>
                <w:bCs/>
                <w:iCs/>
                <w:color w:val="000000"/>
                <w:kern w:val="0"/>
                <w:sz w:val="20"/>
              </w:rPr>
            </w:pPr>
            <w:r>
              <w:rPr>
                <w:rFonts w:ascii="汉仪书宋一简" w:eastAsia="汉仪中黑简"/>
                <w:bCs/>
                <w:iCs/>
                <w:color w:val="000000"/>
                <w:kern w:val="0"/>
                <w:sz w:val="20"/>
              </w:rPr>
              <w:t>解散事由</w:t>
            </w:r>
          </w:p>
        </w:tc>
        <w:tc>
          <w:tcPr>
            <w:tcW w:w="4262" w:type="dxa"/>
            <w:noWrap w:val="0"/>
            <w:vAlign w:val="center"/>
          </w:tcPr>
          <w:p w14:paraId="24A6E952">
            <w:pPr>
              <w:tabs>
                <w:tab w:val="left" w:pos="420"/>
              </w:tabs>
              <w:spacing w:before="31" w:beforeLines="10" w:after="62" w:afterLines="20" w:line="280" w:lineRule="exact"/>
              <w:ind w:firstLine="0" w:firstLineChars="0"/>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可由成员大会决议解散</w:t>
            </w:r>
          </w:p>
        </w:tc>
        <w:tc>
          <w:tcPr>
            <w:tcW w:w="2835" w:type="dxa"/>
            <w:noWrap w:val="0"/>
            <w:vAlign w:val="center"/>
          </w:tcPr>
          <w:p w14:paraId="2D22CEB5">
            <w:pPr>
              <w:tabs>
                <w:tab w:val="left" w:pos="420"/>
              </w:tabs>
              <w:spacing w:before="31" w:beforeLines="10" w:after="62" w:afterLines="20" w:line="280" w:lineRule="exact"/>
              <w:ind w:firstLine="0" w:firstLineChars="0"/>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因目的事业不能实现而解散</w:t>
            </w:r>
          </w:p>
        </w:tc>
      </w:tr>
      <w:tr w14:paraId="67F35B4A">
        <w:tblPrEx>
          <w:tblBorders>
            <w:top w:val="single" w:color="9D061F" w:sz="8" w:space="0"/>
            <w:left w:val="single" w:color="9D061F" w:sz="8" w:space="0"/>
            <w:bottom w:val="single" w:color="9D061F" w:sz="8" w:space="0"/>
            <w:right w:val="single" w:color="9D061F" w:sz="8" w:space="0"/>
            <w:insideH w:val="single" w:color="9D061F" w:sz="8" w:space="0"/>
            <w:insideV w:val="single" w:color="9D061F" w:sz="8" w:space="0"/>
          </w:tblBorders>
          <w:tblCellMar>
            <w:top w:w="0" w:type="dxa"/>
            <w:left w:w="57" w:type="dxa"/>
            <w:bottom w:w="0" w:type="dxa"/>
            <w:right w:w="0" w:type="dxa"/>
          </w:tblCellMar>
        </w:tblPrEx>
        <w:trPr>
          <w:jc w:val="center"/>
        </w:trPr>
        <w:tc>
          <w:tcPr>
            <w:tcW w:w="1408" w:type="dxa"/>
            <w:noWrap w:val="0"/>
            <w:vAlign w:val="center"/>
          </w:tcPr>
          <w:p w14:paraId="610B02FD">
            <w:pPr>
              <w:tabs>
                <w:tab w:val="left" w:pos="420"/>
              </w:tabs>
              <w:spacing w:before="31" w:beforeLines="10" w:after="62" w:afterLines="20" w:line="280" w:lineRule="exact"/>
              <w:ind w:firstLine="0" w:firstLineChars="0"/>
              <w:jc w:val="center"/>
              <w:rPr>
                <w:rFonts w:ascii="汉仪书宋一简" w:eastAsia="汉仪中黑简"/>
                <w:bCs/>
                <w:iCs/>
                <w:color w:val="000000"/>
                <w:kern w:val="0"/>
                <w:sz w:val="20"/>
              </w:rPr>
            </w:pPr>
            <w:r>
              <w:rPr>
                <w:rFonts w:ascii="汉仪书宋一简" w:eastAsia="汉仪中黑简"/>
                <w:bCs/>
                <w:iCs/>
                <w:color w:val="000000"/>
                <w:kern w:val="0"/>
                <w:sz w:val="20"/>
              </w:rPr>
              <w:t>典型例证</w:t>
            </w:r>
          </w:p>
        </w:tc>
        <w:tc>
          <w:tcPr>
            <w:tcW w:w="4262" w:type="dxa"/>
            <w:noWrap w:val="0"/>
            <w:vAlign w:val="center"/>
          </w:tcPr>
          <w:p w14:paraId="3BD67BDB">
            <w:pPr>
              <w:tabs>
                <w:tab w:val="left" w:pos="420"/>
              </w:tabs>
              <w:spacing w:before="31" w:beforeLines="10" w:after="62" w:afterLines="20" w:line="280" w:lineRule="exact"/>
              <w:ind w:firstLine="0" w:firstLineChars="0"/>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有限责任公司、股份有限公司等</w:t>
            </w:r>
          </w:p>
        </w:tc>
        <w:tc>
          <w:tcPr>
            <w:tcW w:w="2835" w:type="dxa"/>
            <w:noWrap w:val="0"/>
            <w:vAlign w:val="center"/>
          </w:tcPr>
          <w:p w14:paraId="25B8515C">
            <w:pPr>
              <w:tabs>
                <w:tab w:val="left" w:pos="420"/>
              </w:tabs>
              <w:spacing w:before="31" w:beforeLines="10" w:after="62" w:afterLines="20" w:line="280" w:lineRule="exact"/>
              <w:ind w:firstLine="0" w:firstLineChars="0"/>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基金会等</w:t>
            </w:r>
          </w:p>
        </w:tc>
      </w:tr>
    </w:tbl>
    <w:p w14:paraId="1EEA8A5D">
      <w:pPr>
        <w:spacing w:line="276" w:lineRule="auto"/>
        <w:ind w:firstLine="480"/>
        <w:rPr>
          <w:rFonts w:hint="default" w:ascii="宋体" w:hAnsi="宋体" w:cs="宋体"/>
          <w:b/>
          <w:bCs/>
          <w:color w:val="FF0000"/>
          <w:kern w:val="0"/>
          <w:szCs w:val="21"/>
          <w:lang w:val="en-US" w:eastAsia="zh-CN"/>
        </w:rPr>
      </w:pPr>
    </w:p>
    <w:p w14:paraId="2A095667">
      <w:pPr>
        <w:spacing w:line="480" w:lineRule="auto"/>
        <w:ind w:firstLine="480"/>
        <w:rPr>
          <w:rFonts w:ascii="宋体" w:hAnsi="宋体" w:cs="宋体"/>
          <w:b/>
          <w:bCs/>
          <w:kern w:val="0"/>
          <w:szCs w:val="21"/>
        </w:rPr>
      </w:pPr>
      <w:r>
        <w:rPr>
          <w:rFonts w:hint="eastAsia" w:ascii="宋体" w:hAnsi="宋体" w:cs="宋体"/>
          <w:b/>
          <w:bCs/>
          <w:kern w:val="0"/>
          <w:szCs w:val="21"/>
        </w:rPr>
        <w:t>（二）《民法典》上法人的类型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3"/>
        <w:gridCol w:w="2763"/>
        <w:gridCol w:w="2764"/>
      </w:tblGrid>
      <w:tr w14:paraId="67EA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noWrap w:val="0"/>
            <w:vAlign w:val="top"/>
          </w:tcPr>
          <w:p w14:paraId="665B1F38">
            <w:pPr>
              <w:jc w:val="center"/>
              <w:rPr>
                <w:rFonts w:ascii="宋体" w:hAnsi="宋体" w:eastAsia="宋体" w:cs="Times New Roman"/>
                <w:b/>
              </w:rPr>
            </w:pPr>
            <w:r>
              <w:rPr>
                <w:rFonts w:hint="eastAsia" w:ascii="宋体" w:hAnsi="宋体" w:eastAsia="宋体" w:cs="Times New Roman"/>
                <w:b/>
              </w:rPr>
              <w:t>营利法人</w:t>
            </w:r>
          </w:p>
        </w:tc>
        <w:tc>
          <w:tcPr>
            <w:tcW w:w="2763" w:type="dxa"/>
            <w:noWrap w:val="0"/>
            <w:vAlign w:val="top"/>
          </w:tcPr>
          <w:p w14:paraId="2C742CFC">
            <w:pPr>
              <w:jc w:val="center"/>
              <w:rPr>
                <w:rFonts w:ascii="宋体" w:hAnsi="宋体" w:eastAsia="宋体" w:cs="Times New Roman"/>
                <w:b/>
              </w:rPr>
            </w:pPr>
            <w:r>
              <w:rPr>
                <w:rFonts w:hint="eastAsia" w:ascii="宋体" w:hAnsi="宋体" w:eastAsia="宋体" w:cs="Times New Roman"/>
                <w:b/>
              </w:rPr>
              <w:t>非营利法人</w:t>
            </w:r>
          </w:p>
        </w:tc>
        <w:tc>
          <w:tcPr>
            <w:tcW w:w="2764" w:type="dxa"/>
            <w:noWrap w:val="0"/>
            <w:vAlign w:val="top"/>
          </w:tcPr>
          <w:p w14:paraId="598D0436">
            <w:pPr>
              <w:jc w:val="center"/>
              <w:rPr>
                <w:rFonts w:ascii="宋体" w:hAnsi="宋体" w:eastAsia="宋体" w:cs="Times New Roman"/>
                <w:b/>
              </w:rPr>
            </w:pPr>
            <w:r>
              <w:rPr>
                <w:rFonts w:hint="eastAsia" w:ascii="宋体" w:hAnsi="宋体" w:eastAsia="宋体" w:cs="Times New Roman"/>
                <w:b/>
              </w:rPr>
              <w:t>特别法人</w:t>
            </w:r>
          </w:p>
        </w:tc>
      </w:tr>
      <w:tr w14:paraId="77D1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noWrap w:val="0"/>
            <w:vAlign w:val="top"/>
          </w:tcPr>
          <w:p w14:paraId="75E2ACC8">
            <w:pPr>
              <w:jc w:val="center"/>
              <w:rPr>
                <w:rFonts w:ascii="宋体" w:hAnsi="宋体" w:eastAsia="宋体" w:cs="Times New Roman"/>
              </w:rPr>
            </w:pPr>
          </w:p>
          <w:p w14:paraId="50D1E7D9">
            <w:pPr>
              <w:jc w:val="center"/>
              <w:rPr>
                <w:rFonts w:ascii="宋体" w:hAnsi="宋体" w:eastAsia="宋体" w:cs="Times New Roman"/>
              </w:rPr>
            </w:pPr>
            <w:r>
              <w:rPr>
                <w:rFonts w:ascii="宋体" w:hAnsi="宋体" w:eastAsia="宋体" w:cs="Times New Roman"/>
              </w:rPr>
              <w:t>●</w:t>
            </w:r>
            <w:r>
              <w:rPr>
                <w:rFonts w:hint="eastAsia" w:ascii="宋体" w:hAnsi="宋体" w:eastAsia="宋体" w:cs="Times New Roman"/>
              </w:rPr>
              <w:t xml:space="preserve"> 有限责任公司</w:t>
            </w:r>
          </w:p>
          <w:p w14:paraId="4871268D">
            <w:pPr>
              <w:jc w:val="center"/>
              <w:rPr>
                <w:rFonts w:ascii="宋体" w:hAnsi="宋体" w:eastAsia="宋体" w:cs="Times New Roman"/>
              </w:rPr>
            </w:pPr>
            <w:r>
              <w:rPr>
                <w:rFonts w:ascii="宋体" w:hAnsi="宋体" w:eastAsia="宋体" w:cs="Times New Roman"/>
              </w:rPr>
              <w:t>●</w:t>
            </w:r>
            <w:r>
              <w:rPr>
                <w:rFonts w:hint="eastAsia" w:ascii="宋体" w:hAnsi="宋体" w:eastAsia="宋体" w:cs="Times New Roman"/>
              </w:rPr>
              <w:t xml:space="preserve"> 股份有限公司</w:t>
            </w:r>
          </w:p>
          <w:p w14:paraId="28A1CEA0">
            <w:pPr>
              <w:jc w:val="center"/>
              <w:rPr>
                <w:rFonts w:ascii="宋体" w:hAnsi="宋体" w:eastAsia="宋体" w:cs="Times New Roman"/>
              </w:rPr>
            </w:pPr>
            <w:r>
              <w:rPr>
                <w:rFonts w:ascii="宋体" w:hAnsi="宋体" w:eastAsia="宋体" w:cs="Times New Roman"/>
              </w:rPr>
              <w:t>●</w:t>
            </w:r>
            <w:r>
              <w:rPr>
                <w:rFonts w:hint="eastAsia" w:ascii="宋体" w:hAnsi="宋体" w:eastAsia="宋体" w:cs="Times New Roman"/>
              </w:rPr>
              <w:t xml:space="preserve"> 其他企业法人</w:t>
            </w:r>
          </w:p>
          <w:p w14:paraId="35D5611D">
            <w:pPr>
              <w:spacing w:line="276" w:lineRule="auto"/>
              <w:rPr>
                <w:rFonts w:ascii="宋体" w:hAnsi="宋体" w:eastAsia="宋体" w:cs="宋体"/>
                <w:kern w:val="0"/>
                <w:szCs w:val="21"/>
              </w:rPr>
            </w:pPr>
          </w:p>
        </w:tc>
        <w:tc>
          <w:tcPr>
            <w:tcW w:w="2763" w:type="dxa"/>
            <w:noWrap w:val="0"/>
            <w:vAlign w:val="top"/>
          </w:tcPr>
          <w:p w14:paraId="59D5DCCC">
            <w:pPr>
              <w:rPr>
                <w:rFonts w:ascii="宋体" w:hAnsi="宋体" w:eastAsia="宋体" w:cs="Times New Roman"/>
              </w:rPr>
            </w:pPr>
          </w:p>
          <w:p w14:paraId="78AD6258">
            <w:pPr>
              <w:rPr>
                <w:rFonts w:ascii="宋体" w:hAnsi="宋体" w:eastAsia="宋体" w:cs="Times New Roman"/>
              </w:rPr>
            </w:pPr>
            <w:r>
              <w:rPr>
                <w:rFonts w:ascii="宋体" w:hAnsi="宋体" w:eastAsia="宋体" w:cs="Times New Roman"/>
              </w:rPr>
              <w:t>●</w:t>
            </w:r>
            <w:r>
              <w:rPr>
                <w:rFonts w:hint="eastAsia" w:ascii="宋体" w:hAnsi="宋体" w:eastAsia="宋体" w:cs="Times New Roman"/>
              </w:rPr>
              <w:t xml:space="preserve"> 事业单位法人</w:t>
            </w:r>
          </w:p>
          <w:p w14:paraId="5BE08BE2">
            <w:pPr>
              <w:rPr>
                <w:rFonts w:ascii="宋体" w:hAnsi="宋体" w:eastAsia="宋体" w:cs="Times New Roman"/>
              </w:rPr>
            </w:pPr>
            <w:r>
              <w:rPr>
                <w:rFonts w:ascii="宋体" w:hAnsi="宋体" w:eastAsia="宋体" w:cs="Times New Roman"/>
              </w:rPr>
              <w:t>●</w:t>
            </w:r>
            <w:r>
              <w:rPr>
                <w:rFonts w:hint="eastAsia" w:ascii="宋体" w:hAnsi="宋体" w:eastAsia="宋体" w:cs="Times New Roman"/>
              </w:rPr>
              <w:t xml:space="preserve"> 社会团体法人</w:t>
            </w:r>
          </w:p>
          <w:p w14:paraId="1A203CBF">
            <w:pPr>
              <w:rPr>
                <w:rFonts w:ascii="宋体" w:hAnsi="宋体" w:eastAsia="宋体" w:cs="Times New Roman"/>
              </w:rPr>
            </w:pPr>
            <w:r>
              <w:rPr>
                <w:rFonts w:ascii="宋体" w:hAnsi="宋体" w:eastAsia="宋体" w:cs="Times New Roman"/>
              </w:rPr>
              <w:t>●</w:t>
            </w:r>
            <w:r>
              <w:rPr>
                <w:rFonts w:hint="eastAsia" w:ascii="宋体" w:hAnsi="宋体" w:eastAsia="宋体" w:cs="Times New Roman"/>
              </w:rPr>
              <w:t xml:space="preserve"> 捐助法人（财团法人）</w:t>
            </w:r>
          </w:p>
          <w:p w14:paraId="0DDA3CAB">
            <w:pPr>
              <w:rPr>
                <w:rFonts w:ascii="宋体" w:hAnsi="宋体" w:eastAsia="宋体" w:cs="宋体"/>
                <w:kern w:val="0"/>
                <w:szCs w:val="21"/>
              </w:rPr>
            </w:pPr>
            <w:r>
              <w:rPr>
                <w:rFonts w:ascii="宋体" w:hAnsi="宋体" w:eastAsia="宋体" w:cs="Times New Roman"/>
              </w:rPr>
              <w:t>●</w:t>
            </w:r>
            <w:r>
              <w:rPr>
                <w:rFonts w:hint="eastAsia" w:ascii="宋体" w:hAnsi="宋体" w:eastAsia="宋体" w:cs="Times New Roman"/>
              </w:rPr>
              <w:t xml:space="preserve"> 社会服务机构法人</w:t>
            </w:r>
          </w:p>
        </w:tc>
        <w:tc>
          <w:tcPr>
            <w:tcW w:w="2764" w:type="dxa"/>
            <w:noWrap w:val="0"/>
            <w:vAlign w:val="top"/>
          </w:tcPr>
          <w:p w14:paraId="587B97E9">
            <w:pPr>
              <w:rPr>
                <w:rFonts w:ascii="宋体" w:hAnsi="宋体" w:eastAsia="宋体" w:cs="Times New Roman"/>
              </w:rPr>
            </w:pPr>
          </w:p>
          <w:p w14:paraId="406274BB">
            <w:pPr>
              <w:rPr>
                <w:rFonts w:ascii="宋体" w:hAnsi="宋体" w:eastAsia="宋体" w:cs="Times New Roman"/>
              </w:rPr>
            </w:pPr>
            <w:r>
              <w:rPr>
                <w:rFonts w:ascii="宋体" w:hAnsi="宋体" w:eastAsia="宋体" w:cs="Times New Roman"/>
              </w:rPr>
              <w:t>●</w:t>
            </w:r>
            <w:r>
              <w:rPr>
                <w:rFonts w:hint="eastAsia" w:ascii="宋体" w:hAnsi="宋体" w:eastAsia="宋体" w:cs="Times New Roman"/>
              </w:rPr>
              <w:t xml:space="preserve"> 机关法人</w:t>
            </w:r>
          </w:p>
          <w:p w14:paraId="171EDC82">
            <w:pPr>
              <w:rPr>
                <w:rFonts w:ascii="宋体" w:hAnsi="宋体" w:eastAsia="宋体" w:cs="Times New Roman"/>
              </w:rPr>
            </w:pPr>
            <w:r>
              <w:rPr>
                <w:rFonts w:ascii="宋体" w:hAnsi="宋体" w:eastAsia="宋体" w:cs="Times New Roman"/>
              </w:rPr>
              <w:t>●</w:t>
            </w:r>
            <w:r>
              <w:rPr>
                <w:rFonts w:hint="eastAsia" w:ascii="宋体" w:hAnsi="宋体" w:eastAsia="宋体" w:cs="Times New Roman"/>
              </w:rPr>
              <w:t xml:space="preserve"> 农村集体经济组织法人</w:t>
            </w:r>
          </w:p>
          <w:p w14:paraId="56B4204E">
            <w:pPr>
              <w:rPr>
                <w:rFonts w:ascii="宋体" w:hAnsi="宋体" w:eastAsia="宋体" w:cs="Times New Roman"/>
              </w:rPr>
            </w:pPr>
            <w:r>
              <w:rPr>
                <w:rFonts w:ascii="宋体" w:hAnsi="宋体" w:eastAsia="宋体" w:cs="Times New Roman"/>
              </w:rPr>
              <w:t>●</w:t>
            </w:r>
            <w:r>
              <w:rPr>
                <w:rFonts w:hint="eastAsia" w:ascii="宋体" w:hAnsi="宋体" w:eastAsia="宋体" w:cs="Times New Roman"/>
              </w:rPr>
              <w:t xml:space="preserve"> 城镇农村的合作经济</w:t>
            </w:r>
          </w:p>
          <w:p w14:paraId="301AC9AF">
            <w:pPr>
              <w:ind w:firstLine="210" w:firstLineChars="100"/>
              <w:rPr>
                <w:rFonts w:ascii="宋体" w:hAnsi="宋体" w:eastAsia="宋体" w:cs="Times New Roman"/>
              </w:rPr>
            </w:pPr>
            <w:r>
              <w:rPr>
                <w:rFonts w:hint="eastAsia" w:ascii="宋体" w:hAnsi="宋体" w:eastAsia="宋体" w:cs="Times New Roman"/>
              </w:rPr>
              <w:t>组织法人</w:t>
            </w:r>
          </w:p>
          <w:p w14:paraId="10BEC7C9">
            <w:pPr>
              <w:rPr>
                <w:rFonts w:ascii="宋体" w:hAnsi="宋体" w:eastAsia="宋体" w:cs="Times New Roman"/>
              </w:rPr>
            </w:pPr>
            <w:r>
              <w:rPr>
                <w:rFonts w:ascii="宋体" w:hAnsi="宋体" w:eastAsia="宋体" w:cs="Times New Roman"/>
              </w:rPr>
              <w:t>●</w:t>
            </w:r>
            <w:r>
              <w:rPr>
                <w:rFonts w:hint="eastAsia" w:ascii="宋体" w:hAnsi="宋体" w:eastAsia="宋体" w:cs="Times New Roman"/>
              </w:rPr>
              <w:t xml:space="preserve"> 基层群众性自治组织</w:t>
            </w:r>
          </w:p>
          <w:p w14:paraId="676BC00D">
            <w:pPr>
              <w:ind w:firstLine="210" w:firstLineChars="100"/>
              <w:rPr>
                <w:rFonts w:ascii="宋体" w:hAnsi="宋体" w:eastAsia="宋体" w:cs="Times New Roman"/>
              </w:rPr>
            </w:pPr>
            <w:r>
              <w:rPr>
                <w:rFonts w:hint="eastAsia" w:ascii="宋体" w:hAnsi="宋体" w:eastAsia="宋体" w:cs="Times New Roman"/>
              </w:rPr>
              <w:t>法人</w:t>
            </w:r>
          </w:p>
        </w:tc>
      </w:tr>
    </w:tbl>
    <w:p w14:paraId="75C959C4">
      <w:pPr>
        <w:spacing w:line="276" w:lineRule="auto"/>
        <w:rPr>
          <w:rFonts w:ascii="宋体" w:hAnsi="宋体" w:cs="宋体"/>
          <w:kern w:val="0"/>
          <w:szCs w:val="21"/>
        </w:rPr>
      </w:pPr>
    </w:p>
    <w:p w14:paraId="5A722077">
      <w:pPr>
        <w:spacing w:line="276" w:lineRule="auto"/>
        <w:rPr>
          <w:rFonts w:ascii="宋体" w:hAnsi="宋体" w:cs="宋体"/>
          <w:b/>
          <w:bCs/>
          <w:kern w:val="0"/>
          <w:szCs w:val="21"/>
        </w:rPr>
      </w:pPr>
      <w:r>
        <w:rPr>
          <w:rFonts w:hint="eastAsia" w:ascii="宋体" w:hAnsi="宋体"/>
          <w:b/>
          <w:szCs w:val="28"/>
        </w:rPr>
        <w:t>三、</w:t>
      </w:r>
      <w:r>
        <w:rPr>
          <w:rFonts w:hint="eastAsia" w:ascii="宋体" w:hAnsi="宋体" w:cs="宋体"/>
          <w:b/>
          <w:bCs/>
          <w:kern w:val="0"/>
          <w:szCs w:val="21"/>
        </w:rPr>
        <w:t>法人分支机构的地位</w:t>
      </w:r>
    </w:p>
    <w:p w14:paraId="3B172F46">
      <w:pPr>
        <w:spacing w:line="276" w:lineRule="auto"/>
        <w:rPr>
          <w:rFonts w:ascii="宋体" w:hAnsi="宋体" w:cs="宋体"/>
          <w:kern w:val="0"/>
          <w:szCs w:val="21"/>
        </w:rPr>
      </w:pPr>
      <w:r>
        <w:rPr>
          <w:rFonts w:hint="eastAsia" w:ascii="宋体" w:hAnsi="宋体" w:cs="宋体"/>
          <w:kern w:val="0"/>
          <w:szCs w:val="21"/>
        </w:rPr>
        <w:t xml:space="preserve">    1.</w:t>
      </w:r>
      <w:r>
        <w:rPr>
          <w:rFonts w:hint="eastAsia" w:ascii="宋体" w:hAnsi="宋体" w:cs="宋体"/>
          <w:color w:val="FF0000"/>
          <w:kern w:val="0"/>
          <w:szCs w:val="21"/>
        </w:rPr>
        <w:t>分支机构不具有法人资格</w:t>
      </w:r>
      <w:r>
        <w:rPr>
          <w:rFonts w:hint="eastAsia" w:ascii="宋体" w:hAnsi="宋体" w:cs="宋体"/>
          <w:kern w:val="0"/>
          <w:szCs w:val="21"/>
        </w:rPr>
        <w:t xml:space="preserve">，同时也不构成法人机关。 </w:t>
      </w:r>
    </w:p>
    <w:p w14:paraId="3F89C9C8">
      <w:pPr>
        <w:spacing w:line="276" w:lineRule="auto"/>
        <w:rPr>
          <w:rFonts w:hint="eastAsia" w:ascii="宋体" w:hAnsi="宋体" w:eastAsia="宋体" w:cs="宋体"/>
          <w:color w:val="FF0000"/>
          <w:kern w:val="0"/>
          <w:szCs w:val="21"/>
          <w:lang w:eastAsia="zh-CN"/>
        </w:rPr>
      </w:pPr>
      <w:r>
        <w:rPr>
          <w:rFonts w:hint="eastAsia" w:ascii="宋体" w:hAnsi="宋体" w:cs="宋体"/>
          <w:kern w:val="0"/>
          <w:szCs w:val="21"/>
        </w:rPr>
        <w:t xml:space="preserve">    2.分支机构以自己的名义从事民事活动，产生的民事责任由法人承担；也可以先以该分支机构管理的财产承担，不足以承担的，由法人承担。 </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但并非补充责任，补充责任是两个主体，此处是一个主体</w:t>
      </w:r>
      <w:r>
        <w:rPr>
          <w:rFonts w:hint="eastAsia" w:ascii="宋体" w:hAnsi="宋体" w:cs="宋体"/>
          <w:color w:val="FF0000"/>
          <w:kern w:val="0"/>
          <w:szCs w:val="21"/>
          <w:lang w:eastAsia="zh-CN"/>
        </w:rPr>
        <w:t>）</w:t>
      </w:r>
    </w:p>
    <w:p w14:paraId="50BCA522">
      <w:pPr>
        <w:spacing w:line="276" w:lineRule="auto"/>
        <w:rPr>
          <w:rFonts w:ascii="宋体" w:hAnsi="宋体" w:cs="宋体"/>
          <w:kern w:val="0"/>
          <w:szCs w:val="21"/>
        </w:rPr>
      </w:pPr>
      <w:r>
        <w:rPr>
          <w:rFonts w:hint="eastAsia" w:ascii="宋体" w:hAnsi="宋体" w:cs="宋体"/>
          <w:kern w:val="0"/>
          <w:szCs w:val="21"/>
        </w:rPr>
        <w:t xml:space="preserve">    3.分支机构虽无法人资格，但我国法律承认其具有缔约资格和诉讼资格。</w:t>
      </w:r>
    </w:p>
    <w:p w14:paraId="4E2425CB">
      <w:pPr>
        <w:spacing w:line="276" w:lineRule="auto"/>
        <w:jc w:val="left"/>
        <w:outlineLvl w:val="1"/>
        <w:rPr>
          <w:rFonts w:ascii="宋体" w:hAnsi="宋体"/>
          <w:b/>
          <w:szCs w:val="28"/>
        </w:rPr>
      </w:pPr>
      <w:r>
        <w:rPr>
          <w:rFonts w:hint="eastAsia" w:ascii="宋体" w:hAnsi="宋体"/>
          <w:b/>
          <w:szCs w:val="28"/>
        </w:rPr>
        <w:t xml:space="preserve">    </w:t>
      </w:r>
      <w:r>
        <w:rPr>
          <w:rFonts w:hint="eastAsia" w:ascii="宋体" w:hAnsi="宋体"/>
          <w:b/>
          <w:szCs w:val="28"/>
          <w:lang w:val="en-US" w:eastAsia="zh-CN"/>
        </w:rPr>
        <w:t>四</w:t>
      </w:r>
      <w:r>
        <w:rPr>
          <w:rFonts w:hint="eastAsia" w:ascii="宋体" w:hAnsi="宋体"/>
          <w:b/>
          <w:szCs w:val="28"/>
        </w:rPr>
        <w:t>、设立中的“法</w:t>
      </w:r>
      <w:r>
        <w:rPr>
          <w:rFonts w:hint="eastAsia" w:ascii="宋体" w:hAnsi="宋体" w:cs="宋体"/>
          <w:b/>
          <w:kern w:val="0"/>
          <w:szCs w:val="24"/>
        </w:rPr>
        <w:t>人”的责任</w:t>
      </w:r>
      <w:r>
        <w:rPr>
          <w:rFonts w:hint="eastAsia" w:ascii="宋体" w:hAnsi="宋体" w:cs="宋体"/>
          <w:kern w:val="0"/>
          <w:szCs w:val="21"/>
        </w:rPr>
        <w:t>（《民法典》第75条）</w:t>
      </w:r>
    </w:p>
    <w:p w14:paraId="756AEA3B">
      <w:pPr>
        <w:spacing w:line="276" w:lineRule="auto"/>
        <w:rPr>
          <w:rFonts w:ascii="宋体" w:hAnsi="宋体" w:cs="宋体"/>
          <w:kern w:val="0"/>
          <w:szCs w:val="21"/>
        </w:rPr>
      </w:pPr>
      <w:r>
        <w:rPr>
          <w:rFonts w:hint="eastAsia" w:ascii="宋体" w:hAnsi="宋体" w:cs="宋体"/>
          <w:kern w:val="0"/>
          <w:szCs w:val="21"/>
        </w:rPr>
        <w:t xml:space="preserve">    1.设立成功的，为设立法人从事的民事活动，其法律后果由法人承担。</w:t>
      </w:r>
    </w:p>
    <w:p w14:paraId="43888081">
      <w:pPr>
        <w:spacing w:line="276" w:lineRule="auto"/>
        <w:rPr>
          <w:rFonts w:hint="default" w:ascii="宋体" w:hAnsi="宋体" w:eastAsia="宋体" w:cs="宋体"/>
          <w:color w:val="0000FF"/>
          <w:kern w:val="0"/>
          <w:szCs w:val="21"/>
          <w:lang w:val="en-US" w:eastAsia="zh-CN"/>
        </w:rPr>
      </w:pPr>
      <w:r>
        <w:rPr>
          <w:rFonts w:hint="eastAsia" w:ascii="宋体" w:hAnsi="宋体" w:cs="宋体"/>
          <w:kern w:val="0"/>
          <w:szCs w:val="21"/>
        </w:rPr>
        <w:t xml:space="preserve">    2.法人未成立的，</w:t>
      </w:r>
      <w:r>
        <w:rPr>
          <w:rFonts w:hint="eastAsia" w:ascii="宋体" w:hAnsi="宋体" w:cs="宋体"/>
          <w:color w:val="FF0000"/>
          <w:kern w:val="0"/>
          <w:szCs w:val="21"/>
        </w:rPr>
        <w:t>其法律后果由设立人连带承受</w:t>
      </w:r>
      <w:r>
        <w:rPr>
          <w:rFonts w:hint="eastAsia" w:ascii="宋体" w:hAnsi="宋体" w:cs="宋体"/>
          <w:kern w:val="0"/>
          <w:szCs w:val="21"/>
        </w:rPr>
        <w:t>（包括违约责任、侵权责任、对认股人已缴股款本息的返还责任等）。</w:t>
      </w:r>
      <w:r>
        <w:rPr>
          <w:rFonts w:hint="eastAsia" w:ascii="宋体" w:hAnsi="宋体" w:cs="宋体"/>
          <w:color w:val="0000FF"/>
          <w:kern w:val="0"/>
          <w:szCs w:val="21"/>
          <w:lang w:val="en-US" w:eastAsia="zh-CN"/>
        </w:rPr>
        <w:t>设立人个人名义的，设立人承担责任</w:t>
      </w:r>
    </w:p>
    <w:p w14:paraId="044A2EC3">
      <w:pPr>
        <w:spacing w:line="276" w:lineRule="auto"/>
        <w:ind w:firstLine="420"/>
        <w:rPr>
          <w:rFonts w:hint="eastAsia" w:ascii="宋体" w:hAnsi="宋体" w:eastAsia="宋体" w:cs="宋体"/>
          <w:kern w:val="0"/>
          <w:szCs w:val="21"/>
          <w:lang w:eastAsia="zh-CN"/>
        </w:rPr>
      </w:pPr>
      <w:r>
        <w:rPr>
          <w:rFonts w:hint="eastAsia" w:ascii="宋体" w:hAnsi="宋体" w:cs="宋体"/>
          <w:kern w:val="0"/>
          <w:szCs w:val="21"/>
        </w:rPr>
        <w:t>3.设立人为设立法人以自己的名义从事民事活动产生的民事责任，</w:t>
      </w:r>
      <w:r>
        <w:rPr>
          <w:rFonts w:hint="eastAsia" w:ascii="宋体" w:hAnsi="宋体" w:cs="宋体"/>
          <w:color w:val="FF0000"/>
          <w:kern w:val="0"/>
          <w:szCs w:val="21"/>
        </w:rPr>
        <w:t>第三人</w:t>
      </w:r>
      <w:r>
        <w:rPr>
          <w:rFonts w:hint="eastAsia" w:ascii="宋体" w:hAnsi="宋体" w:cs="宋体"/>
          <w:color w:val="FF0000"/>
          <w:kern w:val="0"/>
          <w:szCs w:val="21"/>
          <w:u w:val="single"/>
        </w:rPr>
        <w:t>有权选择</w:t>
      </w:r>
      <w:r>
        <w:rPr>
          <w:rFonts w:hint="eastAsia" w:ascii="宋体" w:hAnsi="宋体" w:cs="宋体"/>
          <w:color w:val="FF0000"/>
          <w:kern w:val="0"/>
          <w:szCs w:val="21"/>
        </w:rPr>
        <w:t>请求法人或者设立人承担</w:t>
      </w:r>
      <w:r>
        <w:rPr>
          <w:rFonts w:hint="eastAsia" w:ascii="宋体" w:hAnsi="宋体" w:cs="宋体"/>
          <w:kern w:val="0"/>
          <w:szCs w:val="21"/>
        </w:rPr>
        <w:t>。</w:t>
      </w:r>
      <w:r>
        <w:rPr>
          <w:rFonts w:hint="eastAsia" w:ascii="宋体" w:hAnsi="宋体" w:cs="宋体"/>
          <w:kern w:val="0"/>
          <w:szCs w:val="21"/>
          <w:lang w:eastAsia="zh-CN"/>
        </w:rPr>
        <w:t>（</w:t>
      </w:r>
      <w:r>
        <w:rPr>
          <w:rFonts w:hint="eastAsia" w:ascii="宋体" w:hAnsi="宋体" w:cs="宋体"/>
          <w:color w:val="FF0000"/>
          <w:kern w:val="0"/>
          <w:szCs w:val="21"/>
          <w:lang w:val="en-US" w:eastAsia="zh-CN"/>
        </w:rPr>
        <w:t>并非两者连带责任，不能两个都选</w:t>
      </w:r>
      <w:r>
        <w:rPr>
          <w:rFonts w:hint="eastAsia" w:ascii="宋体" w:hAnsi="宋体" w:cs="宋体"/>
          <w:kern w:val="0"/>
          <w:szCs w:val="21"/>
          <w:lang w:eastAsia="zh-CN"/>
        </w:rPr>
        <w:t>）</w:t>
      </w:r>
    </w:p>
    <w:p w14:paraId="1B85A535">
      <w:pPr>
        <w:spacing w:line="276" w:lineRule="auto"/>
        <w:jc w:val="left"/>
        <w:outlineLvl w:val="1"/>
        <w:rPr>
          <w:rFonts w:ascii="宋体" w:hAnsi="宋体"/>
          <w:b/>
          <w:szCs w:val="28"/>
        </w:rPr>
      </w:pPr>
      <w:r>
        <w:rPr>
          <w:rFonts w:hint="eastAsia" w:ascii="宋体" w:hAnsi="宋体"/>
          <w:b/>
          <w:szCs w:val="28"/>
        </w:rPr>
        <w:t xml:space="preserve">    </w:t>
      </w:r>
      <w:r>
        <w:rPr>
          <w:rFonts w:hint="eastAsia" w:ascii="宋体" w:hAnsi="宋体"/>
          <w:b/>
          <w:szCs w:val="28"/>
          <w:lang w:val="en-US" w:eastAsia="zh-CN"/>
        </w:rPr>
        <w:t>五</w:t>
      </w:r>
      <w:r>
        <w:rPr>
          <w:rFonts w:hint="eastAsia" w:ascii="宋体" w:hAnsi="宋体"/>
          <w:b/>
          <w:szCs w:val="28"/>
        </w:rPr>
        <w:t>、非法人组织的责任承担</w:t>
      </w:r>
    </w:p>
    <w:p w14:paraId="3F02C554">
      <w:pPr>
        <w:spacing w:line="276" w:lineRule="auto"/>
        <w:ind w:firstLine="420"/>
        <w:rPr>
          <w:rFonts w:ascii="等线" w:hAnsi="等线"/>
        </w:rPr>
      </w:pPr>
      <w:r>
        <w:rPr>
          <w:rFonts w:ascii="等线" w:hAnsi="等线"/>
        </w:rPr>
        <w:t>非法人组织的财产不足以清偿债务的，其出资人或者设立人承担无限责任。法律另有规定的，依照其规定</w:t>
      </w:r>
      <w:r>
        <w:rPr>
          <w:rFonts w:hint="eastAsia" w:ascii="等线" w:hAnsi="等线"/>
          <w:lang w:eastAsia="zh-CN"/>
        </w:rPr>
        <w:t>。</w:t>
      </w:r>
      <w:r>
        <w:rPr>
          <w:rFonts w:hint="eastAsia" w:ascii="等线" w:hAnsi="等线"/>
          <w:color w:val="FF0000"/>
          <w:u w:val="single"/>
        </w:rPr>
        <w:t>债权人应首先向非法人组织主张债权</w:t>
      </w:r>
      <w:r>
        <w:rPr>
          <w:rFonts w:hint="eastAsia" w:ascii="等线" w:hAnsi="等线"/>
          <w:color w:val="FF0000"/>
        </w:rPr>
        <w:t>；非法人组织的财产不足以清偿的，债权人可向出资人或设立人要求承担</w:t>
      </w:r>
      <w:r>
        <w:rPr>
          <w:rFonts w:hint="eastAsia" w:ascii="等线" w:hAnsi="等线"/>
          <w:color w:val="FF0000"/>
          <w:u w:val="single"/>
        </w:rPr>
        <w:t>补充清偿</w:t>
      </w:r>
      <w:r>
        <w:rPr>
          <w:rFonts w:hint="eastAsia" w:ascii="等线" w:hAnsi="等线"/>
          <w:color w:val="FF0000"/>
        </w:rPr>
        <w:t>责任</w:t>
      </w:r>
      <w:r>
        <w:rPr>
          <w:rFonts w:hint="eastAsia" w:ascii="等线" w:hAnsi="等线"/>
          <w:lang w:eastAsia="zh-CN"/>
        </w:rPr>
        <w:t>。（</w:t>
      </w:r>
      <w:r>
        <w:rPr>
          <w:rFonts w:hint="eastAsia" w:ascii="等线" w:hAnsi="等线"/>
          <w:lang w:val="en-US" w:eastAsia="zh-CN"/>
        </w:rPr>
        <w:t>非法人组织具有一定的主体性</w:t>
      </w:r>
      <w:r>
        <w:rPr>
          <w:rFonts w:hint="eastAsia" w:ascii="等线" w:hAnsi="等线"/>
          <w:lang w:eastAsia="zh-CN"/>
        </w:rPr>
        <w:t>）</w:t>
      </w:r>
    </w:p>
    <w:p w14:paraId="1DE70335">
      <w:pPr>
        <w:pStyle w:val="6"/>
        <w:spacing w:line="276" w:lineRule="auto"/>
        <w:rPr>
          <w:color w:val="auto"/>
          <w:sz w:val="36"/>
          <w:szCs w:val="36"/>
        </w:rPr>
      </w:pPr>
      <w:bookmarkStart w:id="15" w:name="_Toc23695"/>
      <w:bookmarkStart w:id="16" w:name="_Toc33346100"/>
      <w:bookmarkStart w:id="17" w:name="_Toc534638281"/>
      <w:bookmarkStart w:id="18" w:name="_Toc4856985"/>
      <w:bookmarkStart w:id="19" w:name="_Toc534638255"/>
      <w:bookmarkStart w:id="20" w:name="_Toc536382648"/>
      <w:r>
        <w:rPr>
          <w:rFonts w:hint="eastAsia"/>
          <w:color w:val="auto"/>
          <w:sz w:val="36"/>
          <w:szCs w:val="36"/>
        </w:rPr>
        <w:t>考点4  民事法律行为</w:t>
      </w:r>
      <w:bookmarkEnd w:id="15"/>
      <w:bookmarkEnd w:id="16"/>
      <w:bookmarkEnd w:id="17"/>
      <w:bookmarkEnd w:id="18"/>
      <w:bookmarkEnd w:id="19"/>
      <w:bookmarkEnd w:id="20"/>
    </w:p>
    <w:p w14:paraId="57E5C306">
      <w:pPr>
        <w:pStyle w:val="2"/>
        <w:tabs>
          <w:tab w:val="left" w:pos="420"/>
        </w:tabs>
        <w:spacing w:before="0" w:after="0" w:line="384" w:lineRule="exact"/>
        <w:rPr>
          <w:rFonts w:hint="eastAsia" w:eastAsia="汉仪大宋简"/>
          <w:b w:val="0"/>
          <w:sz w:val="26"/>
        </w:rPr>
      </w:pPr>
      <w:r>
        <w:rPr>
          <w:rFonts w:hint="eastAsia" w:eastAsia="汉仪大宋简"/>
          <w:b w:val="0"/>
          <w:sz w:val="26"/>
          <w:lang w:val="en-US" w:eastAsia="zh-CN"/>
        </w:rPr>
        <w:t>一、</w:t>
      </w:r>
      <w:r>
        <w:rPr>
          <w:rFonts w:eastAsia="汉仪大宋简"/>
          <w:b w:val="0"/>
          <w:sz w:val="26"/>
        </w:rPr>
        <w:t>不属于民事法律行为的几种主要情形</w:t>
      </w:r>
    </w:p>
    <w:p w14:paraId="2477B2F8">
      <w:pPr>
        <w:spacing w:line="300" w:lineRule="exact"/>
        <w:ind w:firstLine="420" w:firstLineChars="200"/>
        <w:rPr>
          <w:rFonts w:hint="eastAsia" w:ascii="汉仪书宋二简" w:hAnsi="汉仪书宋二简" w:eastAsia="汉仪书宋二简" w:cs="汉仪书宋二简"/>
          <w:color w:val="auto"/>
          <w:kern w:val="0"/>
        </w:rPr>
      </w:pPr>
    </w:p>
    <w:tbl>
      <w:tblPr>
        <w:tblStyle w:val="7"/>
        <w:tblW w:w="8522"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1809"/>
        <w:gridCol w:w="6713"/>
      </w:tblGrid>
      <w:tr w14:paraId="7DCEF25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809" w:type="dxa"/>
            <w:vMerge w:val="restart"/>
            <w:shd w:val="clear" w:color="auto" w:fill="auto"/>
            <w:vAlign w:val="center"/>
          </w:tcPr>
          <w:p w14:paraId="1F199C41">
            <w:pPr>
              <w:spacing w:before="42" w:beforeLines="10" w:after="84" w:afterLines="20" w:line="280" w:lineRule="exact"/>
              <w:jc w:val="center"/>
              <w:rPr>
                <w:rFonts w:ascii="汉仪书宋一简" w:hAnsi="Times New Roman" w:eastAsia="汉仪中黑简" w:cs="Times New Roman"/>
                <w:bCs/>
                <w:sz w:val="20"/>
                <w:szCs w:val="20"/>
              </w:rPr>
            </w:pPr>
            <w:r>
              <w:rPr>
                <w:rFonts w:hint="eastAsia" w:ascii="汉仪书宋一简" w:hAnsi="Times New Roman" w:eastAsia="汉仪中黑简" w:cs="Times New Roman"/>
                <w:bCs/>
                <w:sz w:val="20"/>
                <w:szCs w:val="20"/>
              </w:rPr>
              <w:t>事实行为</w:t>
            </w:r>
          </w:p>
        </w:tc>
        <w:tc>
          <w:tcPr>
            <w:tcW w:w="6713" w:type="dxa"/>
            <w:shd w:val="clear" w:color="auto" w:fill="auto"/>
            <w:vAlign w:val="center"/>
          </w:tcPr>
          <w:p w14:paraId="348C1A05">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1．法律特征：</w:t>
            </w:r>
            <w:r>
              <w:rPr>
                <w:rFonts w:hint="eastAsia" w:ascii="汉仪书宋一简" w:hAnsi="Times New Roman" w:eastAsia="汉仪中黑简" w:cs="Times New Roman"/>
                <w:bCs/>
                <w:color w:val="FF0000"/>
                <w:sz w:val="20"/>
                <w:szCs w:val="20"/>
              </w:rPr>
              <w:t>直接依法律规定产生法律效果</w:t>
            </w:r>
          </w:p>
        </w:tc>
      </w:tr>
      <w:tr w14:paraId="2D09D15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809" w:type="dxa"/>
            <w:vMerge w:val="continue"/>
            <w:shd w:val="clear" w:color="auto" w:fill="auto"/>
            <w:vAlign w:val="center"/>
          </w:tcPr>
          <w:p w14:paraId="0733696B">
            <w:pPr>
              <w:spacing w:before="42" w:beforeLines="10" w:after="84" w:afterLines="20" w:line="280" w:lineRule="exact"/>
              <w:jc w:val="center"/>
              <w:rPr>
                <w:rFonts w:ascii="汉仪书宋一简" w:hAnsi="Times New Roman" w:eastAsia="汉仪中黑简" w:cs="Times New Roman"/>
                <w:bCs/>
                <w:sz w:val="20"/>
                <w:szCs w:val="20"/>
              </w:rPr>
            </w:pPr>
          </w:p>
        </w:tc>
        <w:tc>
          <w:tcPr>
            <w:tcW w:w="6713" w:type="dxa"/>
            <w:shd w:val="clear" w:color="auto" w:fill="auto"/>
            <w:vAlign w:val="center"/>
          </w:tcPr>
          <w:p w14:paraId="5A5FECBC">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2．典型例证：无因管理、建造拆除房屋、拾得遗失物、拾得漂流物、发现埋藏物或隐藏物、创作行为</w:t>
            </w:r>
          </w:p>
        </w:tc>
      </w:tr>
      <w:tr w14:paraId="1B65F77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809" w:type="dxa"/>
            <w:vMerge w:val="continue"/>
            <w:shd w:val="clear" w:color="auto" w:fill="auto"/>
            <w:vAlign w:val="center"/>
          </w:tcPr>
          <w:p w14:paraId="6CB11022">
            <w:pPr>
              <w:spacing w:before="42" w:beforeLines="10" w:after="84" w:afterLines="20" w:line="280" w:lineRule="exact"/>
              <w:jc w:val="center"/>
              <w:rPr>
                <w:rFonts w:ascii="汉仪书宋一简" w:hAnsi="Times New Roman" w:eastAsia="汉仪中黑简" w:cs="Times New Roman"/>
                <w:bCs/>
                <w:sz w:val="20"/>
                <w:szCs w:val="20"/>
              </w:rPr>
            </w:pPr>
          </w:p>
        </w:tc>
        <w:tc>
          <w:tcPr>
            <w:tcW w:w="6713" w:type="dxa"/>
            <w:shd w:val="clear" w:color="auto" w:fill="auto"/>
            <w:vAlign w:val="center"/>
          </w:tcPr>
          <w:p w14:paraId="5FC4C928">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3．事实行为无所谓有效或无效，</w:t>
            </w:r>
            <w:r>
              <w:rPr>
                <w:rFonts w:hint="eastAsia" w:ascii="汉仪书宋一简" w:hAnsi="Times New Roman" w:eastAsia="汉仪中黑简" w:cs="Times New Roman"/>
                <w:bCs/>
                <w:color w:val="FF0000"/>
                <w:sz w:val="20"/>
                <w:szCs w:val="20"/>
              </w:rPr>
              <w:t>不考虑行为人的民事行为能力</w:t>
            </w:r>
          </w:p>
        </w:tc>
      </w:tr>
      <w:tr w14:paraId="5926CD0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809" w:type="dxa"/>
            <w:vMerge w:val="restart"/>
            <w:shd w:val="clear" w:color="auto" w:fill="auto"/>
            <w:vAlign w:val="center"/>
          </w:tcPr>
          <w:p w14:paraId="31D2AA2E">
            <w:pPr>
              <w:spacing w:before="42" w:beforeLines="10" w:after="84" w:afterLines="20" w:line="280" w:lineRule="exact"/>
              <w:jc w:val="center"/>
              <w:rPr>
                <w:rFonts w:ascii="汉仪书宋一简" w:hAnsi="Times New Roman" w:eastAsia="汉仪中黑简" w:cs="Times New Roman"/>
                <w:bCs/>
                <w:sz w:val="20"/>
                <w:szCs w:val="20"/>
              </w:rPr>
            </w:pPr>
            <w:r>
              <w:rPr>
                <w:rFonts w:hint="eastAsia" w:ascii="汉仪书宋一简" w:hAnsi="Times New Roman" w:eastAsia="汉仪中黑简" w:cs="Times New Roman"/>
                <w:bCs/>
                <w:sz w:val="20"/>
                <w:szCs w:val="20"/>
              </w:rPr>
              <w:t>情谊行为</w:t>
            </w:r>
          </w:p>
        </w:tc>
        <w:tc>
          <w:tcPr>
            <w:tcW w:w="6713" w:type="dxa"/>
            <w:shd w:val="clear" w:color="auto" w:fill="auto"/>
            <w:vAlign w:val="center"/>
          </w:tcPr>
          <w:p w14:paraId="79D77169">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1．典型例证：请客吃饭、搭便车、答应在火车上叫醒他人、为朋友高考填志愿提供咨询</w:t>
            </w:r>
          </w:p>
        </w:tc>
      </w:tr>
      <w:tr w14:paraId="23330C4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809" w:type="dxa"/>
            <w:vMerge w:val="continue"/>
            <w:shd w:val="clear" w:color="auto" w:fill="auto"/>
            <w:vAlign w:val="center"/>
          </w:tcPr>
          <w:p w14:paraId="409406AB">
            <w:pPr>
              <w:spacing w:before="42" w:beforeLines="10" w:after="84" w:afterLines="20" w:line="280" w:lineRule="exact"/>
              <w:jc w:val="center"/>
              <w:rPr>
                <w:rFonts w:ascii="汉仪书宋一简" w:hAnsi="Times New Roman" w:eastAsia="汉仪中黑简" w:cs="Times New Roman"/>
                <w:bCs/>
                <w:sz w:val="20"/>
                <w:szCs w:val="20"/>
              </w:rPr>
            </w:pPr>
          </w:p>
        </w:tc>
        <w:tc>
          <w:tcPr>
            <w:tcW w:w="6713" w:type="dxa"/>
            <w:shd w:val="clear" w:color="auto" w:fill="auto"/>
            <w:vAlign w:val="center"/>
          </w:tcPr>
          <w:p w14:paraId="09D09D66">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2．法律效果：不成立合同关系，但可能转化为侵权行为</w:t>
            </w:r>
          </w:p>
        </w:tc>
      </w:tr>
      <w:tr w14:paraId="7A6AC99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809" w:type="dxa"/>
            <w:vMerge w:val="restart"/>
            <w:shd w:val="clear" w:color="auto" w:fill="auto"/>
            <w:vAlign w:val="center"/>
          </w:tcPr>
          <w:p w14:paraId="786AB870">
            <w:pPr>
              <w:spacing w:before="42" w:beforeLines="10" w:after="84" w:afterLines="20" w:line="280" w:lineRule="exact"/>
              <w:jc w:val="center"/>
              <w:rPr>
                <w:rFonts w:ascii="汉仪书宋一简" w:hAnsi="Times New Roman" w:eastAsia="汉仪中黑简" w:cs="Times New Roman"/>
                <w:bCs/>
                <w:sz w:val="20"/>
                <w:szCs w:val="20"/>
              </w:rPr>
            </w:pPr>
            <w:r>
              <w:rPr>
                <w:rFonts w:hint="eastAsia" w:ascii="汉仪书宋一简" w:hAnsi="Times New Roman" w:eastAsia="汉仪中黑简" w:cs="Times New Roman"/>
                <w:bCs/>
                <w:sz w:val="20"/>
                <w:szCs w:val="20"/>
              </w:rPr>
              <w:t>行政法上的行为</w:t>
            </w:r>
          </w:p>
        </w:tc>
        <w:tc>
          <w:tcPr>
            <w:tcW w:w="6713" w:type="dxa"/>
            <w:shd w:val="clear" w:color="auto" w:fill="auto"/>
            <w:vAlign w:val="center"/>
          </w:tcPr>
          <w:p w14:paraId="313286D1">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1．行为性质：行政机关行使行政职权的行为，原则上不受民法调整</w:t>
            </w:r>
          </w:p>
        </w:tc>
      </w:tr>
      <w:tr w14:paraId="1892B07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809" w:type="dxa"/>
            <w:vMerge w:val="continue"/>
            <w:shd w:val="clear" w:color="auto" w:fill="auto"/>
            <w:vAlign w:val="center"/>
          </w:tcPr>
          <w:p w14:paraId="6DC421CF">
            <w:pPr>
              <w:spacing w:before="42" w:beforeLines="10" w:after="84" w:afterLines="20" w:line="280" w:lineRule="exact"/>
              <w:rPr>
                <w:rFonts w:ascii="汉仪书宋一简" w:hAnsi="Times New Roman" w:eastAsia="汉仪中黑简" w:cs="Times New Roman"/>
                <w:bCs/>
                <w:sz w:val="20"/>
                <w:szCs w:val="20"/>
              </w:rPr>
            </w:pPr>
          </w:p>
        </w:tc>
        <w:tc>
          <w:tcPr>
            <w:tcW w:w="6713" w:type="dxa"/>
            <w:shd w:val="clear" w:color="auto" w:fill="auto"/>
            <w:vAlign w:val="center"/>
          </w:tcPr>
          <w:p w14:paraId="1851E389">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2．典型例证：行政处罚行为、行政许可行为</w:t>
            </w:r>
          </w:p>
        </w:tc>
      </w:tr>
    </w:tbl>
    <w:p w14:paraId="66E34C69">
      <w:pPr>
        <w:spacing w:line="276" w:lineRule="auto"/>
        <w:jc w:val="left"/>
        <w:outlineLvl w:val="1"/>
        <w:rPr>
          <w:rFonts w:ascii="宋体" w:hAnsi="宋体"/>
          <w:b/>
          <w:szCs w:val="28"/>
        </w:rPr>
      </w:pPr>
      <w:r>
        <w:rPr>
          <w:rFonts w:hint="eastAsia" w:ascii="宋体" w:hAnsi="宋体"/>
          <w:b/>
          <w:szCs w:val="28"/>
          <w:lang w:val="en-US" w:eastAsia="zh-CN"/>
        </w:rPr>
        <w:t>二、</w:t>
      </w:r>
      <w:r>
        <w:rPr>
          <w:rFonts w:hint="eastAsia" w:ascii="宋体" w:hAnsi="宋体"/>
          <w:b/>
          <w:szCs w:val="28"/>
        </w:rPr>
        <w:t>意思表示</w:t>
      </w:r>
    </w:p>
    <w:p w14:paraId="1A0AC269">
      <w:pPr>
        <w:spacing w:line="276" w:lineRule="auto"/>
        <w:ind w:firstLine="420"/>
        <w:jc w:val="left"/>
        <w:outlineLvl w:val="1"/>
        <w:rPr>
          <w:szCs w:val="21"/>
        </w:rPr>
      </w:pPr>
      <w:r>
        <w:rPr>
          <w:rFonts w:hint="eastAsia"/>
          <w:b/>
          <w:szCs w:val="21"/>
        </w:rPr>
        <w:t>（一）有相对人的意思表示、无相对人的意思表示</w:t>
      </w:r>
    </w:p>
    <w:p w14:paraId="09766A23">
      <w:pPr>
        <w:spacing w:line="276" w:lineRule="auto"/>
        <w:ind w:firstLine="480"/>
        <w:rPr>
          <w:rFonts w:ascii="宋体" w:hAnsi="宋体"/>
          <w:szCs w:val="21"/>
        </w:rPr>
      </w:pPr>
      <w:r>
        <w:rPr>
          <w:rFonts w:hint="eastAsia" w:ascii="宋体" w:hAnsi="宋体"/>
          <w:szCs w:val="21"/>
        </w:rPr>
        <w:t>1.意思表示需要相对人受领的，为有相对人的意思表示。</w:t>
      </w:r>
      <w:r>
        <w:rPr>
          <w:rFonts w:hint="eastAsia" w:ascii="宋体" w:hAnsi="宋体"/>
          <w:b/>
          <w:bCs/>
          <w:color w:val="FF0000"/>
          <w:szCs w:val="21"/>
        </w:rPr>
        <w:t>有相对人意思表示区分为“对话的意思表示”与“非对话的意思表示”，在前者，相对人了解内容时，意思表示发生效力；在后者，则于到达相对人时生效</w:t>
      </w:r>
      <w:r>
        <w:rPr>
          <w:rFonts w:hint="eastAsia" w:ascii="宋体" w:hAnsi="宋体"/>
          <w:szCs w:val="21"/>
        </w:rPr>
        <w:t>。</w:t>
      </w:r>
    </w:p>
    <w:p w14:paraId="1262DA59">
      <w:pPr>
        <w:spacing w:line="276" w:lineRule="auto"/>
        <w:ind w:firstLine="480"/>
        <w:rPr>
          <w:rFonts w:hint="eastAsia" w:ascii="宋体" w:hAnsi="宋体"/>
          <w:b/>
          <w:bCs/>
          <w:color w:val="FF0000"/>
          <w:szCs w:val="21"/>
          <w:lang w:eastAsia="zh-CN"/>
        </w:rPr>
      </w:pPr>
      <w:r>
        <w:rPr>
          <w:rFonts w:hint="eastAsia" w:ascii="宋体" w:hAnsi="宋体"/>
          <w:szCs w:val="21"/>
        </w:rPr>
        <w:t>2.无相对人意思表示，指无须受领的意思表示，</w:t>
      </w:r>
      <w:r>
        <w:rPr>
          <w:rFonts w:hint="eastAsia" w:ascii="宋体" w:hAnsi="宋体"/>
          <w:b/>
          <w:bCs/>
          <w:color w:val="FF0000"/>
          <w:szCs w:val="21"/>
        </w:rPr>
        <w:t>因意思表示的完成而直接发生效力</w:t>
      </w:r>
      <w:r>
        <w:rPr>
          <w:rFonts w:hint="eastAsia" w:ascii="宋体" w:hAnsi="宋体"/>
          <w:szCs w:val="21"/>
        </w:rPr>
        <w:t>。</w:t>
      </w:r>
      <w:r>
        <w:rPr>
          <w:rFonts w:hint="eastAsia" w:ascii="宋体" w:hAnsi="宋体"/>
          <w:b/>
          <w:bCs/>
          <w:color w:val="FF0000"/>
          <w:szCs w:val="21"/>
          <w:lang w:eastAsia="zh-CN"/>
        </w:rPr>
        <w:t>（</w:t>
      </w:r>
      <w:r>
        <w:rPr>
          <w:rFonts w:hint="eastAsia" w:ascii="宋体" w:hAnsi="宋体"/>
          <w:b/>
          <w:bCs/>
          <w:color w:val="FF0000"/>
          <w:szCs w:val="21"/>
          <w:lang w:val="en-US" w:eastAsia="zh-CN"/>
        </w:rPr>
        <w:t>遗嘱和抛弃所有权</w:t>
      </w:r>
      <w:r>
        <w:rPr>
          <w:rFonts w:hint="eastAsia" w:ascii="宋体" w:hAnsi="宋体"/>
          <w:b/>
          <w:bCs/>
          <w:color w:val="FF0000"/>
          <w:szCs w:val="21"/>
          <w:lang w:eastAsia="zh-CN"/>
        </w:rPr>
        <w:t>）</w:t>
      </w:r>
    </w:p>
    <w:p w14:paraId="082BB6E2">
      <w:pPr>
        <w:spacing w:line="276" w:lineRule="auto"/>
        <w:ind w:firstLine="480"/>
        <w:rPr>
          <w:rFonts w:hint="eastAsia" w:ascii="宋体" w:hAnsi="宋体"/>
          <w:b w:val="0"/>
          <w:bCs w:val="0"/>
          <w:color w:val="auto"/>
          <w:szCs w:val="21"/>
          <w:lang w:val="en-US" w:eastAsia="zh-CN"/>
        </w:rPr>
      </w:pPr>
      <w:r>
        <w:rPr>
          <w:rFonts w:hint="eastAsia" w:ascii="宋体" w:hAnsi="宋体"/>
          <w:b/>
          <w:bCs/>
          <w:color w:val="FF0000"/>
          <w:szCs w:val="21"/>
          <w:lang w:val="en-US" w:eastAsia="zh-CN"/>
        </w:rPr>
        <w:t>对意思表示解释的影响：</w:t>
      </w:r>
      <w:r>
        <w:rPr>
          <w:rFonts w:hint="eastAsia" w:ascii="宋体" w:hAnsi="宋体" w:eastAsia="宋体" w:cs="Times New Roman"/>
          <w:b w:val="0"/>
          <w:bCs w:val="0"/>
          <w:color w:val="auto"/>
          <w:szCs w:val="21"/>
          <w:lang w:val="en-US" w:eastAsia="zh-CN"/>
        </w:rPr>
        <w:t>有</w:t>
      </w:r>
      <w:r>
        <w:rPr>
          <w:rFonts w:hint="eastAsia" w:ascii="宋体" w:hAnsi="宋体"/>
          <w:b w:val="0"/>
          <w:bCs w:val="0"/>
          <w:color w:val="auto"/>
          <w:szCs w:val="21"/>
          <w:lang w:val="en-US" w:eastAsia="zh-CN"/>
        </w:rPr>
        <w:t>相对人的意思表示的解释，应当按照所使用的词句，结合相关条款、行为的性质和目的、习惯以及诚信原则，确定意思表示的含义。</w:t>
      </w:r>
    </w:p>
    <w:p w14:paraId="7B6CFCB3">
      <w:pPr>
        <w:spacing w:line="276" w:lineRule="auto"/>
        <w:ind w:firstLine="480"/>
        <w:rPr>
          <w:rFonts w:hint="default" w:ascii="宋体" w:hAnsi="宋体"/>
          <w:b/>
          <w:bCs/>
          <w:color w:val="FF0000"/>
          <w:szCs w:val="21"/>
          <w:lang w:val="en-US" w:eastAsia="zh-CN"/>
        </w:rPr>
      </w:pPr>
      <w:r>
        <w:rPr>
          <w:rFonts w:hint="eastAsia" w:ascii="宋体" w:hAnsi="宋体"/>
          <w:b w:val="0"/>
          <w:bCs w:val="0"/>
          <w:color w:val="auto"/>
          <w:szCs w:val="21"/>
          <w:lang w:val="en-US" w:eastAsia="zh-CN"/>
        </w:rPr>
        <w:t>无相对人的意思表示的解释，不能完全拘泥于所使用的词句，而应当结合相关条款、行为的性质和目的、习惯以及诚信原则，确定行为人的真实意思。</w:t>
      </w:r>
    </w:p>
    <w:p w14:paraId="0188188B">
      <w:pPr>
        <w:spacing w:line="276" w:lineRule="auto"/>
        <w:ind w:firstLine="480"/>
        <w:rPr>
          <w:rFonts w:ascii="宋体" w:hAnsi="宋体"/>
          <w:b/>
          <w:bCs/>
          <w:szCs w:val="21"/>
        </w:rPr>
      </w:pPr>
      <w:r>
        <w:rPr>
          <w:rFonts w:hint="eastAsia" w:ascii="宋体" w:hAnsi="宋体"/>
          <w:b/>
          <w:bCs/>
          <w:szCs w:val="21"/>
        </w:rPr>
        <w:t>（二）明示与默示</w:t>
      </w:r>
    </w:p>
    <w:p w14:paraId="26F38669">
      <w:pPr>
        <w:spacing w:line="276" w:lineRule="auto"/>
        <w:ind w:firstLine="480"/>
        <w:rPr>
          <w:rFonts w:ascii="宋体" w:hAnsi="宋体"/>
          <w:szCs w:val="21"/>
        </w:rPr>
      </w:pPr>
      <w:r>
        <w:rPr>
          <w:rFonts w:hint="eastAsia" w:ascii="宋体" w:hAnsi="宋体"/>
          <w:szCs w:val="21"/>
        </w:rPr>
        <w:t>1.明示，指以语言（口头、书面、肢体）方式明确表示。</w:t>
      </w:r>
    </w:p>
    <w:p w14:paraId="72817280">
      <w:pPr>
        <w:spacing w:line="276" w:lineRule="auto"/>
        <w:ind w:firstLine="480"/>
        <w:rPr>
          <w:rFonts w:hint="eastAsia" w:ascii="宋体" w:hAnsi="宋体"/>
          <w:color w:val="FF0000"/>
          <w:szCs w:val="21"/>
        </w:rPr>
      </w:pPr>
      <w:r>
        <w:rPr>
          <w:rFonts w:ascii="宋体" w:hAnsi="宋体"/>
          <w:szCs w:val="21"/>
        </w:rPr>
        <w:t>2</w:t>
      </w:r>
      <w:r>
        <w:rPr>
          <w:rFonts w:hint="eastAsia" w:ascii="宋体" w:hAnsi="宋体"/>
          <w:szCs w:val="21"/>
        </w:rPr>
        <w:t>.默示通常以行为来表现，</w:t>
      </w:r>
      <w:r>
        <w:rPr>
          <w:rFonts w:hint="eastAsia" w:ascii="宋体" w:hAnsi="宋体"/>
          <w:color w:val="FF0000"/>
          <w:szCs w:val="21"/>
        </w:rPr>
        <w:t>即从行为推知当事人的意思</w:t>
      </w:r>
    </w:p>
    <w:p w14:paraId="54A572BE">
      <w:pPr>
        <w:spacing w:line="276" w:lineRule="auto"/>
        <w:ind w:firstLine="480"/>
      </w:pPr>
      <w:r>
        <w:rPr>
          <w:rFonts w:ascii="宋体" w:hAnsi="宋体"/>
          <w:szCs w:val="21"/>
        </w:rPr>
        <w:t>3</w:t>
      </w:r>
      <w:r>
        <w:rPr>
          <w:rFonts w:hint="eastAsia" w:ascii="宋体" w:hAnsi="宋体"/>
          <w:szCs w:val="21"/>
        </w:rPr>
        <w:t>.沉默也称</w:t>
      </w:r>
      <w:r>
        <w:rPr>
          <w:rFonts w:hint="eastAsia"/>
          <w:szCs w:val="21"/>
        </w:rPr>
        <w:t>“不作为的沉默”。</w:t>
      </w:r>
      <w:r>
        <w:rPr>
          <w:rFonts w:hint="eastAsia"/>
          <w:szCs w:val="21"/>
          <w:u w:val="single"/>
        </w:rPr>
        <w:t>沉默只有在例外情况下</w:t>
      </w:r>
      <w:r>
        <w:rPr>
          <w:rFonts w:hint="eastAsia"/>
          <w:szCs w:val="21"/>
        </w:rPr>
        <w:t>（法律规定、当事人事先的约定或习惯）</w:t>
      </w:r>
      <w:r>
        <w:rPr>
          <w:rFonts w:hint="eastAsia"/>
          <w:szCs w:val="21"/>
          <w:u w:val="single"/>
        </w:rPr>
        <w:t>才能作为意思表示</w:t>
      </w:r>
      <w:r>
        <w:rPr>
          <w:rFonts w:hint="eastAsia"/>
          <w:szCs w:val="21"/>
        </w:rPr>
        <w:t>。</w:t>
      </w:r>
      <w:r>
        <w:rPr>
          <w:rFonts w:hint="eastAsia"/>
          <w:szCs w:val="21"/>
          <w:lang w:eastAsia="zh-CN"/>
        </w:rPr>
        <w:t>（</w:t>
      </w:r>
      <w:r>
        <w:rPr>
          <w:rFonts w:hint="eastAsia"/>
          <w:color w:val="FF0000"/>
          <w:szCs w:val="21"/>
          <w:lang w:val="en-US" w:eastAsia="zh-CN"/>
        </w:rPr>
        <w:t>并不存在承诺或承诺拒绝的义务，对要约可以置之不理</w:t>
      </w:r>
      <w:r>
        <w:rPr>
          <w:rFonts w:hint="eastAsia"/>
          <w:szCs w:val="21"/>
          <w:lang w:eastAsia="zh-CN"/>
        </w:rPr>
        <w:t>）</w:t>
      </w:r>
    </w:p>
    <w:p w14:paraId="3CF53056">
      <w:pPr>
        <w:ind w:firstLine="421"/>
        <w:rPr>
          <w:rFonts w:hint="eastAsia" w:ascii="楷体" w:hAnsi="楷体" w:eastAsia="楷体"/>
          <w:color w:val="FF0000"/>
          <w:szCs w:val="21"/>
        </w:rPr>
      </w:pPr>
      <w:r>
        <w:rPr>
          <w:rFonts w:hint="eastAsia" w:ascii="楷体" w:hAnsi="楷体" w:eastAsia="楷体"/>
          <w:color w:val="000000"/>
          <w:szCs w:val="21"/>
        </w:rPr>
        <w:t>继承开始后，继承人放弃继承的，应当在遗产处理前，作出放弃继承的表示。</w:t>
      </w:r>
      <w:r>
        <w:rPr>
          <w:rFonts w:hint="eastAsia" w:ascii="楷体" w:hAnsi="楷体" w:eastAsia="楷体"/>
          <w:color w:val="FF0000"/>
          <w:szCs w:val="21"/>
        </w:rPr>
        <w:t>没有表示的，视为接受继承。</w:t>
      </w:r>
      <w:r>
        <w:rPr>
          <w:rFonts w:hint="eastAsia" w:ascii="楷体" w:hAnsi="楷体" w:eastAsia="楷体"/>
          <w:color w:val="000000"/>
          <w:szCs w:val="21"/>
        </w:rPr>
        <w:t>受遗赠人应当在知道受遗赠后两个月内，作出接受或者放弃受遗赠的表示。</w:t>
      </w:r>
      <w:r>
        <w:rPr>
          <w:rFonts w:hint="eastAsia" w:ascii="楷体" w:hAnsi="楷体" w:eastAsia="楷体"/>
          <w:color w:val="FF0000"/>
          <w:szCs w:val="21"/>
        </w:rPr>
        <w:t>到期没有表示的，视为放弃受遗赠</w:t>
      </w:r>
    </w:p>
    <w:p w14:paraId="5F67EDC8">
      <w:pPr>
        <w:spacing w:line="384" w:lineRule="exact"/>
        <w:jc w:val="center"/>
        <w:rPr>
          <w:rFonts w:hint="eastAsia" w:ascii="汉仪中黑简" w:hAnsi="汉仪书宋二简" w:eastAsia="汉仪中黑简" w:cs="汉仪书宋二简"/>
          <w:color w:val="FF0000"/>
        </w:rPr>
      </w:pPr>
      <w:r>
        <w:rPr>
          <w:rFonts w:hint="eastAsia" w:ascii="汉仪中黑简" w:hAnsi="汉仪书宋二简" w:eastAsia="汉仪中黑简" w:cs="汉仪书宋二简"/>
          <w:color w:val="FF0000"/>
        </w:rPr>
        <w:t>《民法典》关于沉默的明确规定</w:t>
      </w:r>
    </w:p>
    <w:p w14:paraId="04E2A845">
      <w:pPr>
        <w:spacing w:line="200" w:lineRule="exact"/>
        <w:ind w:firstLine="420" w:firstLineChars="200"/>
        <w:rPr>
          <w:rFonts w:hint="eastAsia" w:ascii="汉仪书宋二简" w:hAnsi="汉仪书宋二简" w:eastAsia="汉仪书宋二简" w:cs="汉仪书宋二简"/>
          <w:color w:val="auto"/>
          <w:kern w:val="0"/>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3426"/>
        <w:gridCol w:w="3935"/>
        <w:gridCol w:w="1144"/>
      </w:tblGrid>
      <w:tr w14:paraId="4526A9D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426" w:type="dxa"/>
            <w:vAlign w:val="center"/>
          </w:tcPr>
          <w:p w14:paraId="29CDF364">
            <w:pPr>
              <w:spacing w:before="42" w:beforeLines="10" w:after="42" w:afterLines="10" w:line="280" w:lineRule="exact"/>
              <w:jc w:val="center"/>
              <w:rPr>
                <w:rFonts w:ascii="汉仪书宋一简" w:hAnsi="Times New Roman" w:eastAsia="汉仪中黑简" w:cs="Times New Roman"/>
                <w:bCs/>
                <w:sz w:val="20"/>
                <w:szCs w:val="20"/>
              </w:rPr>
            </w:pPr>
            <w:r>
              <w:rPr>
                <w:rFonts w:hint="eastAsia" w:ascii="汉仪书宋一简" w:hAnsi="Times New Roman" w:eastAsia="汉仪中黑简" w:cs="Times New Roman"/>
                <w:bCs/>
                <w:sz w:val="20"/>
                <w:szCs w:val="20"/>
              </w:rPr>
              <w:t>具体情形</w:t>
            </w:r>
          </w:p>
        </w:tc>
        <w:tc>
          <w:tcPr>
            <w:tcW w:w="3935" w:type="dxa"/>
            <w:vAlign w:val="center"/>
          </w:tcPr>
          <w:p w14:paraId="5CFEFE5F">
            <w:pPr>
              <w:spacing w:before="42" w:beforeLines="10" w:after="42" w:afterLines="10" w:line="280" w:lineRule="exact"/>
              <w:jc w:val="center"/>
              <w:rPr>
                <w:rFonts w:ascii="汉仪书宋一简" w:hAnsi="Times New Roman" w:eastAsia="汉仪中黑简" w:cs="Times New Roman"/>
                <w:bCs/>
                <w:sz w:val="20"/>
                <w:szCs w:val="20"/>
              </w:rPr>
            </w:pPr>
            <w:r>
              <w:rPr>
                <w:rFonts w:hint="eastAsia" w:ascii="汉仪书宋一简" w:hAnsi="Times New Roman" w:eastAsia="汉仪中黑简" w:cs="Times New Roman"/>
                <w:bCs/>
                <w:sz w:val="20"/>
                <w:szCs w:val="20"/>
              </w:rPr>
              <w:t>沉默的解释</w:t>
            </w:r>
          </w:p>
        </w:tc>
        <w:tc>
          <w:tcPr>
            <w:tcW w:w="1144" w:type="dxa"/>
            <w:vAlign w:val="center"/>
          </w:tcPr>
          <w:p w14:paraId="3D717873">
            <w:pPr>
              <w:spacing w:before="42" w:beforeLines="10" w:after="42" w:afterLines="10" w:line="280" w:lineRule="exact"/>
              <w:jc w:val="center"/>
              <w:rPr>
                <w:rFonts w:ascii="汉仪书宋一简" w:hAnsi="Times New Roman" w:eastAsia="汉仪中黑简" w:cs="Times New Roman"/>
                <w:bCs/>
                <w:sz w:val="20"/>
                <w:szCs w:val="20"/>
              </w:rPr>
            </w:pPr>
            <w:r>
              <w:rPr>
                <w:rFonts w:hint="eastAsia" w:ascii="汉仪书宋一简" w:hAnsi="Times New Roman" w:eastAsia="汉仪中黑简" w:cs="Times New Roman"/>
                <w:bCs/>
                <w:sz w:val="20"/>
                <w:szCs w:val="20"/>
              </w:rPr>
              <w:t>规范依据</w:t>
            </w:r>
          </w:p>
        </w:tc>
      </w:tr>
      <w:tr w14:paraId="2C1B6E1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426" w:type="dxa"/>
            <w:vAlign w:val="center"/>
          </w:tcPr>
          <w:p w14:paraId="774F9E89">
            <w:pPr>
              <w:spacing w:before="42" w:beforeLines="10" w:after="42" w:afterLines="10" w:line="280" w:lineRule="exact"/>
              <w:jc w:val="center"/>
              <w:rPr>
                <w:rFonts w:ascii="Times New Roman" w:hAnsi="Times New Roman" w:eastAsia="汉仪书宋二简" w:cs="Times New Roman"/>
                <w:sz w:val="20"/>
                <w:szCs w:val="20"/>
              </w:rPr>
            </w:pPr>
            <w:r>
              <w:rPr>
                <w:rFonts w:hint="eastAsia" w:ascii="Times New Roman" w:hAnsi="Times New Roman" w:eastAsia="汉仪书宋二简" w:cs="Times New Roman"/>
                <w:sz w:val="20"/>
                <w:szCs w:val="20"/>
              </w:rPr>
              <w:t>限制民事行为能力人实施超过年龄、智力与精神健康状况的民事法律行为</w:t>
            </w:r>
          </w:p>
        </w:tc>
        <w:tc>
          <w:tcPr>
            <w:tcW w:w="3935" w:type="dxa"/>
            <w:vAlign w:val="center"/>
          </w:tcPr>
          <w:p w14:paraId="4481D565">
            <w:pPr>
              <w:spacing w:before="42" w:beforeLines="10" w:after="42" w:afterLines="10" w:line="280" w:lineRule="exact"/>
              <w:jc w:val="center"/>
              <w:rPr>
                <w:rFonts w:ascii="Times New Roman" w:hAnsi="Times New Roman" w:eastAsia="汉仪书宋二简" w:cs="Times New Roman"/>
                <w:sz w:val="20"/>
                <w:szCs w:val="20"/>
              </w:rPr>
            </w:pPr>
            <w:r>
              <w:rPr>
                <w:rFonts w:hint="eastAsia" w:ascii="Times New Roman" w:hAnsi="Times New Roman" w:eastAsia="汉仪书宋二简" w:cs="Times New Roman"/>
                <w:sz w:val="20"/>
                <w:szCs w:val="20"/>
              </w:rPr>
              <w:t>法定代理人的沉默解释为拒绝追认</w:t>
            </w:r>
          </w:p>
        </w:tc>
        <w:tc>
          <w:tcPr>
            <w:tcW w:w="1144" w:type="dxa"/>
            <w:vAlign w:val="center"/>
          </w:tcPr>
          <w:p w14:paraId="43E4659F">
            <w:pPr>
              <w:spacing w:before="42" w:beforeLines="10" w:after="42" w:afterLines="10" w:line="280" w:lineRule="exact"/>
              <w:jc w:val="center"/>
              <w:rPr>
                <w:rFonts w:ascii="Times New Roman" w:hAnsi="Times New Roman" w:eastAsia="汉仪书宋二简" w:cs="Times New Roman"/>
                <w:sz w:val="20"/>
                <w:szCs w:val="20"/>
              </w:rPr>
            </w:pPr>
            <w:r>
              <w:rPr>
                <w:rFonts w:hint="eastAsia" w:ascii="Times New Roman" w:hAnsi="Times New Roman" w:eastAsia="汉仪书宋二简" w:cs="Times New Roman"/>
                <w:sz w:val="20"/>
                <w:szCs w:val="20"/>
              </w:rPr>
              <w:t>民145</w:t>
            </w:r>
          </w:p>
        </w:tc>
      </w:tr>
      <w:tr w14:paraId="120AA5E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426" w:type="dxa"/>
            <w:vAlign w:val="center"/>
          </w:tcPr>
          <w:p w14:paraId="335C10D9">
            <w:pPr>
              <w:spacing w:before="42" w:beforeLines="10" w:after="42" w:afterLines="10" w:line="280" w:lineRule="exact"/>
              <w:jc w:val="center"/>
              <w:rPr>
                <w:rFonts w:ascii="Times New Roman" w:hAnsi="Times New Roman" w:eastAsia="汉仪书宋二简" w:cs="Times New Roman"/>
                <w:sz w:val="20"/>
                <w:szCs w:val="20"/>
              </w:rPr>
            </w:pPr>
            <w:r>
              <w:rPr>
                <w:rFonts w:hint="eastAsia" w:ascii="Times New Roman" w:hAnsi="Times New Roman" w:eastAsia="汉仪书宋二简" w:cs="Times New Roman"/>
                <w:sz w:val="20"/>
                <w:szCs w:val="20"/>
              </w:rPr>
              <w:t>狭义的无权代理行为</w:t>
            </w:r>
          </w:p>
        </w:tc>
        <w:tc>
          <w:tcPr>
            <w:tcW w:w="3935" w:type="dxa"/>
            <w:vAlign w:val="center"/>
          </w:tcPr>
          <w:p w14:paraId="6DFF2527">
            <w:pPr>
              <w:spacing w:before="42" w:beforeLines="10" w:after="42" w:afterLines="10" w:line="280" w:lineRule="exact"/>
              <w:jc w:val="center"/>
              <w:rPr>
                <w:rFonts w:ascii="Times New Roman" w:hAnsi="Times New Roman" w:eastAsia="汉仪书宋二简" w:cs="Times New Roman"/>
                <w:sz w:val="20"/>
                <w:szCs w:val="20"/>
              </w:rPr>
            </w:pPr>
            <w:r>
              <w:rPr>
                <w:rFonts w:hint="eastAsia" w:ascii="Times New Roman" w:hAnsi="Times New Roman" w:eastAsia="汉仪书宋二简" w:cs="Times New Roman"/>
                <w:sz w:val="20"/>
                <w:szCs w:val="20"/>
              </w:rPr>
              <w:t>被代理人的沉默解释为拒绝追认</w:t>
            </w:r>
          </w:p>
        </w:tc>
        <w:tc>
          <w:tcPr>
            <w:tcW w:w="1144" w:type="dxa"/>
            <w:vAlign w:val="center"/>
          </w:tcPr>
          <w:p w14:paraId="70413E94">
            <w:pPr>
              <w:spacing w:before="42" w:beforeLines="10" w:after="42" w:afterLines="10" w:line="280" w:lineRule="exact"/>
              <w:jc w:val="center"/>
              <w:rPr>
                <w:rFonts w:ascii="Times New Roman" w:hAnsi="Times New Roman" w:eastAsia="汉仪书宋二简" w:cs="Times New Roman"/>
                <w:sz w:val="20"/>
                <w:szCs w:val="20"/>
              </w:rPr>
            </w:pPr>
            <w:r>
              <w:rPr>
                <w:rFonts w:hint="eastAsia" w:ascii="Times New Roman" w:hAnsi="Times New Roman" w:eastAsia="汉仪书宋二简" w:cs="Times New Roman"/>
                <w:sz w:val="20"/>
                <w:szCs w:val="20"/>
              </w:rPr>
              <w:t>民171</w:t>
            </w:r>
          </w:p>
        </w:tc>
      </w:tr>
      <w:tr w14:paraId="09A82B0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63" w:hRule="atLeast"/>
          <w:jc w:val="center"/>
        </w:trPr>
        <w:tc>
          <w:tcPr>
            <w:tcW w:w="3426" w:type="dxa"/>
            <w:vAlign w:val="center"/>
          </w:tcPr>
          <w:p w14:paraId="3D8A9B27">
            <w:pPr>
              <w:spacing w:before="42" w:beforeLines="10" w:after="42" w:afterLines="10" w:line="280" w:lineRule="exact"/>
              <w:jc w:val="center"/>
              <w:rPr>
                <w:rFonts w:ascii="Times New Roman" w:hAnsi="Times New Roman" w:eastAsia="汉仪书宋二简" w:cs="Times New Roman"/>
                <w:sz w:val="20"/>
                <w:szCs w:val="20"/>
              </w:rPr>
            </w:pPr>
            <w:r>
              <w:rPr>
                <w:rFonts w:hint="eastAsia" w:ascii="Times New Roman" w:hAnsi="Times New Roman" w:eastAsia="汉仪书宋二简" w:cs="Times New Roman"/>
                <w:sz w:val="20"/>
                <w:szCs w:val="20"/>
              </w:rPr>
              <w:t>试用买卖</w:t>
            </w:r>
          </w:p>
        </w:tc>
        <w:tc>
          <w:tcPr>
            <w:tcW w:w="3935" w:type="dxa"/>
            <w:vAlign w:val="center"/>
          </w:tcPr>
          <w:p w14:paraId="096F0F06">
            <w:pPr>
              <w:spacing w:before="42" w:beforeLines="10" w:after="42" w:afterLines="10" w:line="280" w:lineRule="exact"/>
              <w:jc w:val="center"/>
              <w:rPr>
                <w:rFonts w:ascii="Times New Roman" w:hAnsi="Times New Roman" w:eastAsia="汉仪书宋二简" w:cs="Times New Roman"/>
                <w:sz w:val="20"/>
                <w:szCs w:val="20"/>
              </w:rPr>
            </w:pPr>
            <w:r>
              <w:rPr>
                <w:rFonts w:hint="eastAsia" w:ascii="Times New Roman" w:hAnsi="Times New Roman" w:eastAsia="汉仪书宋二简" w:cs="Times New Roman"/>
                <w:sz w:val="20"/>
                <w:szCs w:val="20"/>
              </w:rPr>
              <w:t>试用期届满时买受人的沉默解释为购买</w:t>
            </w:r>
          </w:p>
        </w:tc>
        <w:tc>
          <w:tcPr>
            <w:tcW w:w="1144" w:type="dxa"/>
            <w:vAlign w:val="center"/>
          </w:tcPr>
          <w:p w14:paraId="04A00338">
            <w:pPr>
              <w:spacing w:before="42" w:beforeLines="10" w:after="42" w:afterLines="10" w:line="280" w:lineRule="exact"/>
              <w:jc w:val="center"/>
              <w:rPr>
                <w:rFonts w:ascii="Times New Roman" w:hAnsi="Times New Roman" w:eastAsia="汉仪书宋二简" w:cs="Times New Roman"/>
                <w:sz w:val="20"/>
                <w:szCs w:val="20"/>
              </w:rPr>
            </w:pPr>
            <w:r>
              <w:rPr>
                <w:rFonts w:hint="eastAsia" w:ascii="Times New Roman" w:hAnsi="Times New Roman" w:eastAsia="汉仪书宋二简" w:cs="Times New Roman"/>
                <w:sz w:val="20"/>
                <w:szCs w:val="20"/>
              </w:rPr>
              <w:t>民638</w:t>
            </w:r>
          </w:p>
        </w:tc>
      </w:tr>
      <w:tr w14:paraId="4EAE1E5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426" w:type="dxa"/>
            <w:vAlign w:val="center"/>
          </w:tcPr>
          <w:p w14:paraId="1386668F">
            <w:pPr>
              <w:spacing w:before="42" w:beforeLines="10" w:after="42" w:afterLines="10" w:line="280" w:lineRule="exact"/>
              <w:jc w:val="center"/>
              <w:rPr>
                <w:rFonts w:ascii="Times New Roman" w:hAnsi="Times New Roman" w:eastAsia="汉仪书宋二简" w:cs="Times New Roman"/>
                <w:sz w:val="20"/>
                <w:szCs w:val="20"/>
              </w:rPr>
            </w:pPr>
            <w:r>
              <w:rPr>
                <w:rFonts w:hint="eastAsia" w:ascii="Times New Roman" w:hAnsi="Times New Roman" w:eastAsia="汉仪书宋二简" w:cs="Times New Roman"/>
                <w:sz w:val="20"/>
                <w:szCs w:val="20"/>
              </w:rPr>
              <w:t>第三人向债权人作出书面保证承诺</w:t>
            </w:r>
          </w:p>
        </w:tc>
        <w:tc>
          <w:tcPr>
            <w:tcW w:w="3935" w:type="dxa"/>
            <w:vAlign w:val="center"/>
          </w:tcPr>
          <w:p w14:paraId="26194156">
            <w:pPr>
              <w:spacing w:before="42" w:beforeLines="10" w:after="42" w:afterLines="10" w:line="280" w:lineRule="exact"/>
              <w:jc w:val="center"/>
              <w:rPr>
                <w:rFonts w:ascii="Times New Roman" w:hAnsi="Times New Roman" w:eastAsia="汉仪书宋二简" w:cs="Times New Roman"/>
                <w:sz w:val="20"/>
                <w:szCs w:val="20"/>
              </w:rPr>
            </w:pPr>
            <w:r>
              <w:rPr>
                <w:rFonts w:hint="eastAsia" w:ascii="Times New Roman" w:hAnsi="Times New Roman" w:eastAsia="汉仪书宋二简" w:cs="Times New Roman"/>
                <w:sz w:val="20"/>
                <w:szCs w:val="20"/>
              </w:rPr>
              <w:t>债权人的沉默解释为同意</w:t>
            </w:r>
          </w:p>
        </w:tc>
        <w:tc>
          <w:tcPr>
            <w:tcW w:w="1144" w:type="dxa"/>
            <w:vAlign w:val="center"/>
          </w:tcPr>
          <w:p w14:paraId="31EC3B5D">
            <w:pPr>
              <w:spacing w:before="42" w:beforeLines="10" w:after="42" w:afterLines="10" w:line="280" w:lineRule="exact"/>
              <w:jc w:val="center"/>
              <w:rPr>
                <w:rFonts w:ascii="Times New Roman" w:hAnsi="Times New Roman" w:eastAsia="汉仪书宋二简" w:cs="Times New Roman"/>
                <w:sz w:val="20"/>
                <w:szCs w:val="20"/>
              </w:rPr>
            </w:pPr>
            <w:r>
              <w:rPr>
                <w:rFonts w:hint="eastAsia" w:ascii="Times New Roman" w:hAnsi="Times New Roman" w:eastAsia="汉仪书宋二简" w:cs="Times New Roman"/>
                <w:sz w:val="20"/>
                <w:szCs w:val="20"/>
              </w:rPr>
              <w:t>民685</w:t>
            </w:r>
          </w:p>
        </w:tc>
      </w:tr>
      <w:tr w14:paraId="42D19EC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426" w:type="dxa"/>
            <w:vAlign w:val="center"/>
          </w:tcPr>
          <w:p w14:paraId="08CE3132">
            <w:pPr>
              <w:spacing w:before="42" w:beforeLines="10" w:after="42" w:afterLines="10" w:line="280" w:lineRule="exact"/>
              <w:jc w:val="center"/>
              <w:rPr>
                <w:rFonts w:ascii="Times New Roman" w:hAnsi="Times New Roman" w:eastAsia="汉仪书宋二简" w:cs="Times New Roman"/>
                <w:sz w:val="20"/>
                <w:szCs w:val="20"/>
              </w:rPr>
            </w:pPr>
            <w:r>
              <w:rPr>
                <w:rFonts w:hint="eastAsia" w:ascii="Times New Roman" w:hAnsi="Times New Roman" w:eastAsia="汉仪书宋二简" w:cs="Times New Roman"/>
                <w:sz w:val="20"/>
                <w:szCs w:val="20"/>
              </w:rPr>
              <w:t>承租人擅自转租</w:t>
            </w:r>
          </w:p>
        </w:tc>
        <w:tc>
          <w:tcPr>
            <w:tcW w:w="3935" w:type="dxa"/>
            <w:vAlign w:val="center"/>
          </w:tcPr>
          <w:p w14:paraId="6941F2E0">
            <w:pPr>
              <w:spacing w:before="42" w:beforeLines="10" w:after="42" w:afterLines="10" w:line="280" w:lineRule="exact"/>
              <w:jc w:val="center"/>
              <w:rPr>
                <w:rFonts w:ascii="Times New Roman" w:hAnsi="Times New Roman" w:eastAsia="汉仪书宋二简" w:cs="Times New Roman"/>
                <w:sz w:val="20"/>
                <w:szCs w:val="20"/>
              </w:rPr>
            </w:pPr>
            <w:r>
              <w:rPr>
                <w:rFonts w:hint="eastAsia" w:ascii="Times New Roman" w:hAnsi="Times New Roman" w:eastAsia="汉仪书宋二简" w:cs="Times New Roman"/>
                <w:sz w:val="20"/>
                <w:szCs w:val="20"/>
              </w:rPr>
              <w:t>出租人在6个月期间内的沉默解释为同意</w:t>
            </w:r>
          </w:p>
        </w:tc>
        <w:tc>
          <w:tcPr>
            <w:tcW w:w="1144" w:type="dxa"/>
            <w:vAlign w:val="center"/>
          </w:tcPr>
          <w:p w14:paraId="220F5F8E">
            <w:pPr>
              <w:spacing w:before="42" w:beforeLines="10" w:after="42" w:afterLines="10" w:line="280" w:lineRule="exact"/>
              <w:jc w:val="center"/>
              <w:rPr>
                <w:rFonts w:ascii="Times New Roman" w:hAnsi="Times New Roman" w:eastAsia="汉仪书宋二简" w:cs="Times New Roman"/>
                <w:sz w:val="20"/>
                <w:szCs w:val="20"/>
              </w:rPr>
            </w:pPr>
            <w:r>
              <w:rPr>
                <w:rFonts w:hint="eastAsia" w:ascii="Times New Roman" w:hAnsi="Times New Roman" w:eastAsia="汉仪书宋二简" w:cs="Times New Roman"/>
                <w:sz w:val="20"/>
                <w:szCs w:val="20"/>
              </w:rPr>
              <w:t>民718</w:t>
            </w:r>
          </w:p>
        </w:tc>
      </w:tr>
      <w:tr w14:paraId="11AA0DC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426" w:type="dxa"/>
            <w:vAlign w:val="center"/>
          </w:tcPr>
          <w:p w14:paraId="7EC624F7">
            <w:pPr>
              <w:spacing w:before="42" w:beforeLines="10" w:after="42" w:afterLines="10" w:line="280" w:lineRule="exact"/>
              <w:jc w:val="center"/>
              <w:rPr>
                <w:rFonts w:ascii="Times New Roman" w:hAnsi="Times New Roman" w:eastAsia="汉仪书宋二简" w:cs="Times New Roman"/>
                <w:sz w:val="20"/>
                <w:szCs w:val="20"/>
              </w:rPr>
            </w:pPr>
            <w:r>
              <w:rPr>
                <w:rFonts w:hint="eastAsia" w:ascii="Times New Roman" w:hAnsi="Times New Roman" w:eastAsia="汉仪书宋二简" w:cs="Times New Roman"/>
                <w:sz w:val="20"/>
                <w:szCs w:val="20"/>
              </w:rPr>
              <w:t>继承开始</w:t>
            </w:r>
          </w:p>
        </w:tc>
        <w:tc>
          <w:tcPr>
            <w:tcW w:w="3935" w:type="dxa"/>
            <w:vAlign w:val="center"/>
          </w:tcPr>
          <w:p w14:paraId="128519A9">
            <w:pPr>
              <w:spacing w:before="42" w:beforeLines="10" w:after="42" w:afterLines="10" w:line="280" w:lineRule="exact"/>
              <w:jc w:val="center"/>
              <w:rPr>
                <w:rFonts w:ascii="Times New Roman" w:hAnsi="Times New Roman" w:eastAsia="汉仪书宋二简" w:cs="Times New Roman"/>
                <w:sz w:val="20"/>
                <w:szCs w:val="20"/>
              </w:rPr>
            </w:pPr>
            <w:r>
              <w:rPr>
                <w:rFonts w:hint="eastAsia" w:ascii="Times New Roman" w:hAnsi="Times New Roman" w:eastAsia="汉仪书宋二简" w:cs="Times New Roman"/>
                <w:sz w:val="20"/>
                <w:szCs w:val="20"/>
              </w:rPr>
              <w:t>继承人的沉默解释为接受继承；受遗赠人的沉默解释为放弃受遗赠</w:t>
            </w:r>
          </w:p>
        </w:tc>
        <w:tc>
          <w:tcPr>
            <w:tcW w:w="1144" w:type="dxa"/>
            <w:vAlign w:val="center"/>
          </w:tcPr>
          <w:p w14:paraId="17361AAD">
            <w:pPr>
              <w:spacing w:before="42" w:beforeLines="10" w:after="42" w:afterLines="10" w:line="280" w:lineRule="exact"/>
              <w:jc w:val="center"/>
              <w:rPr>
                <w:rFonts w:ascii="Times New Roman" w:hAnsi="Times New Roman" w:eastAsia="汉仪书宋二简" w:cs="Times New Roman"/>
                <w:sz w:val="20"/>
                <w:szCs w:val="20"/>
              </w:rPr>
            </w:pPr>
            <w:r>
              <w:rPr>
                <w:rFonts w:hint="eastAsia" w:ascii="Times New Roman" w:hAnsi="Times New Roman" w:eastAsia="汉仪书宋二简" w:cs="Times New Roman"/>
                <w:sz w:val="20"/>
                <w:szCs w:val="20"/>
              </w:rPr>
              <w:t>民1124</w:t>
            </w:r>
          </w:p>
        </w:tc>
      </w:tr>
    </w:tbl>
    <w:p w14:paraId="3085B3E2">
      <w:pPr>
        <w:ind w:firstLine="421"/>
        <w:rPr>
          <w:rFonts w:hint="default" w:ascii="楷体" w:hAnsi="楷体" w:eastAsia="楷体"/>
          <w:color w:val="FF0000"/>
          <w:szCs w:val="21"/>
          <w:lang w:val="en-US" w:eastAsia="zh-CN"/>
        </w:rPr>
      </w:pPr>
    </w:p>
    <w:p w14:paraId="37AEF9AD">
      <w:pPr>
        <w:spacing w:line="384" w:lineRule="exact"/>
        <w:ind w:firstLine="422" w:firstLineChars="200"/>
        <w:jc w:val="left"/>
        <w:outlineLvl w:val="1"/>
        <w:rPr>
          <w:rFonts w:ascii="宋体" w:hAnsi="宋体"/>
          <w:b/>
          <w:color w:val="000000"/>
          <w:szCs w:val="28"/>
        </w:rPr>
      </w:pPr>
      <w:r>
        <w:rPr>
          <w:rFonts w:hint="eastAsia" w:ascii="宋体" w:hAnsi="宋体"/>
          <w:b/>
          <w:color w:val="000000"/>
          <w:szCs w:val="28"/>
          <w:lang w:val="en-US" w:eastAsia="zh-CN"/>
        </w:rPr>
        <w:t>三、</w:t>
      </w:r>
      <w:r>
        <w:rPr>
          <w:rFonts w:hint="eastAsia" w:ascii="宋体" w:hAnsi="宋体"/>
          <w:b/>
          <w:color w:val="000000"/>
          <w:szCs w:val="28"/>
        </w:rPr>
        <w:t>法律行为的成立与生效</w:t>
      </w:r>
    </w:p>
    <w:p w14:paraId="211957F4">
      <w:pPr>
        <w:pStyle w:val="3"/>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eastAsia="汉仪大宋简" w:asciiTheme="majorHAnsi" w:hAnsiTheme="majorHAnsi" w:cstheme="majorBidi"/>
          <w:b w:val="0"/>
          <w:color w:val="000000" w:themeColor="text1"/>
          <w:sz w:val="24"/>
          <w14:textFill>
            <w14:solidFill>
              <w14:schemeClr w14:val="tx1"/>
            </w14:solidFill>
          </w14:textFill>
        </w:rPr>
        <w:t>（</w:t>
      </w:r>
      <w:r>
        <w:rPr>
          <w:rFonts w:hint="eastAsia" w:eastAsia="汉仪大宋简" w:asciiTheme="majorHAnsi" w:hAnsiTheme="majorHAnsi" w:cstheme="majorBidi"/>
          <w:b w:val="0"/>
          <w:color w:val="000000" w:themeColor="text1"/>
          <w:sz w:val="24"/>
          <w14:textFill>
            <w14:solidFill>
              <w14:schemeClr w14:val="tx1"/>
            </w14:solidFill>
          </w14:textFill>
        </w:rPr>
        <w:t>一</w:t>
      </w:r>
      <w:r>
        <w:rPr>
          <w:rFonts w:eastAsia="汉仪大宋简" w:asciiTheme="majorHAnsi" w:hAnsiTheme="majorHAnsi" w:cstheme="majorBidi"/>
          <w:b w:val="0"/>
          <w:color w:val="000000" w:themeColor="text1"/>
          <w:sz w:val="24"/>
          <w14:textFill>
            <w14:solidFill>
              <w14:schemeClr w14:val="tx1"/>
            </w14:solidFill>
          </w14:textFill>
        </w:rPr>
        <w:t>）</w:t>
      </w:r>
      <w:r>
        <w:rPr>
          <w:rFonts w:hint="eastAsia" w:eastAsia="汉仪大宋简" w:asciiTheme="majorHAnsi" w:hAnsiTheme="majorHAnsi" w:cstheme="majorBidi"/>
          <w:b w:val="0"/>
          <w:color w:val="000000" w:themeColor="text1"/>
          <w:sz w:val="24"/>
          <w14:textFill>
            <w14:solidFill>
              <w14:schemeClr w14:val="tx1"/>
            </w14:solidFill>
          </w14:textFill>
        </w:rPr>
        <w:t>民事法律行为的效力要件</w:t>
      </w:r>
    </w:p>
    <w:p w14:paraId="3E4BF12A">
      <w:pPr>
        <w:spacing w:line="300" w:lineRule="exact"/>
        <w:ind w:firstLine="420" w:firstLineChars="200"/>
        <w:rPr>
          <w:rFonts w:hint="eastAsia" w:ascii="汉仪书宋二简" w:hAnsi="汉仪书宋二简" w:eastAsia="汉仪书宋二简" w:cs="汉仪书宋二简"/>
          <w:color w:val="auto"/>
          <w:kern w:val="0"/>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07"/>
        <w:gridCol w:w="1151"/>
        <w:gridCol w:w="2410"/>
        <w:gridCol w:w="1138"/>
        <w:gridCol w:w="2699"/>
      </w:tblGrid>
      <w:tr w14:paraId="2034048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7" w:type="dxa"/>
            <w:vMerge w:val="restart"/>
            <w:vAlign w:val="center"/>
          </w:tcPr>
          <w:p w14:paraId="647AE4A1">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成立要件</w:t>
            </w:r>
          </w:p>
        </w:tc>
        <w:tc>
          <w:tcPr>
            <w:tcW w:w="1151" w:type="dxa"/>
            <w:vAlign w:val="center"/>
          </w:tcPr>
          <w:p w14:paraId="59A1E089">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一般成立要件</w:t>
            </w:r>
          </w:p>
        </w:tc>
        <w:tc>
          <w:tcPr>
            <w:tcW w:w="6247" w:type="dxa"/>
            <w:gridSpan w:val="3"/>
            <w:vAlign w:val="center"/>
          </w:tcPr>
          <w:p w14:paraId="322FBEC3">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主体、标的、意思表示</w:t>
            </w:r>
          </w:p>
          <w:p w14:paraId="6CB61441">
            <w:pPr>
              <w:spacing w:before="42" w:beforeLines="10" w:after="42" w:afterLines="10" w:line="280" w:lineRule="exact"/>
              <w:rPr>
                <w:rFonts w:hint="eastAsia" w:ascii="汉仪书宋一简" w:hAnsi="Times New Roman" w:eastAsia="汉仪书宋一简" w:cs="Times New Roman"/>
                <w:sz w:val="20"/>
                <w:szCs w:val="20"/>
                <w:lang w:eastAsia="zh-CN"/>
              </w:rPr>
            </w:pPr>
            <w:r>
              <w:rPr>
                <w:rFonts w:hint="eastAsia" w:ascii="汉仪粗黑简" w:hAnsi="Times New Roman" w:eastAsia="汉仪粗黑简" w:cs="Times New Roman"/>
                <w:color w:val="FF0000"/>
                <w:sz w:val="20"/>
                <w:szCs w:val="20"/>
              </w:rPr>
              <w:t>【注意】</w:t>
            </w:r>
            <w:r>
              <w:rPr>
                <w:rFonts w:hint="eastAsia" w:ascii="汉仪书宋一简" w:hAnsi="Times New Roman" w:eastAsia="汉仪书宋一简" w:cs="Times New Roman"/>
                <w:sz w:val="20"/>
                <w:szCs w:val="20"/>
              </w:rPr>
              <w:t>合同成立的要件：当事人、标的、数量</w:t>
            </w:r>
            <w:r>
              <w:rPr>
                <w:rFonts w:hint="eastAsia" w:ascii="汉仪书宋一简" w:hAnsi="Times New Roman" w:eastAsia="汉仪书宋一简" w:cs="Times New Roman"/>
                <w:sz w:val="20"/>
                <w:szCs w:val="20"/>
                <w:lang w:eastAsia="zh-CN"/>
              </w:rPr>
              <w:t>（</w:t>
            </w:r>
            <w:r>
              <w:rPr>
                <w:rFonts w:hint="eastAsia" w:ascii="汉仪书宋一简" w:hAnsi="Times New Roman" w:eastAsia="汉仪书宋一简" w:cs="Times New Roman"/>
                <w:color w:val="0000FF"/>
                <w:sz w:val="20"/>
                <w:szCs w:val="20"/>
                <w:lang w:val="en-US" w:eastAsia="zh-CN"/>
              </w:rPr>
              <w:t>必备条款</w:t>
            </w:r>
            <w:r>
              <w:rPr>
                <w:rFonts w:hint="eastAsia" w:ascii="汉仪书宋一简" w:hAnsi="Times New Roman" w:eastAsia="汉仪书宋一简" w:cs="Times New Roman"/>
                <w:color w:val="0000FF"/>
                <w:sz w:val="20"/>
                <w:szCs w:val="20"/>
                <w:lang w:eastAsia="zh-CN"/>
              </w:rPr>
              <w:t>）</w:t>
            </w:r>
          </w:p>
        </w:tc>
      </w:tr>
      <w:tr w14:paraId="60EA3F5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7" w:type="dxa"/>
            <w:vMerge w:val="continue"/>
            <w:vAlign w:val="center"/>
          </w:tcPr>
          <w:p w14:paraId="069DFC05">
            <w:pPr>
              <w:spacing w:before="42" w:beforeLines="10" w:after="42" w:afterLines="10" w:line="280" w:lineRule="exact"/>
              <w:jc w:val="center"/>
              <w:rPr>
                <w:rFonts w:ascii="汉仪中黑简" w:hAnsi="Times New Roman" w:eastAsia="汉仪中黑简" w:cs="Times New Roman"/>
                <w:sz w:val="20"/>
                <w:szCs w:val="20"/>
              </w:rPr>
            </w:pPr>
          </w:p>
        </w:tc>
        <w:tc>
          <w:tcPr>
            <w:tcW w:w="1151" w:type="dxa"/>
            <w:vMerge w:val="restart"/>
            <w:vAlign w:val="center"/>
          </w:tcPr>
          <w:p w14:paraId="75DA0AE7">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特别成立要件</w:t>
            </w:r>
          </w:p>
        </w:tc>
        <w:tc>
          <w:tcPr>
            <w:tcW w:w="2410" w:type="dxa"/>
            <w:vMerge w:val="restart"/>
            <w:vAlign w:val="center"/>
          </w:tcPr>
          <w:p w14:paraId="48E13DDF">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1．要式行为：物之交付</w:t>
            </w:r>
          </w:p>
        </w:tc>
        <w:tc>
          <w:tcPr>
            <w:tcW w:w="3837" w:type="dxa"/>
            <w:gridSpan w:val="2"/>
            <w:vAlign w:val="center"/>
          </w:tcPr>
          <w:p w14:paraId="040F7AE4">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（1）定金合同：定金交付时成立（民586）</w:t>
            </w:r>
          </w:p>
        </w:tc>
      </w:tr>
      <w:tr w14:paraId="0CF55D4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7" w:type="dxa"/>
            <w:vMerge w:val="continue"/>
            <w:vAlign w:val="center"/>
          </w:tcPr>
          <w:p w14:paraId="158DB804">
            <w:pPr>
              <w:spacing w:before="42" w:beforeLines="10" w:after="42" w:afterLines="10" w:line="280" w:lineRule="exact"/>
              <w:jc w:val="center"/>
              <w:rPr>
                <w:rFonts w:ascii="汉仪中黑简" w:hAnsi="Times New Roman" w:eastAsia="汉仪中黑简" w:cs="Times New Roman"/>
                <w:sz w:val="20"/>
                <w:szCs w:val="20"/>
              </w:rPr>
            </w:pPr>
          </w:p>
        </w:tc>
        <w:tc>
          <w:tcPr>
            <w:tcW w:w="1151" w:type="dxa"/>
            <w:vMerge w:val="continue"/>
            <w:vAlign w:val="center"/>
          </w:tcPr>
          <w:p w14:paraId="78D93423">
            <w:pPr>
              <w:spacing w:before="42" w:beforeLines="10" w:after="42" w:afterLines="10" w:line="280" w:lineRule="exact"/>
              <w:jc w:val="center"/>
              <w:rPr>
                <w:rFonts w:ascii="汉仪书宋一简" w:hAnsi="Times New Roman" w:eastAsia="汉仪书宋一简" w:cs="Times New Roman"/>
                <w:sz w:val="20"/>
                <w:szCs w:val="20"/>
              </w:rPr>
            </w:pPr>
          </w:p>
        </w:tc>
        <w:tc>
          <w:tcPr>
            <w:tcW w:w="2410" w:type="dxa"/>
            <w:vMerge w:val="continue"/>
            <w:vAlign w:val="center"/>
          </w:tcPr>
          <w:p w14:paraId="3FB215E1">
            <w:pPr>
              <w:spacing w:before="42" w:beforeLines="10" w:after="42" w:afterLines="10" w:line="280" w:lineRule="exact"/>
              <w:jc w:val="center"/>
              <w:rPr>
                <w:rFonts w:ascii="汉仪书宋一简" w:hAnsi="Times New Roman" w:eastAsia="汉仪书宋一简" w:cs="Times New Roman"/>
                <w:sz w:val="20"/>
                <w:szCs w:val="20"/>
              </w:rPr>
            </w:pPr>
          </w:p>
        </w:tc>
        <w:tc>
          <w:tcPr>
            <w:tcW w:w="3837" w:type="dxa"/>
            <w:gridSpan w:val="2"/>
            <w:vAlign w:val="center"/>
          </w:tcPr>
          <w:p w14:paraId="2DFE399F">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（2）自然人之间的借款：借款提供时成立（民679）</w:t>
            </w:r>
          </w:p>
        </w:tc>
      </w:tr>
      <w:tr w14:paraId="1B40C73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7" w:type="dxa"/>
            <w:vMerge w:val="continue"/>
            <w:vAlign w:val="center"/>
          </w:tcPr>
          <w:p w14:paraId="3C0868CD">
            <w:pPr>
              <w:spacing w:before="42" w:beforeLines="10" w:after="42" w:afterLines="10" w:line="280" w:lineRule="exact"/>
              <w:jc w:val="center"/>
              <w:rPr>
                <w:rFonts w:ascii="汉仪中黑简" w:hAnsi="Times New Roman" w:eastAsia="汉仪中黑简" w:cs="Times New Roman"/>
                <w:sz w:val="20"/>
                <w:szCs w:val="20"/>
              </w:rPr>
            </w:pPr>
          </w:p>
        </w:tc>
        <w:tc>
          <w:tcPr>
            <w:tcW w:w="1151" w:type="dxa"/>
            <w:vMerge w:val="continue"/>
            <w:vAlign w:val="center"/>
          </w:tcPr>
          <w:p w14:paraId="29A94B8D">
            <w:pPr>
              <w:spacing w:before="42" w:beforeLines="10" w:after="42" w:afterLines="10" w:line="280" w:lineRule="exact"/>
              <w:jc w:val="center"/>
              <w:rPr>
                <w:rFonts w:ascii="汉仪书宋一简" w:hAnsi="Times New Roman" w:eastAsia="汉仪书宋一简" w:cs="Times New Roman"/>
                <w:sz w:val="20"/>
                <w:szCs w:val="20"/>
              </w:rPr>
            </w:pPr>
          </w:p>
        </w:tc>
        <w:tc>
          <w:tcPr>
            <w:tcW w:w="2410" w:type="dxa"/>
            <w:vMerge w:val="continue"/>
            <w:vAlign w:val="center"/>
          </w:tcPr>
          <w:p w14:paraId="5EC43A36">
            <w:pPr>
              <w:spacing w:before="42" w:beforeLines="10" w:after="42" w:afterLines="10" w:line="280" w:lineRule="exact"/>
              <w:jc w:val="center"/>
              <w:rPr>
                <w:rFonts w:ascii="汉仪书宋一简" w:hAnsi="Times New Roman" w:eastAsia="汉仪书宋一简" w:cs="Times New Roman"/>
                <w:sz w:val="20"/>
                <w:szCs w:val="20"/>
              </w:rPr>
            </w:pPr>
          </w:p>
        </w:tc>
        <w:tc>
          <w:tcPr>
            <w:tcW w:w="3837" w:type="dxa"/>
            <w:gridSpan w:val="2"/>
            <w:vAlign w:val="center"/>
          </w:tcPr>
          <w:p w14:paraId="28FA093A">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保管合同：保管物交付时成立（民890）</w:t>
            </w:r>
          </w:p>
        </w:tc>
      </w:tr>
      <w:tr w14:paraId="5C133A9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7" w:type="dxa"/>
            <w:vMerge w:val="continue"/>
            <w:vAlign w:val="center"/>
          </w:tcPr>
          <w:p w14:paraId="1F277E52">
            <w:pPr>
              <w:spacing w:before="42" w:beforeLines="10" w:after="42" w:afterLines="10" w:line="280" w:lineRule="exact"/>
              <w:jc w:val="center"/>
              <w:rPr>
                <w:rFonts w:ascii="汉仪中黑简" w:hAnsi="Times New Roman" w:eastAsia="汉仪中黑简" w:cs="Times New Roman"/>
                <w:sz w:val="20"/>
                <w:szCs w:val="20"/>
              </w:rPr>
            </w:pPr>
          </w:p>
        </w:tc>
        <w:tc>
          <w:tcPr>
            <w:tcW w:w="1151" w:type="dxa"/>
            <w:vMerge w:val="continue"/>
            <w:vAlign w:val="center"/>
          </w:tcPr>
          <w:p w14:paraId="4925D480">
            <w:pPr>
              <w:spacing w:before="42" w:beforeLines="10" w:after="42" w:afterLines="10" w:line="280" w:lineRule="exact"/>
              <w:jc w:val="center"/>
              <w:rPr>
                <w:rFonts w:ascii="汉仪书宋一简" w:hAnsi="Times New Roman" w:eastAsia="汉仪书宋一简" w:cs="Times New Roman"/>
                <w:sz w:val="20"/>
                <w:szCs w:val="20"/>
              </w:rPr>
            </w:pPr>
          </w:p>
        </w:tc>
        <w:tc>
          <w:tcPr>
            <w:tcW w:w="2410" w:type="dxa"/>
            <w:vMerge w:val="restart"/>
            <w:vAlign w:val="center"/>
          </w:tcPr>
          <w:p w14:paraId="4B55FBA1">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2．要式行为：特定形式</w:t>
            </w:r>
          </w:p>
        </w:tc>
        <w:tc>
          <w:tcPr>
            <w:tcW w:w="3837" w:type="dxa"/>
            <w:gridSpan w:val="2"/>
            <w:vAlign w:val="center"/>
          </w:tcPr>
          <w:p w14:paraId="3CA3341E">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（1）法定书面形式：抵押合同、质押合同、保证合同等</w:t>
            </w:r>
          </w:p>
        </w:tc>
      </w:tr>
      <w:tr w14:paraId="4DA667B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7" w:type="dxa"/>
            <w:vMerge w:val="continue"/>
            <w:vAlign w:val="center"/>
          </w:tcPr>
          <w:p w14:paraId="68BA9415">
            <w:pPr>
              <w:spacing w:before="42" w:beforeLines="10" w:after="42" w:afterLines="10" w:line="280" w:lineRule="exact"/>
              <w:jc w:val="center"/>
              <w:rPr>
                <w:rFonts w:ascii="汉仪中黑简" w:hAnsi="Times New Roman" w:eastAsia="汉仪中黑简" w:cs="Times New Roman"/>
                <w:sz w:val="20"/>
                <w:szCs w:val="20"/>
              </w:rPr>
            </w:pPr>
          </w:p>
        </w:tc>
        <w:tc>
          <w:tcPr>
            <w:tcW w:w="1151" w:type="dxa"/>
            <w:vMerge w:val="continue"/>
            <w:vAlign w:val="center"/>
          </w:tcPr>
          <w:p w14:paraId="58CFC770">
            <w:pPr>
              <w:spacing w:before="42" w:beforeLines="10" w:after="42" w:afterLines="10" w:line="280" w:lineRule="exact"/>
              <w:jc w:val="center"/>
              <w:rPr>
                <w:rFonts w:ascii="汉仪书宋一简" w:hAnsi="Times New Roman" w:eastAsia="汉仪书宋一简" w:cs="Times New Roman"/>
                <w:sz w:val="20"/>
                <w:szCs w:val="20"/>
              </w:rPr>
            </w:pPr>
          </w:p>
        </w:tc>
        <w:tc>
          <w:tcPr>
            <w:tcW w:w="2410" w:type="dxa"/>
            <w:vMerge w:val="continue"/>
            <w:vAlign w:val="center"/>
          </w:tcPr>
          <w:p w14:paraId="3622FD6A">
            <w:pPr>
              <w:spacing w:before="42" w:beforeLines="10" w:after="42" w:afterLines="10" w:line="280" w:lineRule="exact"/>
              <w:rPr>
                <w:rFonts w:ascii="汉仪书宋一简" w:hAnsi="Times New Roman" w:eastAsia="汉仪书宋一简" w:cs="Times New Roman"/>
                <w:sz w:val="20"/>
                <w:szCs w:val="20"/>
              </w:rPr>
            </w:pPr>
          </w:p>
        </w:tc>
        <w:tc>
          <w:tcPr>
            <w:tcW w:w="3837" w:type="dxa"/>
            <w:gridSpan w:val="2"/>
            <w:vAlign w:val="center"/>
          </w:tcPr>
          <w:p w14:paraId="77608A4B">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（2）遗嘱的法定形式</w:t>
            </w:r>
          </w:p>
        </w:tc>
      </w:tr>
      <w:tr w14:paraId="24393D6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7" w:type="dxa"/>
            <w:vMerge w:val="restart"/>
            <w:vAlign w:val="center"/>
          </w:tcPr>
          <w:p w14:paraId="03E4C24D">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生效要件</w:t>
            </w:r>
          </w:p>
        </w:tc>
        <w:tc>
          <w:tcPr>
            <w:tcW w:w="1151" w:type="dxa"/>
            <w:vMerge w:val="restart"/>
            <w:vAlign w:val="center"/>
          </w:tcPr>
          <w:p w14:paraId="79FEC502">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一般生效要件</w:t>
            </w:r>
          </w:p>
        </w:tc>
        <w:tc>
          <w:tcPr>
            <w:tcW w:w="3548" w:type="dxa"/>
            <w:gridSpan w:val="2"/>
            <w:vAlign w:val="center"/>
          </w:tcPr>
          <w:p w14:paraId="3DD8D10B">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1．具备民事行为能力</w:t>
            </w:r>
          </w:p>
        </w:tc>
        <w:tc>
          <w:tcPr>
            <w:tcW w:w="2699" w:type="dxa"/>
            <w:vMerge w:val="restart"/>
            <w:vAlign w:val="center"/>
          </w:tcPr>
          <w:p w14:paraId="41D85B74">
            <w:pPr>
              <w:spacing w:before="42" w:beforeLines="10" w:after="42" w:afterLines="10" w:line="280" w:lineRule="exact"/>
              <w:rPr>
                <w:rFonts w:hint="eastAsia" w:ascii="汉仪书宋一简" w:hAnsi="汉仪书宋二简" w:eastAsia="汉仪书宋一简" w:cs="汉仪书宋二简"/>
                <w:kern w:val="0"/>
                <w:sz w:val="20"/>
                <w:szCs w:val="20"/>
              </w:rPr>
            </w:pPr>
            <w:r>
              <w:rPr>
                <w:rFonts w:hint="eastAsia" w:ascii="汉仪书宋一简" w:hAnsi="汉仪书宋二简" w:eastAsia="汉仪书宋一简" w:cs="汉仪书宋二简"/>
                <w:kern w:val="0"/>
                <w:sz w:val="20"/>
                <w:szCs w:val="20"/>
              </w:rPr>
              <w:t>违反导致民事法律行为无效/可撤销/效力待定（即民事法律行为效力瑕疵）</w:t>
            </w:r>
          </w:p>
        </w:tc>
      </w:tr>
      <w:tr w14:paraId="7AC6452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7" w:type="dxa"/>
            <w:vMerge w:val="continue"/>
            <w:vAlign w:val="center"/>
          </w:tcPr>
          <w:p w14:paraId="42F60843">
            <w:pPr>
              <w:spacing w:before="42" w:beforeLines="10" w:after="42" w:afterLines="10" w:line="280" w:lineRule="exact"/>
              <w:rPr>
                <w:rFonts w:hint="eastAsia" w:ascii="汉仪书宋二简" w:hAnsi="汉仪书宋二简" w:eastAsia="汉仪书宋二简" w:cs="汉仪书宋二简"/>
                <w:kern w:val="0"/>
                <w:sz w:val="20"/>
                <w:szCs w:val="20"/>
              </w:rPr>
            </w:pPr>
          </w:p>
        </w:tc>
        <w:tc>
          <w:tcPr>
            <w:tcW w:w="1151" w:type="dxa"/>
            <w:vMerge w:val="continue"/>
            <w:vAlign w:val="center"/>
          </w:tcPr>
          <w:p w14:paraId="73A7DCBC">
            <w:pPr>
              <w:spacing w:before="42" w:beforeLines="10" w:after="42" w:afterLines="10" w:line="280" w:lineRule="exact"/>
              <w:jc w:val="center"/>
              <w:rPr>
                <w:rFonts w:ascii="汉仪书宋一简" w:hAnsi="Times New Roman" w:eastAsia="汉仪书宋一简" w:cs="Times New Roman"/>
                <w:sz w:val="20"/>
                <w:szCs w:val="20"/>
              </w:rPr>
            </w:pPr>
          </w:p>
        </w:tc>
        <w:tc>
          <w:tcPr>
            <w:tcW w:w="3548" w:type="dxa"/>
            <w:gridSpan w:val="2"/>
            <w:vAlign w:val="center"/>
          </w:tcPr>
          <w:p w14:paraId="09CC15CE">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2．意思表示真实</w:t>
            </w:r>
          </w:p>
        </w:tc>
        <w:tc>
          <w:tcPr>
            <w:tcW w:w="2699" w:type="dxa"/>
            <w:vMerge w:val="continue"/>
            <w:vAlign w:val="center"/>
          </w:tcPr>
          <w:p w14:paraId="756D3CE6">
            <w:pPr>
              <w:spacing w:before="42" w:beforeLines="10" w:after="42" w:afterLines="10" w:line="280" w:lineRule="exact"/>
              <w:rPr>
                <w:rFonts w:hint="eastAsia" w:ascii="汉仪书宋一简" w:hAnsi="汉仪书宋二简" w:eastAsia="汉仪书宋一简" w:cs="汉仪书宋二简"/>
                <w:kern w:val="0"/>
                <w:sz w:val="20"/>
                <w:szCs w:val="20"/>
              </w:rPr>
            </w:pPr>
          </w:p>
        </w:tc>
      </w:tr>
      <w:tr w14:paraId="60AC1DC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7" w:type="dxa"/>
            <w:vMerge w:val="continue"/>
            <w:vAlign w:val="center"/>
          </w:tcPr>
          <w:p w14:paraId="2358D8D8">
            <w:pPr>
              <w:spacing w:before="42" w:beforeLines="10" w:after="42" w:afterLines="10" w:line="280" w:lineRule="exact"/>
              <w:rPr>
                <w:rFonts w:hint="eastAsia" w:ascii="汉仪书宋二简" w:hAnsi="汉仪书宋二简" w:eastAsia="汉仪书宋二简" w:cs="汉仪书宋二简"/>
                <w:kern w:val="0"/>
                <w:sz w:val="20"/>
                <w:szCs w:val="20"/>
              </w:rPr>
            </w:pPr>
          </w:p>
        </w:tc>
        <w:tc>
          <w:tcPr>
            <w:tcW w:w="1151" w:type="dxa"/>
            <w:vMerge w:val="continue"/>
            <w:vAlign w:val="center"/>
          </w:tcPr>
          <w:p w14:paraId="228395EF">
            <w:pPr>
              <w:spacing w:before="42" w:beforeLines="10" w:after="42" w:afterLines="10" w:line="280" w:lineRule="exact"/>
              <w:jc w:val="center"/>
              <w:rPr>
                <w:rFonts w:ascii="汉仪书宋一简" w:hAnsi="Times New Roman" w:eastAsia="汉仪书宋一简" w:cs="Times New Roman"/>
                <w:sz w:val="20"/>
                <w:szCs w:val="20"/>
              </w:rPr>
            </w:pPr>
          </w:p>
        </w:tc>
        <w:tc>
          <w:tcPr>
            <w:tcW w:w="3548" w:type="dxa"/>
            <w:gridSpan w:val="2"/>
            <w:vAlign w:val="center"/>
          </w:tcPr>
          <w:p w14:paraId="2D1BC5E5">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3．不违反强制性规定与公序良俗</w:t>
            </w:r>
          </w:p>
        </w:tc>
        <w:tc>
          <w:tcPr>
            <w:tcW w:w="2699" w:type="dxa"/>
            <w:vMerge w:val="continue"/>
            <w:vAlign w:val="center"/>
          </w:tcPr>
          <w:p w14:paraId="1D83B464">
            <w:pPr>
              <w:spacing w:before="42" w:beforeLines="10" w:after="42" w:afterLines="10" w:line="280" w:lineRule="exact"/>
              <w:rPr>
                <w:rFonts w:hint="eastAsia" w:ascii="汉仪书宋一简" w:hAnsi="汉仪书宋二简" w:eastAsia="汉仪书宋一简" w:cs="汉仪书宋二简"/>
                <w:kern w:val="0"/>
                <w:sz w:val="20"/>
                <w:szCs w:val="20"/>
              </w:rPr>
            </w:pPr>
          </w:p>
        </w:tc>
      </w:tr>
      <w:tr w14:paraId="6B183FF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7" w:type="dxa"/>
            <w:vMerge w:val="continue"/>
            <w:vAlign w:val="center"/>
          </w:tcPr>
          <w:p w14:paraId="45FEE64F">
            <w:pPr>
              <w:spacing w:before="42" w:beforeLines="10" w:after="42" w:afterLines="10" w:line="280" w:lineRule="exact"/>
              <w:rPr>
                <w:rFonts w:hint="eastAsia" w:ascii="汉仪书宋二简" w:hAnsi="汉仪书宋二简" w:eastAsia="汉仪书宋二简" w:cs="汉仪书宋二简"/>
                <w:kern w:val="0"/>
                <w:sz w:val="20"/>
                <w:szCs w:val="20"/>
              </w:rPr>
            </w:pPr>
          </w:p>
        </w:tc>
        <w:tc>
          <w:tcPr>
            <w:tcW w:w="1151" w:type="dxa"/>
            <w:vMerge w:val="restart"/>
            <w:vAlign w:val="center"/>
          </w:tcPr>
          <w:p w14:paraId="5ED63313">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特别生效要件</w:t>
            </w:r>
          </w:p>
        </w:tc>
        <w:tc>
          <w:tcPr>
            <w:tcW w:w="6247" w:type="dxa"/>
            <w:gridSpan w:val="3"/>
            <w:vAlign w:val="center"/>
          </w:tcPr>
          <w:p w14:paraId="5A723997">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1．遗嘱：遗嘱人死亡</w:t>
            </w:r>
          </w:p>
        </w:tc>
      </w:tr>
      <w:tr w14:paraId="5620D5F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7" w:type="dxa"/>
            <w:vMerge w:val="continue"/>
            <w:vAlign w:val="center"/>
          </w:tcPr>
          <w:p w14:paraId="1C5A5546">
            <w:pPr>
              <w:spacing w:before="42" w:beforeLines="10" w:after="42" w:afterLines="10" w:line="280" w:lineRule="exact"/>
              <w:rPr>
                <w:rFonts w:hint="eastAsia" w:ascii="汉仪书宋二简" w:hAnsi="汉仪书宋二简" w:eastAsia="汉仪书宋二简" w:cs="汉仪书宋二简"/>
                <w:kern w:val="0"/>
                <w:sz w:val="20"/>
                <w:szCs w:val="20"/>
              </w:rPr>
            </w:pPr>
          </w:p>
        </w:tc>
        <w:tc>
          <w:tcPr>
            <w:tcW w:w="1151" w:type="dxa"/>
            <w:vMerge w:val="continue"/>
            <w:vAlign w:val="center"/>
          </w:tcPr>
          <w:p w14:paraId="50862BFB">
            <w:pPr>
              <w:spacing w:before="42" w:beforeLines="10" w:after="42" w:afterLines="10" w:line="280" w:lineRule="exact"/>
              <w:rPr>
                <w:rFonts w:ascii="汉仪书宋一简" w:hAnsi="Times New Roman" w:eastAsia="汉仪书宋一简" w:cs="Times New Roman"/>
                <w:sz w:val="20"/>
                <w:szCs w:val="20"/>
              </w:rPr>
            </w:pPr>
          </w:p>
        </w:tc>
        <w:tc>
          <w:tcPr>
            <w:tcW w:w="6247" w:type="dxa"/>
            <w:gridSpan w:val="3"/>
            <w:vAlign w:val="center"/>
          </w:tcPr>
          <w:p w14:paraId="465215F3">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2．批准生效合同：批准</w:t>
            </w:r>
          </w:p>
        </w:tc>
      </w:tr>
      <w:tr w14:paraId="75347DA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7" w:type="dxa"/>
            <w:vMerge w:val="continue"/>
            <w:vAlign w:val="center"/>
          </w:tcPr>
          <w:p w14:paraId="44BDDBB2">
            <w:pPr>
              <w:spacing w:before="42" w:beforeLines="10" w:after="42" w:afterLines="10" w:line="280" w:lineRule="exact"/>
              <w:rPr>
                <w:rFonts w:hint="eastAsia" w:ascii="汉仪书宋二简" w:hAnsi="汉仪书宋二简" w:eastAsia="汉仪书宋二简" w:cs="汉仪书宋二简"/>
                <w:kern w:val="0"/>
                <w:sz w:val="20"/>
                <w:szCs w:val="20"/>
              </w:rPr>
            </w:pPr>
          </w:p>
        </w:tc>
        <w:tc>
          <w:tcPr>
            <w:tcW w:w="1151" w:type="dxa"/>
            <w:vMerge w:val="continue"/>
            <w:vAlign w:val="center"/>
          </w:tcPr>
          <w:p w14:paraId="42A20984">
            <w:pPr>
              <w:spacing w:before="42" w:beforeLines="10" w:after="42" w:afterLines="10" w:line="280" w:lineRule="exact"/>
              <w:rPr>
                <w:rFonts w:ascii="汉仪书宋一简" w:hAnsi="Times New Roman" w:eastAsia="汉仪书宋一简" w:cs="Times New Roman"/>
                <w:sz w:val="20"/>
                <w:szCs w:val="20"/>
              </w:rPr>
            </w:pPr>
          </w:p>
        </w:tc>
        <w:tc>
          <w:tcPr>
            <w:tcW w:w="6247" w:type="dxa"/>
            <w:gridSpan w:val="3"/>
            <w:vAlign w:val="center"/>
          </w:tcPr>
          <w:p w14:paraId="5D53DC3A">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3．处分行为：处分权</w:t>
            </w:r>
          </w:p>
        </w:tc>
      </w:tr>
      <w:tr w14:paraId="6A2FB90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7" w:type="dxa"/>
            <w:vMerge w:val="continue"/>
            <w:vAlign w:val="center"/>
          </w:tcPr>
          <w:p w14:paraId="79C54EAD">
            <w:pPr>
              <w:spacing w:before="42" w:beforeLines="10" w:after="42" w:afterLines="10" w:line="280" w:lineRule="exact"/>
              <w:rPr>
                <w:rFonts w:hint="eastAsia" w:ascii="汉仪书宋二简" w:hAnsi="汉仪书宋二简" w:eastAsia="汉仪书宋二简" w:cs="汉仪书宋二简"/>
                <w:kern w:val="0"/>
                <w:sz w:val="20"/>
                <w:szCs w:val="20"/>
              </w:rPr>
            </w:pPr>
          </w:p>
        </w:tc>
        <w:tc>
          <w:tcPr>
            <w:tcW w:w="1151" w:type="dxa"/>
            <w:vMerge w:val="continue"/>
            <w:vAlign w:val="center"/>
          </w:tcPr>
          <w:p w14:paraId="216828FA">
            <w:pPr>
              <w:spacing w:before="42" w:beforeLines="10" w:after="42" w:afterLines="10" w:line="280" w:lineRule="exact"/>
              <w:rPr>
                <w:rFonts w:ascii="汉仪书宋一简" w:hAnsi="Times New Roman" w:eastAsia="汉仪书宋一简" w:cs="Times New Roman"/>
                <w:sz w:val="20"/>
                <w:szCs w:val="20"/>
              </w:rPr>
            </w:pPr>
          </w:p>
        </w:tc>
        <w:tc>
          <w:tcPr>
            <w:tcW w:w="6247" w:type="dxa"/>
            <w:gridSpan w:val="3"/>
            <w:vAlign w:val="center"/>
          </w:tcPr>
          <w:p w14:paraId="33F8C87A">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4．附始期的民事法律行为：期限届至</w:t>
            </w:r>
          </w:p>
        </w:tc>
      </w:tr>
      <w:tr w14:paraId="4F6E31B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7" w:type="dxa"/>
            <w:vMerge w:val="continue"/>
            <w:vAlign w:val="center"/>
          </w:tcPr>
          <w:p w14:paraId="43D9162F">
            <w:pPr>
              <w:spacing w:before="42" w:beforeLines="10" w:after="42" w:afterLines="10" w:line="280" w:lineRule="exact"/>
              <w:rPr>
                <w:rFonts w:hint="eastAsia" w:ascii="汉仪书宋二简" w:hAnsi="汉仪书宋二简" w:eastAsia="汉仪书宋二简" w:cs="汉仪书宋二简"/>
                <w:kern w:val="0"/>
                <w:sz w:val="20"/>
                <w:szCs w:val="20"/>
              </w:rPr>
            </w:pPr>
          </w:p>
        </w:tc>
        <w:tc>
          <w:tcPr>
            <w:tcW w:w="1151" w:type="dxa"/>
            <w:vMerge w:val="continue"/>
            <w:vAlign w:val="center"/>
          </w:tcPr>
          <w:p w14:paraId="7A34D31A">
            <w:pPr>
              <w:spacing w:before="42" w:beforeLines="10" w:after="42" w:afterLines="10" w:line="280" w:lineRule="exact"/>
              <w:rPr>
                <w:rFonts w:ascii="汉仪书宋一简" w:hAnsi="Times New Roman" w:eastAsia="汉仪书宋一简" w:cs="Times New Roman"/>
                <w:sz w:val="20"/>
                <w:szCs w:val="20"/>
              </w:rPr>
            </w:pPr>
          </w:p>
        </w:tc>
        <w:tc>
          <w:tcPr>
            <w:tcW w:w="6247" w:type="dxa"/>
            <w:gridSpan w:val="3"/>
            <w:vAlign w:val="center"/>
          </w:tcPr>
          <w:p w14:paraId="579377F7">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5．附生效条件的民事法律行为：条件成就</w:t>
            </w:r>
          </w:p>
        </w:tc>
      </w:tr>
    </w:tbl>
    <w:p w14:paraId="73AFB5DB">
      <w:pPr>
        <w:spacing w:line="276" w:lineRule="auto"/>
        <w:jc w:val="both"/>
        <w:rPr>
          <w:rFonts w:hint="eastAsia"/>
          <w:b/>
          <w:bCs/>
          <w:szCs w:val="21"/>
        </w:rPr>
      </w:pPr>
    </w:p>
    <w:p w14:paraId="2653DAD1">
      <w:pPr>
        <w:spacing w:line="276" w:lineRule="auto"/>
        <w:jc w:val="both"/>
        <w:rPr>
          <w:szCs w:val="21"/>
        </w:rPr>
      </w:pPr>
      <w:r>
        <w:rPr>
          <w:rFonts w:hint="eastAsia"/>
          <w:b/>
          <w:bCs/>
          <w:szCs w:val="21"/>
          <w:lang w:eastAsia="zh-CN"/>
        </w:rPr>
        <w:t>（</w:t>
      </w:r>
      <w:r>
        <w:rPr>
          <w:rFonts w:hint="eastAsia"/>
          <w:b/>
          <w:bCs/>
          <w:szCs w:val="21"/>
          <w:lang w:val="en-US" w:eastAsia="zh-CN"/>
        </w:rPr>
        <w:t>二</w:t>
      </w:r>
      <w:r>
        <w:rPr>
          <w:rFonts w:hint="eastAsia"/>
          <w:b/>
          <w:bCs/>
          <w:szCs w:val="21"/>
          <w:lang w:eastAsia="zh-CN"/>
        </w:rPr>
        <w:t>）</w:t>
      </w:r>
      <w:r>
        <w:rPr>
          <w:rFonts w:hint="eastAsia"/>
          <w:b/>
          <w:bCs/>
          <w:szCs w:val="21"/>
        </w:rPr>
        <w:t>须审批合同的效力</w:t>
      </w:r>
    </w:p>
    <w:p w14:paraId="284E42DE">
      <w:pPr>
        <w:spacing w:line="276" w:lineRule="auto"/>
        <w:ind w:firstLine="48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待批准合同，在获得批准之前，</w:t>
      </w:r>
      <w:r>
        <w:rPr>
          <w:rFonts w:hint="eastAsia" w:ascii="宋体" w:hAnsi="宋体"/>
          <w:szCs w:val="21"/>
          <w:u w:val="single"/>
        </w:rPr>
        <w:t>属于尚未生效的合同，而非无效合同。</w:t>
      </w:r>
      <w:r>
        <w:rPr>
          <w:rFonts w:hint="eastAsia" w:ascii="宋体" w:hAnsi="宋体"/>
          <w:szCs w:val="21"/>
        </w:rPr>
        <w:t>对此类合同而言，批准是合同的特别生效要件。</w:t>
      </w:r>
    </w:p>
    <w:p w14:paraId="46DAC2B9">
      <w:pPr>
        <w:spacing w:line="276" w:lineRule="auto"/>
        <w:ind w:firstLine="480"/>
        <w:rPr>
          <w:rFonts w:hint="default"/>
          <w:lang w:val="en-US" w:eastAsia="zh-CN"/>
        </w:rPr>
      </w:pPr>
      <w:r>
        <w:rPr>
          <w:rFonts w:hint="eastAsia" w:ascii="宋体" w:hAnsi="宋体"/>
          <w:szCs w:val="21"/>
        </w:rPr>
        <w:t>2</w:t>
      </w:r>
      <w:r>
        <w:rPr>
          <w:rFonts w:ascii="宋体" w:hAnsi="宋体"/>
          <w:b/>
          <w:bCs/>
          <w:color w:val="FF0000"/>
          <w:szCs w:val="21"/>
        </w:rPr>
        <w:t>.</w:t>
      </w:r>
      <w:r>
        <w:rPr>
          <w:rFonts w:hint="eastAsia" w:ascii="宋体" w:hAnsi="宋体"/>
          <w:b/>
          <w:bCs/>
          <w:color w:val="FF0000"/>
          <w:szCs w:val="21"/>
          <w:u w:val="single"/>
        </w:rPr>
        <w:t>待批准合同约定一方当事人负有报批义务的，该条款独立发生效力</w:t>
      </w:r>
      <w:r>
        <w:rPr>
          <w:rFonts w:hint="eastAsia" w:ascii="宋体" w:hAnsi="宋体"/>
          <w:szCs w:val="21"/>
        </w:rPr>
        <w:t>，负有报批义务的一方应履行向有关部门申请批准的手续。该当事人不履行此报批义务的，对方可向其主张承担</w:t>
      </w:r>
      <w:r>
        <w:rPr>
          <w:rFonts w:hint="eastAsia" w:ascii="宋体" w:hAnsi="宋体"/>
          <w:szCs w:val="21"/>
          <w:lang w:val="en-US" w:eastAsia="zh-CN"/>
        </w:rPr>
        <w:t>此条款的</w:t>
      </w:r>
      <w:r>
        <w:rPr>
          <w:rFonts w:hint="eastAsia" w:ascii="宋体" w:hAnsi="宋体"/>
          <w:szCs w:val="21"/>
        </w:rPr>
        <w:t>违约责任。</w:t>
      </w:r>
    </w:p>
    <w:p w14:paraId="1653AF51">
      <w:pPr>
        <w:ind w:firstLine="420" w:firstLineChars="200"/>
        <w:rPr>
          <w:rFonts w:hint="eastAsia" w:ascii="汉仪书宋二简" w:cs="Arial"/>
          <w:color w:val="0000FF"/>
          <w:lang w:eastAsia="zh-CN"/>
        </w:rPr>
      </w:pPr>
      <w:r>
        <w:rPr>
          <w:rFonts w:hint="eastAsia" w:ascii="汉仪书宋二简" w:cs="Arial"/>
          <w:color w:val="000000"/>
          <w:lang w:val="en-US" w:eastAsia="zh-CN"/>
        </w:rPr>
        <w:t>3.</w:t>
      </w:r>
      <w:r>
        <w:rPr>
          <w:rFonts w:hint="eastAsia" w:ascii="汉仪书宋二简" w:hAnsi="Calibri" w:cs="Arial"/>
          <w:color w:val="000000"/>
        </w:rPr>
        <w:t>报批义务人不履行报批义务时，相对方有权起诉请求其继续履行报批义务，人民法院在审理后可以作出支持继续履行的判决。</w:t>
      </w:r>
      <w:r>
        <w:rPr>
          <w:rFonts w:hint="eastAsia" w:ascii="汉仪书宋二简" w:hAnsi="Calibri" w:cs="Arial"/>
          <w:color w:val="0000FF"/>
        </w:rPr>
        <w:t>判决作出后如果报批义务人仍不履行报批义务，依据《民法典合同编通则解释》第1</w:t>
      </w:r>
      <w:r>
        <w:rPr>
          <w:rFonts w:ascii="汉仪书宋二简" w:hAnsi="Calibri" w:cs="Arial"/>
          <w:color w:val="0000FF"/>
        </w:rPr>
        <w:t>2</w:t>
      </w:r>
      <w:r>
        <w:rPr>
          <w:rFonts w:hint="eastAsia" w:ascii="汉仪书宋二简" w:hAnsi="Calibri" w:cs="Arial"/>
          <w:color w:val="0000FF"/>
        </w:rPr>
        <w:t>条第2款，对方可以主张解除合同并参照违反合同的违约责任请求其承担赔偿责任</w:t>
      </w:r>
      <w:r>
        <w:rPr>
          <w:rFonts w:hint="eastAsia" w:ascii="汉仪书宋二简" w:cs="Arial"/>
          <w:color w:val="0000FF"/>
          <w:lang w:eastAsia="zh-CN"/>
        </w:rPr>
        <w:t>（</w:t>
      </w:r>
      <w:r>
        <w:rPr>
          <w:rFonts w:hint="eastAsia" w:ascii="汉仪书宋二简" w:cs="Arial"/>
          <w:color w:val="0000FF"/>
          <w:lang w:val="en-US" w:eastAsia="zh-CN"/>
        </w:rPr>
        <w:t>整个合同的违约责任</w:t>
      </w:r>
      <w:r>
        <w:rPr>
          <w:rFonts w:hint="eastAsia" w:ascii="汉仪书宋二简" w:cs="Arial"/>
          <w:color w:val="0000FF"/>
          <w:lang w:eastAsia="zh-CN"/>
        </w:rPr>
        <w:t>）</w:t>
      </w:r>
    </w:p>
    <w:p w14:paraId="4997E1E6">
      <w:pPr>
        <w:rPr>
          <w:b/>
          <w:szCs w:val="24"/>
        </w:rPr>
      </w:pPr>
      <w:r>
        <w:rPr>
          <w:rFonts w:hint="eastAsia" w:ascii="Cambria" w:hAnsi="Cambria" w:eastAsia="汉仪大宋简" w:cs="Times New Roman"/>
          <w:b/>
          <w:bCs w:val="0"/>
          <w:kern w:val="2"/>
          <w:sz w:val="24"/>
          <w:szCs w:val="28"/>
          <w:lang w:val="en-US" w:eastAsia="zh-CN" w:bidi="ar-SA"/>
        </w:rPr>
        <w:t>四、</w:t>
      </w:r>
      <w:r>
        <w:rPr>
          <w:rFonts w:hint="eastAsia"/>
          <w:b/>
          <w:szCs w:val="24"/>
        </w:rPr>
        <w:t>民事法律行为的无效</w:t>
      </w:r>
    </w:p>
    <w:p w14:paraId="197ADD44">
      <w:pPr>
        <w:spacing w:line="276" w:lineRule="auto"/>
        <w:ind w:firstLine="480"/>
        <w:rPr>
          <w:rFonts w:ascii="等线" w:hAnsi="等线"/>
          <w:b/>
          <w:bCs/>
          <w:szCs w:val="21"/>
        </w:rPr>
      </w:pPr>
      <w:r>
        <w:rPr>
          <w:rFonts w:hint="eastAsia" w:ascii="等线" w:hAnsi="等线"/>
          <w:b/>
          <w:bCs/>
          <w:szCs w:val="21"/>
        </w:rPr>
        <w:t>（一）无民事行为能力人实施的民事法律行为无效</w:t>
      </w:r>
    </w:p>
    <w:p w14:paraId="05E71185">
      <w:pPr>
        <w:spacing w:line="276" w:lineRule="auto"/>
        <w:ind w:firstLine="480"/>
        <w:rPr>
          <w:szCs w:val="21"/>
        </w:rPr>
      </w:pPr>
      <w:r>
        <w:rPr>
          <w:rFonts w:hint="eastAsia"/>
          <w:szCs w:val="21"/>
          <w:u w:val="single"/>
        </w:rPr>
        <w:t>无民事行为能力人自己实施的纯获利益行为也属于无效的法律行为。</w:t>
      </w:r>
    </w:p>
    <w:p w14:paraId="0E3B6920">
      <w:pPr>
        <w:spacing w:line="276" w:lineRule="auto"/>
        <w:ind w:firstLine="480"/>
        <w:rPr>
          <w:rFonts w:ascii="等线" w:hAnsi="等线"/>
          <w:b/>
          <w:bCs/>
          <w:szCs w:val="21"/>
        </w:rPr>
      </w:pPr>
      <w:r>
        <w:rPr>
          <w:rFonts w:hint="eastAsia" w:ascii="等线" w:hAnsi="等线"/>
          <w:b/>
          <w:bCs/>
          <w:szCs w:val="21"/>
        </w:rPr>
        <w:t>（二）双方虚假通谋的法律行为无效</w:t>
      </w:r>
    </w:p>
    <w:p w14:paraId="66C441C1">
      <w:pPr>
        <w:spacing w:line="276" w:lineRule="auto"/>
        <w:ind w:firstLine="480"/>
        <w:rPr>
          <w:rFonts w:hint="eastAsia" w:ascii="宋体" w:hAnsi="宋体"/>
          <w:color w:val="FF0000"/>
          <w:szCs w:val="21"/>
        </w:rPr>
      </w:pPr>
      <w:r>
        <w:rPr>
          <w:rFonts w:hint="eastAsia"/>
          <w:szCs w:val="21"/>
        </w:rPr>
        <w:t>行为人与相对人通谋（双方虚假），以虚假意思表示实施的民事法律行为无效。</w:t>
      </w:r>
      <w:r>
        <w:rPr>
          <w:rFonts w:hint="eastAsia" w:ascii="宋体" w:hAnsi="宋体"/>
          <w:szCs w:val="21"/>
        </w:rPr>
        <w:t>如果当事人用虚假通谋的意思表示隐藏了另一个民事法律行为</w:t>
      </w:r>
      <w:r>
        <w:rPr>
          <w:rFonts w:hint="eastAsia" w:ascii="宋体" w:hAnsi="宋体"/>
          <w:color w:val="FF0000"/>
          <w:szCs w:val="21"/>
        </w:rPr>
        <w:t>，则隐藏行为在符合法律规定的生效要件时，可发生效力。</w:t>
      </w:r>
    </w:p>
    <w:p w14:paraId="4B3FC8AB">
      <w:pPr>
        <w:spacing w:line="276" w:lineRule="auto"/>
        <w:ind w:firstLine="480"/>
        <w:rPr>
          <w:rFonts w:hint="eastAsia" w:eastAsia="宋体"/>
          <w:szCs w:val="21"/>
          <w:lang w:eastAsia="zh-CN"/>
        </w:rPr>
      </w:pPr>
      <w:r>
        <w:rPr>
          <w:rFonts w:hint="eastAsia" w:ascii="宋体" w:hAnsi="宋体"/>
          <w:color w:val="FF0000"/>
          <w:szCs w:val="21"/>
          <w:lang w:val="en-US" w:eastAsia="zh-CN"/>
        </w:rPr>
        <w:t>例外：建设工程合同中，</w:t>
      </w:r>
      <w:r>
        <w:rPr>
          <w:rFonts w:hint="eastAsia" w:ascii="宋体" w:hAnsi="宋体"/>
          <w:color w:val="FF0000"/>
          <w:szCs w:val="21"/>
        </w:rPr>
        <w:t>即使中标合同不是真实</w:t>
      </w:r>
      <w:r>
        <w:rPr>
          <w:rFonts w:hint="eastAsia"/>
          <w:color w:val="FF0000"/>
          <w:szCs w:val="21"/>
        </w:rPr>
        <w:t>意思表示，仍以该中标合同确认合同的效力；与中标备案合同不一致的其他约定，即使是当事人双方真实的意思，亦不具有效力</w:t>
      </w:r>
      <w:r>
        <w:rPr>
          <w:rFonts w:hint="eastAsia"/>
          <w:szCs w:val="21"/>
        </w:rPr>
        <w:t>。</w:t>
      </w:r>
      <w:r>
        <w:rPr>
          <w:rFonts w:hint="eastAsia"/>
          <w:szCs w:val="21"/>
          <w:lang w:eastAsia="zh-CN"/>
        </w:rPr>
        <w:t>（</w:t>
      </w:r>
      <w:r>
        <w:rPr>
          <w:rFonts w:hint="eastAsia"/>
          <w:szCs w:val="21"/>
          <w:lang w:val="en-US" w:eastAsia="zh-CN"/>
        </w:rPr>
        <w:t>阳合同生效</w:t>
      </w:r>
      <w:r>
        <w:rPr>
          <w:rFonts w:hint="eastAsia"/>
          <w:szCs w:val="21"/>
          <w:lang w:eastAsia="zh-CN"/>
        </w:rPr>
        <w:t>）</w:t>
      </w:r>
    </w:p>
    <w:p w14:paraId="0C47EF2A">
      <w:pPr>
        <w:spacing w:line="276" w:lineRule="auto"/>
        <w:ind w:firstLine="480"/>
        <w:rPr>
          <w:rFonts w:ascii="等线" w:hAnsi="等线"/>
          <w:b/>
          <w:bCs/>
          <w:szCs w:val="21"/>
        </w:rPr>
      </w:pPr>
      <w:r>
        <w:rPr>
          <w:rFonts w:hint="eastAsia" w:ascii="等线" w:hAnsi="等线"/>
          <w:b/>
          <w:bCs/>
          <w:szCs w:val="21"/>
        </w:rPr>
        <w:t>（三）因违反效力性强制性规范或者违背公序良俗而无效</w:t>
      </w:r>
    </w:p>
    <w:p w14:paraId="701EBC05">
      <w:pPr>
        <w:spacing w:line="276" w:lineRule="auto"/>
        <w:ind w:firstLine="480"/>
        <w:rPr>
          <w:rFonts w:hint="default" w:eastAsia="宋体"/>
          <w:color w:val="0000FF"/>
          <w:szCs w:val="21"/>
          <w:lang w:val="en-US" w:eastAsia="zh-CN"/>
        </w:rPr>
      </w:pPr>
      <w:r>
        <w:rPr>
          <w:rFonts w:hint="eastAsia"/>
          <w:szCs w:val="21"/>
        </w:rPr>
        <w:t>民事法律行为违反强行性法律规范的，未必无效。</w:t>
      </w:r>
      <w:r>
        <w:rPr>
          <w:rFonts w:hint="eastAsia"/>
          <w:color w:val="0000FF"/>
          <w:szCs w:val="21"/>
          <w:lang w:val="en-US" w:eastAsia="zh-CN"/>
        </w:rPr>
        <w:t>要看规范目的</w:t>
      </w:r>
    </w:p>
    <w:p w14:paraId="06C43EF9">
      <w:pPr>
        <w:tabs>
          <w:tab w:val="left" w:pos="420"/>
        </w:tabs>
        <w:ind w:firstLine="420"/>
        <w:rPr>
          <w:rFonts w:hint="eastAsia" w:ascii="汉仪书宋二简" w:hAnsi="汉仪书宋二简" w:cs="汉仪书宋二简"/>
          <w:kern w:val="0"/>
        </w:rPr>
      </w:pPr>
      <w:r>
        <w:rPr>
          <w:rFonts w:hint="eastAsia" w:ascii="汉仪书宋二简" w:hAnsi="汉仪书宋二简" w:cs="汉仪书宋二简"/>
          <w:kern w:val="0"/>
        </w:rPr>
        <w:t>1．强制性规定虽然旨在维护社会公共秩序，但是合同的实际履行对社会公共秩序造成的影响显著轻微，认定合同无效将导致案件处理结果有失公平公正。</w:t>
      </w:r>
    </w:p>
    <w:p w14:paraId="5D4949D3">
      <w:pPr>
        <w:tabs>
          <w:tab w:val="left" w:pos="420"/>
        </w:tabs>
        <w:ind w:firstLine="408"/>
        <w:rPr>
          <w:rFonts w:hint="eastAsia" w:ascii="汉仪书宋二简" w:hAnsi="汉仪书宋二简" w:cs="汉仪书宋二简"/>
          <w:spacing w:val="-3"/>
          <w:kern w:val="0"/>
        </w:rPr>
      </w:pPr>
      <w:r>
        <w:rPr>
          <w:rFonts w:hint="eastAsia" w:ascii="汉仪书宋二简" w:hAnsi="汉仪书宋二简" w:cs="汉仪书宋二简"/>
          <w:spacing w:val="-3"/>
          <w:kern w:val="0"/>
        </w:rPr>
        <w:t>2．强制性规定旨在维护政府的税收、土地出让金等国家利益或者其他民事主体的合法利益而非合同当事人的民事权益，认定合同有效不会影响该规范目的的实现</w:t>
      </w:r>
      <w:r>
        <w:rPr>
          <w:rFonts w:ascii="汉仪书宋二简" w:hAnsi="汉仪书宋二简" w:cs="汉仪书宋二简"/>
          <w:spacing w:val="-3"/>
          <w:kern w:val="0"/>
        </w:rPr>
        <w:t>。</w:t>
      </w:r>
    </w:p>
    <w:p w14:paraId="5CB4F9B5">
      <w:pPr>
        <w:tabs>
          <w:tab w:val="left" w:pos="420"/>
        </w:tabs>
        <w:ind w:firstLine="420"/>
        <w:rPr>
          <w:rFonts w:hint="eastAsia" w:ascii="汉仪书宋二简" w:hAnsi="汉仪书宋二简" w:cs="汉仪书宋二简"/>
          <w:kern w:val="0"/>
        </w:rPr>
      </w:pPr>
      <w:r>
        <w:rPr>
          <w:rFonts w:ascii="汉仪书宋二简" w:hAnsi="汉仪书宋二简" w:cs="汉仪书宋二简"/>
          <w:kern w:val="0"/>
        </w:rPr>
        <w:t>3</w:t>
      </w:r>
      <w:r>
        <w:rPr>
          <w:rFonts w:hint="eastAsia" w:ascii="汉仪书宋二简" w:hAnsi="汉仪书宋二简" w:cs="汉仪书宋二简"/>
          <w:kern w:val="0"/>
        </w:rPr>
        <w:t>．</w:t>
      </w:r>
      <w:r>
        <w:rPr>
          <w:rFonts w:ascii="汉仪书宋二简" w:hAnsi="汉仪书宋二简" w:cs="汉仪书宋二简"/>
          <w:kern w:val="0"/>
        </w:rPr>
        <w:t>强制性规定旨在要求当事人一方加强风险控制、内部管理等，对方无能力或者无义务审查合同是否违反强制性规定，认定合同无效将使其承担不利后果</w:t>
      </w:r>
      <w:r>
        <w:rPr>
          <w:rFonts w:hint="eastAsia" w:ascii="汉仪书宋二简" w:hAnsi="汉仪书宋二简" w:cs="汉仪书宋二简"/>
          <w:kern w:val="0"/>
        </w:rPr>
        <w:t>（</w:t>
      </w:r>
      <w:r>
        <w:rPr>
          <w:rFonts w:hint="eastAsia" w:ascii="汉仪书宋二简" w:hAnsi="汉仪书宋二简" w:cs="汉仪书宋二简"/>
          <w:kern w:val="0"/>
          <w:lang w:val="en-US" w:eastAsia="zh-CN"/>
        </w:rPr>
        <w:t>内部管制不得对抗第三人）</w:t>
      </w:r>
      <w:r>
        <w:rPr>
          <w:rFonts w:ascii="汉仪书宋二简" w:hAnsi="汉仪书宋二简" w:cs="汉仪书宋二简"/>
          <w:kern w:val="0"/>
        </w:rPr>
        <w:t>。</w:t>
      </w:r>
    </w:p>
    <w:p w14:paraId="28105427">
      <w:pPr>
        <w:tabs>
          <w:tab w:val="left" w:pos="420"/>
        </w:tabs>
        <w:ind w:firstLine="420"/>
        <w:rPr>
          <w:rFonts w:hint="eastAsia" w:ascii="汉仪书宋二简" w:hAnsi="汉仪书宋二简" w:cs="汉仪书宋二简"/>
          <w:kern w:val="0"/>
        </w:rPr>
      </w:pPr>
      <w:r>
        <w:rPr>
          <w:rFonts w:ascii="汉仪书宋二简" w:hAnsi="汉仪书宋二简" w:cs="汉仪书宋二简"/>
          <w:kern w:val="0"/>
        </w:rPr>
        <w:t>4</w:t>
      </w:r>
      <w:r>
        <w:rPr>
          <w:rFonts w:hint="eastAsia" w:ascii="汉仪书宋二简" w:hAnsi="汉仪书宋二简" w:cs="汉仪书宋二简"/>
          <w:kern w:val="0"/>
        </w:rPr>
        <w:t>．</w:t>
      </w:r>
      <w:r>
        <w:rPr>
          <w:rFonts w:ascii="汉仪书宋二简" w:hAnsi="汉仪书宋二简" w:cs="汉仪书宋二简"/>
          <w:kern w:val="0"/>
        </w:rPr>
        <w:t>当事人一方虽然在订立合同时违反强制性规定，但是在合同订立后其已经具备补正违反强制性规定的条件却违背诚信原则不予补正</w:t>
      </w:r>
      <w:r>
        <w:rPr>
          <w:rFonts w:hint="eastAsia" w:ascii="汉仪书宋二简" w:hAnsi="汉仪书宋二简" w:cs="汉仪书宋二简"/>
          <w:kern w:val="0"/>
        </w:rPr>
        <w:t>。</w:t>
      </w:r>
    </w:p>
    <w:p w14:paraId="36195B40">
      <w:pPr>
        <w:spacing w:line="276" w:lineRule="auto"/>
        <w:ind w:firstLine="480"/>
        <w:rPr>
          <w:rFonts w:ascii="宋体" w:hAnsi="宋体"/>
          <w:szCs w:val="21"/>
        </w:rPr>
      </w:pPr>
      <w:r>
        <w:rPr>
          <w:rFonts w:ascii="汉仪书宋二简" w:hAnsi="汉仪书宋二简" w:cs="汉仪书宋二简"/>
          <w:kern w:val="0"/>
        </w:rPr>
        <w:t>5</w:t>
      </w:r>
      <w:r>
        <w:rPr>
          <w:rFonts w:hint="eastAsia" w:ascii="汉仪书宋二简" w:hAnsi="汉仪书宋二简" w:cs="汉仪书宋二简"/>
          <w:kern w:val="0"/>
        </w:rPr>
        <w:t>．</w:t>
      </w:r>
      <w:r>
        <w:rPr>
          <w:rFonts w:ascii="汉仪书宋二简" w:hAnsi="汉仪书宋二简" w:cs="汉仪书宋二简"/>
          <w:kern w:val="0"/>
        </w:rPr>
        <w:t>法律、行政法规的强制性规定旨在规制合同订立后的履行行为，违反该规定的合同原则上不因此而无效，但合同履行必然导致违反强制性规定或者法律、司法解释另有规定的除外</w:t>
      </w:r>
      <w:r>
        <w:rPr>
          <w:rFonts w:hint="eastAsia" w:ascii="宋体" w:hAnsi="宋体"/>
          <w:szCs w:val="21"/>
        </w:rPr>
        <w:t>。</w:t>
      </w:r>
    </w:p>
    <w:p w14:paraId="0814ADC7">
      <w:pPr>
        <w:spacing w:line="276" w:lineRule="auto"/>
        <w:ind w:firstLine="480"/>
        <w:rPr>
          <w:rFonts w:hint="eastAsia" w:ascii="宋体" w:hAnsi="宋体"/>
          <w:szCs w:val="21"/>
          <w:u w:val="single"/>
          <w:lang w:val="en-US" w:eastAsia="zh-CN"/>
        </w:rPr>
      </w:pPr>
      <w:r>
        <w:rPr>
          <w:rFonts w:hint="eastAsia" w:ascii="宋体" w:hAnsi="宋体"/>
          <w:szCs w:val="21"/>
        </w:rPr>
        <w:t>“</w:t>
      </w:r>
      <w:r>
        <w:rPr>
          <w:rFonts w:hint="eastAsia" w:ascii="宋体" w:hAnsi="宋体"/>
          <w:szCs w:val="21"/>
          <w:u w:val="single"/>
        </w:rPr>
        <w:t>公序良俗</w:t>
      </w:r>
      <w:r>
        <w:rPr>
          <w:rFonts w:hint="eastAsia" w:ascii="宋体" w:hAnsi="宋体"/>
          <w:szCs w:val="21"/>
        </w:rPr>
        <w:t>”</w:t>
      </w:r>
      <w:r>
        <w:rPr>
          <w:rFonts w:hint="eastAsia" w:ascii="宋体" w:hAnsi="宋体"/>
          <w:szCs w:val="21"/>
          <w:lang w:val="en-US" w:eastAsia="zh-CN"/>
        </w:rPr>
        <w:t>包括</w:t>
      </w:r>
      <w:r>
        <w:rPr>
          <w:rFonts w:hint="eastAsia" w:ascii="宋体" w:hAnsi="宋体"/>
          <w:szCs w:val="21"/>
          <w:u w:val="single"/>
        </w:rPr>
        <w:t>善良风俗</w:t>
      </w:r>
      <w:r>
        <w:rPr>
          <w:rFonts w:hint="eastAsia" w:ascii="宋体" w:hAnsi="宋体"/>
          <w:szCs w:val="21"/>
          <w:u w:val="single"/>
          <w:lang w:val="en-US" w:eastAsia="zh-CN"/>
        </w:rPr>
        <w:t>和公共秩序</w:t>
      </w:r>
    </w:p>
    <w:p w14:paraId="75F22976">
      <w:pPr>
        <w:tabs>
          <w:tab w:val="left" w:pos="420"/>
        </w:tabs>
        <w:ind w:firstLine="420"/>
        <w:rPr>
          <w:rFonts w:hint="eastAsia" w:ascii="汉仪书宋二简" w:hAnsi="汉仪书宋二简" w:cs="汉仪书宋二简"/>
          <w:kern w:val="0"/>
        </w:rPr>
      </w:pPr>
      <w:r>
        <w:rPr>
          <w:rFonts w:hint="eastAsia" w:ascii="汉仪书宋二简" w:hAnsi="汉仪书宋二简" w:cs="汉仪书宋二简"/>
          <w:kern w:val="0"/>
        </w:rPr>
        <w:t>违反公序良俗的民事法律行为主要包括以下类型：（1）违背性道德的民事法律行为，如夫妻一方与婚外异性签订包养合同；（2）违背家庭伦理的民事法律行为，如代孕合同、将财产分配给婚外异性的遗嘱；（3）为违法犯罪行为提供服务的民事法律行为，如为筹集赌资而借款、为隐瞒违法犯罪行为签订的封口费合同；（4）过度限制自由的民事法律行为，如离婚协议中约定禁止一方再婚或再生育子女；（5）破坏公平竞争秩序的民事法律行为，如请托安排工作、安排入学。</w:t>
      </w:r>
    </w:p>
    <w:p w14:paraId="521462F7">
      <w:pPr>
        <w:spacing w:line="276" w:lineRule="auto"/>
        <w:ind w:firstLine="480"/>
        <w:rPr>
          <w:rFonts w:hint="eastAsia" w:ascii="宋体" w:hAnsi="宋体"/>
          <w:szCs w:val="21"/>
          <w:u w:val="single"/>
          <w:lang w:val="en-US" w:eastAsia="zh-CN"/>
        </w:rPr>
      </w:pPr>
    </w:p>
    <w:p w14:paraId="22A52A83">
      <w:pPr>
        <w:spacing w:line="276" w:lineRule="auto"/>
        <w:ind w:firstLine="480"/>
        <w:rPr>
          <w:rFonts w:ascii="等线" w:hAnsi="等线"/>
          <w:b/>
          <w:bCs/>
          <w:szCs w:val="21"/>
        </w:rPr>
      </w:pPr>
      <w:r>
        <w:rPr>
          <w:rFonts w:hint="eastAsia" w:ascii="等线" w:hAnsi="等线"/>
          <w:b/>
          <w:bCs/>
          <w:szCs w:val="21"/>
        </w:rPr>
        <w:t>（四）因行为人与相对人恶意串通损害他人合法权益而无效</w:t>
      </w:r>
    </w:p>
    <w:p w14:paraId="0C63982E">
      <w:pPr>
        <w:spacing w:line="276" w:lineRule="auto"/>
        <w:ind w:firstLine="480"/>
        <w:rPr>
          <w:rFonts w:ascii="宋体" w:hAnsi="宋体"/>
        </w:rPr>
      </w:pPr>
      <w:r>
        <w:rPr>
          <w:rFonts w:hint="eastAsia" w:ascii="等线" w:hAnsi="等线"/>
          <w:szCs w:val="21"/>
        </w:rPr>
        <w:t>恶意串通行为无效，其根本原因在于此种串通行为以损害他们为目的，</w:t>
      </w:r>
      <w:r>
        <w:rPr>
          <w:rFonts w:hint="eastAsia" w:ascii="等线" w:hAnsi="等线"/>
          <w:szCs w:val="21"/>
          <w:u w:val="single"/>
        </w:rPr>
        <w:t>构成实质性违法</w:t>
      </w:r>
      <w:r>
        <w:rPr>
          <w:rFonts w:hint="eastAsia" w:ascii="等线" w:hAnsi="等线"/>
          <w:szCs w:val="21"/>
        </w:rPr>
        <w:t>。</w:t>
      </w:r>
    </w:p>
    <w:p w14:paraId="5681DDF1">
      <w:pPr>
        <w:spacing w:line="276" w:lineRule="auto"/>
        <w:jc w:val="left"/>
        <w:outlineLvl w:val="1"/>
        <w:rPr>
          <w:rFonts w:ascii="宋体" w:hAnsi="宋体"/>
          <w:b/>
          <w:szCs w:val="24"/>
        </w:rPr>
      </w:pPr>
      <w:r>
        <w:rPr>
          <w:rFonts w:hint="eastAsia" w:ascii="宋体" w:hAnsi="宋体"/>
          <w:b/>
          <w:szCs w:val="21"/>
        </w:rPr>
        <w:t xml:space="preserve">     </w:t>
      </w:r>
      <w:r>
        <w:rPr>
          <w:rFonts w:hint="eastAsia" w:ascii="宋体" w:hAnsi="宋体"/>
          <w:b/>
          <w:szCs w:val="21"/>
          <w:lang w:val="en-US" w:eastAsia="zh-CN"/>
        </w:rPr>
        <w:t>五、</w:t>
      </w:r>
      <w:r>
        <w:rPr>
          <w:rFonts w:hint="eastAsia" w:ascii="宋体" w:hAnsi="宋体"/>
          <w:b/>
          <w:szCs w:val="24"/>
        </w:rPr>
        <w:t>可撤销的法律行为</w:t>
      </w:r>
    </w:p>
    <w:p w14:paraId="38286F77">
      <w:pPr>
        <w:spacing w:line="276" w:lineRule="auto"/>
        <w:ind w:firstLine="480"/>
        <w:rPr>
          <w:b/>
          <w:szCs w:val="21"/>
        </w:rPr>
      </w:pPr>
      <w:r>
        <w:rPr>
          <w:rFonts w:hint="eastAsia"/>
          <w:b/>
          <w:szCs w:val="21"/>
        </w:rPr>
        <w:t>（一）民事法律行为可撤销的原因</w:t>
      </w:r>
    </w:p>
    <w:p w14:paraId="31EF417F">
      <w:pPr>
        <w:spacing w:line="276" w:lineRule="auto"/>
        <w:ind w:firstLine="480"/>
        <w:rPr>
          <w:rFonts w:hint="eastAsia" w:eastAsia="宋体"/>
          <w:szCs w:val="21"/>
          <w:lang w:eastAsia="zh-CN"/>
        </w:rPr>
      </w:pPr>
      <w:r>
        <w:rPr>
          <w:rFonts w:hint="eastAsia" w:ascii="宋体" w:hAnsi="宋体"/>
          <w:szCs w:val="21"/>
        </w:rPr>
        <w:t>1.基于</w:t>
      </w:r>
      <w:r>
        <w:rPr>
          <w:rFonts w:hint="eastAsia"/>
          <w:szCs w:val="21"/>
          <w:u w:val="single"/>
        </w:rPr>
        <w:t>重大误解</w:t>
      </w:r>
      <w:r>
        <w:rPr>
          <w:rFonts w:hint="eastAsia"/>
          <w:szCs w:val="21"/>
        </w:rPr>
        <w:t>实施的民事法律行为，行为人有权请求撤销。</w:t>
      </w:r>
      <w:r>
        <w:rPr>
          <w:rFonts w:hint="eastAsia"/>
          <w:szCs w:val="21"/>
          <w:lang w:eastAsia="zh-CN"/>
        </w:rPr>
        <w:t>（</w:t>
      </w:r>
      <w:r>
        <w:rPr>
          <w:rFonts w:hint="eastAsia"/>
          <w:szCs w:val="21"/>
          <w:lang w:val="en-US" w:eastAsia="zh-CN"/>
        </w:rPr>
        <w:t>需要重大</w:t>
      </w:r>
      <w:r>
        <w:rPr>
          <w:rFonts w:hint="eastAsia"/>
          <w:szCs w:val="21"/>
          <w:lang w:eastAsia="zh-CN"/>
        </w:rPr>
        <w:t>）</w:t>
      </w:r>
    </w:p>
    <w:p w14:paraId="19BA57B6">
      <w:pPr>
        <w:spacing w:line="276" w:lineRule="auto"/>
        <w:ind w:firstLine="480"/>
        <w:rPr>
          <w:rFonts w:hint="eastAsia"/>
          <w:szCs w:val="21"/>
        </w:rPr>
      </w:pPr>
      <w:r>
        <w:rPr>
          <w:rFonts w:hint="eastAsia"/>
          <w:szCs w:val="21"/>
        </w:rPr>
        <w:t>行为人对行为的性质、对方当事人或者标的物的品种、质量、规格、价格、数量等产生错误认识，按照通常理解如果不发生该错误认识行为人就不会作出相应意思表示的，人民法院可以认定为民法典第一百四十七条规定的重大误解。</w:t>
      </w:r>
    </w:p>
    <w:p w14:paraId="5F6DDEF4">
      <w:pPr>
        <w:spacing w:line="276" w:lineRule="auto"/>
        <w:ind w:firstLine="420" w:firstLineChars="200"/>
        <w:rPr>
          <w:rFonts w:hint="eastAsia"/>
          <w:szCs w:val="21"/>
        </w:rPr>
      </w:pPr>
      <w:r>
        <w:rPr>
          <w:rFonts w:hint="eastAsia"/>
          <w:szCs w:val="21"/>
        </w:rPr>
        <w:t>行为人能够证明自己实施民事法律行为时存在重大误解，并请求撤销该民事法律行为的，人民法院依法予以支持；但是，根据交易习惯等认定行为人无权请求撤销的除外。</w:t>
      </w:r>
    </w:p>
    <w:p w14:paraId="1F1E38D4">
      <w:pPr>
        <w:spacing w:line="276" w:lineRule="auto"/>
        <w:ind w:firstLine="480"/>
        <w:rPr>
          <w:rFonts w:hint="eastAsia"/>
          <w:szCs w:val="21"/>
          <w:lang w:eastAsia="zh-CN"/>
        </w:rPr>
      </w:pPr>
      <w:r>
        <w:rPr>
          <w:rFonts w:hint="eastAsia"/>
          <w:szCs w:val="21"/>
        </w:rPr>
        <w:t>行为人以其意思表示存在第三人转达错误为由请求撤销民事法律行为的，适用本解释第十九条的规定。</w:t>
      </w:r>
      <w:r>
        <w:rPr>
          <w:rFonts w:hint="eastAsia"/>
          <w:szCs w:val="21"/>
          <w:lang w:eastAsia="zh-CN"/>
        </w:rPr>
        <w:t>（</w:t>
      </w:r>
      <w:r>
        <w:rPr>
          <w:rFonts w:hint="eastAsia"/>
          <w:color w:val="0000FF"/>
          <w:szCs w:val="21"/>
          <w:lang w:val="en-US" w:eastAsia="zh-CN"/>
        </w:rPr>
        <w:t>误传构成重大误解</w:t>
      </w:r>
      <w:r>
        <w:rPr>
          <w:rFonts w:hint="eastAsia"/>
          <w:szCs w:val="21"/>
          <w:lang w:eastAsia="zh-CN"/>
        </w:rPr>
        <w:t>）</w:t>
      </w:r>
    </w:p>
    <w:p w14:paraId="6B4B9AB3">
      <w:pPr>
        <w:spacing w:line="276" w:lineRule="auto"/>
        <w:ind w:firstLine="480"/>
        <w:rPr>
          <w:rFonts w:hint="default"/>
          <w:color w:val="0000FF"/>
          <w:szCs w:val="21"/>
          <w:lang w:val="en-US" w:eastAsia="zh-CN"/>
        </w:rPr>
      </w:pPr>
      <w:r>
        <w:rPr>
          <w:rFonts w:hint="eastAsia"/>
          <w:color w:val="0000FF"/>
          <w:szCs w:val="21"/>
          <w:lang w:val="en-US" w:eastAsia="zh-CN"/>
        </w:rPr>
        <w:t>动机错误原则不可以撤销</w:t>
      </w:r>
    </w:p>
    <w:p w14:paraId="23A86C7C">
      <w:pPr>
        <w:numPr>
          <w:ilvl w:val="0"/>
          <w:numId w:val="2"/>
        </w:numPr>
        <w:spacing w:line="276" w:lineRule="auto"/>
        <w:ind w:firstLine="480"/>
        <w:rPr>
          <w:rFonts w:hint="eastAsia"/>
          <w:szCs w:val="21"/>
        </w:rPr>
      </w:pPr>
      <w:r>
        <w:rPr>
          <w:rFonts w:hint="eastAsia" w:ascii="宋体" w:hAnsi="宋体"/>
          <w:szCs w:val="21"/>
        </w:rPr>
        <w:t>因</w:t>
      </w:r>
      <w:r>
        <w:rPr>
          <w:rFonts w:hint="eastAsia" w:ascii="宋体" w:hAnsi="宋体"/>
          <w:szCs w:val="21"/>
          <w:u w:val="single"/>
        </w:rPr>
        <w:t>受欺诈</w:t>
      </w:r>
      <w:r>
        <w:rPr>
          <w:rFonts w:hint="eastAsia" w:ascii="宋体" w:hAnsi="宋体"/>
          <w:szCs w:val="21"/>
        </w:rPr>
        <w:t>而撤销。在双方当事人间，一方以欺诈手段使对方在违背真实意思情况下实施民事法律行为</w:t>
      </w:r>
      <w:r>
        <w:rPr>
          <w:rFonts w:hint="eastAsia"/>
          <w:szCs w:val="21"/>
        </w:rPr>
        <w:t>的，受欺诈方有权请求撤销。如</w:t>
      </w:r>
      <w:r>
        <w:rPr>
          <w:rFonts w:hint="eastAsia"/>
          <w:color w:val="FF0000"/>
          <w:szCs w:val="21"/>
        </w:rPr>
        <w:t>系</w:t>
      </w:r>
      <w:r>
        <w:rPr>
          <w:rFonts w:hint="eastAsia"/>
          <w:color w:val="FF0000"/>
          <w:szCs w:val="21"/>
          <w:u w:val="single"/>
        </w:rPr>
        <w:t>第三人实施欺诈行为</w:t>
      </w:r>
      <w:r>
        <w:rPr>
          <w:rFonts w:hint="eastAsia"/>
          <w:color w:val="FF0000"/>
          <w:szCs w:val="21"/>
        </w:rPr>
        <w:t>，使当事人一方作出了不真实的意思表示，则只有在对方</w:t>
      </w:r>
      <w:r>
        <w:rPr>
          <w:rFonts w:hint="eastAsia"/>
          <w:color w:val="FF0000"/>
          <w:szCs w:val="21"/>
          <w:u w:val="single"/>
        </w:rPr>
        <w:t>知道或应当知道</w:t>
      </w:r>
      <w:r>
        <w:rPr>
          <w:rFonts w:hint="eastAsia"/>
          <w:color w:val="FF0000"/>
          <w:szCs w:val="21"/>
        </w:rPr>
        <w:t>该欺诈行为时</w:t>
      </w:r>
      <w:r>
        <w:rPr>
          <w:rFonts w:hint="eastAsia"/>
          <w:szCs w:val="21"/>
        </w:rPr>
        <w:t>，受欺诈方才可请求撤销。</w:t>
      </w:r>
      <w:r>
        <w:rPr>
          <w:rFonts w:hint="eastAsia"/>
          <w:color w:val="0000FF"/>
          <w:szCs w:val="21"/>
          <w:lang w:eastAsia="zh-CN"/>
        </w:rPr>
        <w:t>（</w:t>
      </w:r>
      <w:r>
        <w:rPr>
          <w:rFonts w:hint="eastAsia"/>
          <w:color w:val="0000FF"/>
          <w:szCs w:val="21"/>
          <w:lang w:val="en-US" w:eastAsia="zh-CN"/>
        </w:rPr>
        <w:t>企业内部员工不算第三人</w:t>
      </w:r>
      <w:r>
        <w:rPr>
          <w:rFonts w:hint="eastAsia"/>
          <w:color w:val="0000FF"/>
          <w:szCs w:val="21"/>
          <w:lang w:eastAsia="zh-CN"/>
        </w:rPr>
        <w:t>）</w:t>
      </w:r>
    </w:p>
    <w:p w14:paraId="1CE69BCF">
      <w:pPr>
        <w:numPr>
          <w:ilvl w:val="0"/>
          <w:numId w:val="0"/>
        </w:numPr>
        <w:spacing w:line="276" w:lineRule="auto"/>
        <w:ind w:firstLine="420" w:firstLineChars="200"/>
        <w:rPr>
          <w:rFonts w:hint="eastAsia"/>
          <w:szCs w:val="21"/>
        </w:rPr>
      </w:pPr>
      <w:r>
        <w:rPr>
          <w:rFonts w:hint="eastAsia"/>
          <w:szCs w:val="21"/>
        </w:rPr>
        <w:t>故意告知虚假情况，或者负有告知义务的人故意隐瞒真实情况，致使当事人基于错误认识作出意思表示的，人民法院可以认定为民法典第一百四十八条、第一百四十九条规定的欺诈。</w:t>
      </w:r>
    </w:p>
    <w:p w14:paraId="7FAF6A79">
      <w:pPr>
        <w:spacing w:line="276" w:lineRule="auto"/>
        <w:ind w:firstLine="480"/>
        <w:rPr>
          <w:rFonts w:hint="eastAsia"/>
          <w:szCs w:val="21"/>
        </w:rPr>
      </w:pPr>
      <w:r>
        <w:rPr>
          <w:rFonts w:hint="eastAsia" w:ascii="宋体" w:hAnsi="宋体"/>
          <w:szCs w:val="21"/>
        </w:rPr>
        <w:t>3.因</w:t>
      </w:r>
      <w:r>
        <w:rPr>
          <w:rFonts w:hint="eastAsia" w:ascii="宋体" w:hAnsi="宋体"/>
          <w:szCs w:val="21"/>
          <w:u w:val="single"/>
        </w:rPr>
        <w:t>受胁迫</w:t>
      </w:r>
      <w:r>
        <w:rPr>
          <w:rFonts w:hint="eastAsia"/>
          <w:szCs w:val="21"/>
        </w:rPr>
        <w:t>而撤销。无论胁迫来自相对方，还是来自第三方，受胁迫人均可请求撤销。</w:t>
      </w:r>
    </w:p>
    <w:p w14:paraId="4457BD6C">
      <w:pPr>
        <w:spacing w:line="276" w:lineRule="auto"/>
        <w:ind w:firstLine="480"/>
        <w:rPr>
          <w:rFonts w:hint="eastAsia"/>
          <w:szCs w:val="21"/>
          <w:lang w:val="en-US" w:eastAsia="zh-CN"/>
        </w:rPr>
      </w:pPr>
      <w:r>
        <w:rPr>
          <w:rFonts w:hint="eastAsia"/>
          <w:szCs w:val="21"/>
          <w:lang w:val="en-US" w:eastAsia="zh-CN"/>
        </w:rPr>
        <w:t>受欺诈、受胁迫关键在于欺诈、胁迫行为对对方当事人意思表示的不当干涉，而非欺诈、胁迫的不法性</w:t>
      </w:r>
    </w:p>
    <w:p w14:paraId="21D80B3D">
      <w:pPr>
        <w:spacing w:line="276" w:lineRule="auto"/>
        <w:ind w:firstLine="480"/>
        <w:rPr>
          <w:rFonts w:hint="eastAsia" w:ascii="宋体" w:hAnsi="宋体"/>
          <w:color w:val="000000"/>
          <w:szCs w:val="21"/>
        </w:rPr>
      </w:pPr>
      <w:r>
        <w:rPr>
          <w:rFonts w:hint="eastAsia"/>
          <w:szCs w:val="21"/>
          <w:lang w:val="en-US" w:eastAsia="zh-CN"/>
        </w:rPr>
        <w:t>欺诈和胁迫区分：</w:t>
      </w:r>
      <w:r>
        <w:rPr>
          <w:rFonts w:hint="eastAsia" w:ascii="宋体" w:hAnsi="宋体"/>
          <w:color w:val="000000"/>
          <w:szCs w:val="21"/>
        </w:rPr>
        <w:t>受欺诈而作出意思表示的，系行为人因他人欺诈而陷入判断错误，从而作出表示；而受胁迫系行为人在他人威胁之下陷入恐慌，因担心遭到不利后果而作出表示。</w:t>
      </w:r>
    </w:p>
    <w:p w14:paraId="11D8BF5A">
      <w:pPr>
        <w:spacing w:line="276" w:lineRule="auto"/>
        <w:ind w:firstLine="480"/>
        <w:rPr>
          <w:rFonts w:hint="default" w:ascii="宋体" w:hAnsi="宋体"/>
          <w:color w:val="000000"/>
          <w:szCs w:val="21"/>
          <w:lang w:val="en-US" w:eastAsia="zh-CN"/>
        </w:rPr>
      </w:pPr>
      <w:r>
        <w:rPr>
          <w:rFonts w:hint="default" w:ascii="宋体" w:hAnsi="宋体"/>
          <w:color w:val="000000"/>
          <w:szCs w:val="21"/>
          <w:lang w:val="en-US" w:eastAsia="zh-CN"/>
        </w:rPr>
        <w:t>以给自然人及其近亲属等的人身权利、财产权利以及其他合法权益造成损害或者以给法人、非法人组织的名誉、荣誉、财产权益等造成损害为要挟，迫使其基于恐惧心理作出意思表示的，人民法院可以认定为民法典第一百五十条规定的胁迫。</w:t>
      </w:r>
    </w:p>
    <w:p w14:paraId="78907870">
      <w:pPr>
        <w:spacing w:line="276" w:lineRule="auto"/>
        <w:ind w:firstLine="480"/>
        <w:rPr>
          <w:rFonts w:hint="default" w:ascii="宋体" w:hAnsi="宋体"/>
          <w:color w:val="0000FF"/>
          <w:szCs w:val="21"/>
          <w:lang w:val="en-US" w:eastAsia="zh-CN"/>
        </w:rPr>
      </w:pPr>
      <w:r>
        <w:rPr>
          <w:rFonts w:hint="eastAsia" w:ascii="宋体" w:hAnsi="宋体"/>
          <w:color w:val="0000FF"/>
          <w:szCs w:val="21"/>
          <w:lang w:val="en-US" w:eastAsia="zh-CN"/>
        </w:rPr>
        <w:t>胁迫可归责性更重，第三人胁迫不要求相对人知情</w:t>
      </w:r>
    </w:p>
    <w:p w14:paraId="42F4E098">
      <w:pPr>
        <w:spacing w:line="276" w:lineRule="auto"/>
        <w:ind w:firstLine="420" w:firstLineChars="200"/>
        <w:rPr>
          <w:rFonts w:hint="default" w:ascii="宋体" w:hAnsi="宋体" w:eastAsia="宋体"/>
          <w:color w:val="FF0000"/>
          <w:szCs w:val="21"/>
          <w:lang w:val="en-US" w:eastAsia="zh-CN"/>
        </w:rPr>
      </w:pPr>
      <w:r>
        <w:rPr>
          <w:rFonts w:hint="eastAsia" w:ascii="宋体" w:hAnsi="宋体"/>
          <w:szCs w:val="21"/>
        </w:rPr>
        <w:t>4.因</w:t>
      </w:r>
      <w:r>
        <w:rPr>
          <w:rFonts w:hint="eastAsia" w:ascii="宋体" w:hAnsi="宋体"/>
          <w:szCs w:val="21"/>
          <w:u w:val="single"/>
        </w:rPr>
        <w:t>乘人之危而导致显失公平</w:t>
      </w:r>
      <w:r>
        <w:rPr>
          <w:rFonts w:hint="eastAsia" w:ascii="宋体" w:hAnsi="宋体"/>
          <w:szCs w:val="21"/>
        </w:rPr>
        <w:t>的撤销。 一方利用对方处于危困状态、缺乏判断能力等情形，致使民事法律行为成立时显失公平的，受损害方有权请求人民法院或者仲裁机构予以撤销。</w:t>
      </w:r>
      <w:r>
        <w:rPr>
          <w:rFonts w:hint="eastAsia" w:ascii="宋体" w:hAnsi="宋体"/>
          <w:color w:val="FF0000"/>
          <w:szCs w:val="21"/>
          <w:lang w:val="en-US" w:eastAsia="zh-CN"/>
        </w:rPr>
        <w:t>需要同时满足“</w:t>
      </w:r>
      <w:r>
        <w:rPr>
          <w:rFonts w:hint="eastAsia" w:ascii="宋体" w:hAnsi="宋体"/>
          <w:color w:val="FF0000"/>
          <w:szCs w:val="21"/>
        </w:rPr>
        <w:t>利用对方处于危困状态、缺乏判断能力</w:t>
      </w:r>
      <w:r>
        <w:rPr>
          <w:rFonts w:hint="eastAsia" w:ascii="宋体" w:hAnsi="宋体"/>
          <w:color w:val="FF0000"/>
          <w:szCs w:val="21"/>
          <w:lang w:val="en-US" w:eastAsia="zh-CN"/>
        </w:rPr>
        <w:t>”和“</w:t>
      </w:r>
      <w:r>
        <w:rPr>
          <w:rFonts w:hint="eastAsia" w:ascii="宋体" w:hAnsi="宋体"/>
          <w:color w:val="FF0000"/>
          <w:szCs w:val="21"/>
        </w:rPr>
        <w:t>民事法律行为成立时显失公平</w:t>
      </w:r>
      <w:r>
        <w:rPr>
          <w:rFonts w:hint="eastAsia" w:ascii="宋体" w:hAnsi="宋体"/>
          <w:color w:val="FF0000"/>
          <w:szCs w:val="21"/>
          <w:lang w:eastAsia="zh-CN"/>
        </w:rPr>
        <w:t>（</w:t>
      </w:r>
      <w:r>
        <w:rPr>
          <w:rFonts w:hint="eastAsia" w:ascii="宋体" w:hAnsi="宋体"/>
          <w:color w:val="FF0000"/>
          <w:szCs w:val="21"/>
          <w:lang w:val="en-US" w:eastAsia="zh-CN"/>
        </w:rPr>
        <w:t>给付与对待给付不均衡</w:t>
      </w:r>
      <w:r>
        <w:rPr>
          <w:rFonts w:hint="eastAsia" w:ascii="宋体" w:hAnsi="宋体"/>
          <w:color w:val="FF0000"/>
          <w:szCs w:val="21"/>
          <w:lang w:eastAsia="zh-CN"/>
        </w:rPr>
        <w:t>）</w:t>
      </w:r>
      <w:r>
        <w:rPr>
          <w:rFonts w:hint="eastAsia" w:ascii="宋体" w:hAnsi="宋体"/>
          <w:color w:val="FF0000"/>
          <w:szCs w:val="21"/>
          <w:lang w:val="en-US" w:eastAsia="zh-CN"/>
        </w:rPr>
        <w:t>”</w:t>
      </w:r>
    </w:p>
    <w:p w14:paraId="6109B052">
      <w:pPr>
        <w:spacing w:line="276" w:lineRule="auto"/>
        <w:ind w:firstLine="480"/>
        <w:rPr>
          <w:b/>
          <w:szCs w:val="21"/>
        </w:rPr>
      </w:pPr>
      <w:r>
        <w:rPr>
          <w:rFonts w:hint="eastAsia"/>
          <w:b/>
          <w:szCs w:val="21"/>
        </w:rPr>
        <w:t>（二）撤销权</w:t>
      </w:r>
    </w:p>
    <w:p w14:paraId="0C23DF4A">
      <w:pPr>
        <w:spacing w:line="276" w:lineRule="auto"/>
        <w:ind w:firstLine="480"/>
        <w:rPr>
          <w:rFonts w:ascii="宋体" w:hAnsi="宋体"/>
          <w:szCs w:val="21"/>
        </w:rPr>
      </w:pPr>
      <w:r>
        <w:rPr>
          <w:rFonts w:hint="eastAsia" w:ascii="宋体" w:hAnsi="宋体"/>
          <w:szCs w:val="21"/>
        </w:rPr>
        <w:t>1.可撤销法律行为的直接效果就是产生撤销权。</w:t>
      </w:r>
    </w:p>
    <w:p w14:paraId="49213414">
      <w:pPr>
        <w:spacing w:line="276" w:lineRule="auto"/>
        <w:ind w:firstLine="480"/>
        <w:rPr>
          <w:rFonts w:ascii="宋体" w:hAnsi="宋体"/>
          <w:color w:val="FF0000"/>
          <w:szCs w:val="21"/>
        </w:rPr>
      </w:pPr>
      <w:r>
        <w:rPr>
          <w:rFonts w:hint="eastAsia" w:ascii="宋体" w:hAnsi="宋体"/>
          <w:szCs w:val="21"/>
        </w:rPr>
        <w:t>2.撤销权的享有者：</w:t>
      </w:r>
      <w:r>
        <w:rPr>
          <w:rFonts w:hint="eastAsia" w:ascii="宋体" w:hAnsi="宋体"/>
          <w:color w:val="FF0000"/>
          <w:szCs w:val="21"/>
        </w:rPr>
        <w:t>受欺诈者、受胁迫者、发生重大误解者、因显失公平而遭受损失者。</w:t>
      </w:r>
    </w:p>
    <w:p w14:paraId="4CE2249B">
      <w:pPr>
        <w:spacing w:line="276" w:lineRule="auto"/>
        <w:ind w:firstLine="480"/>
        <w:rPr>
          <w:rFonts w:ascii="宋体" w:hAnsi="宋体"/>
          <w:szCs w:val="21"/>
        </w:rPr>
      </w:pPr>
      <w:r>
        <w:rPr>
          <w:rFonts w:hint="eastAsia" w:ascii="宋体" w:hAnsi="宋体"/>
          <w:szCs w:val="21"/>
        </w:rPr>
        <w:t>3.</w:t>
      </w:r>
      <w:r>
        <w:rPr>
          <w:rFonts w:hint="eastAsia" w:ascii="宋体" w:hAnsi="宋体"/>
          <w:szCs w:val="21"/>
          <w:u w:val="single"/>
        </w:rPr>
        <w:t>撤销权必须依诉行使</w:t>
      </w:r>
      <w:r>
        <w:rPr>
          <w:rFonts w:hint="eastAsia" w:ascii="宋体" w:hAnsi="宋体"/>
          <w:szCs w:val="21"/>
        </w:rPr>
        <w:t>，即撤销权人只有通过向法院</w:t>
      </w:r>
      <w:r>
        <w:rPr>
          <w:rFonts w:hint="eastAsia" w:ascii="宋体" w:hAnsi="宋体"/>
          <w:color w:val="FF0000"/>
          <w:szCs w:val="21"/>
        </w:rPr>
        <w:t>起诉或向仲裁机构提出申请</w:t>
      </w:r>
      <w:r>
        <w:rPr>
          <w:rFonts w:hint="eastAsia" w:ascii="宋体" w:hAnsi="宋体"/>
          <w:szCs w:val="21"/>
        </w:rPr>
        <w:t>才能发生撤销的效果。</w:t>
      </w:r>
    </w:p>
    <w:p w14:paraId="3DFBBA29">
      <w:pPr>
        <w:spacing w:line="276" w:lineRule="auto"/>
        <w:ind w:firstLine="480"/>
        <w:rPr>
          <w:rFonts w:hint="eastAsia" w:ascii="宋体" w:hAnsi="宋体"/>
          <w:szCs w:val="21"/>
        </w:rPr>
      </w:pPr>
      <w:r>
        <w:rPr>
          <w:rFonts w:hint="eastAsia" w:ascii="宋体" w:hAnsi="宋体"/>
          <w:szCs w:val="21"/>
        </w:rPr>
        <w:t>4.撤销权性质上属于形成权，其行使须受</w:t>
      </w:r>
      <w:r>
        <w:rPr>
          <w:rFonts w:hint="eastAsia" w:ascii="宋体" w:hAnsi="宋体"/>
          <w:szCs w:val="21"/>
          <w:u w:val="single"/>
        </w:rPr>
        <w:t>除斥期间</w:t>
      </w:r>
      <w:r>
        <w:rPr>
          <w:rFonts w:hint="eastAsia" w:ascii="宋体" w:hAnsi="宋体"/>
          <w:szCs w:val="21"/>
        </w:rPr>
        <w:t>的限制。</w:t>
      </w:r>
    </w:p>
    <w:p w14:paraId="744D2FEC">
      <w:pPr>
        <w:spacing w:line="276" w:lineRule="auto"/>
        <w:ind w:firstLine="480"/>
        <w:rPr>
          <w:rFonts w:ascii="宋体" w:hAnsi="宋体"/>
          <w:szCs w:val="21"/>
        </w:rPr>
      </w:pPr>
      <w:r>
        <w:rPr>
          <w:rFonts w:hint="eastAsia" w:ascii="宋体" w:hAnsi="宋体"/>
          <w:szCs w:val="21"/>
        </w:rPr>
        <w:t>下列情形下，撤销权消灭：（1）当事人自知道或应当知道撤销事由之日起1年内、重大误解的当事人自知道或应当知道撤销事由之日起</w:t>
      </w:r>
      <w:r>
        <w:rPr>
          <w:rFonts w:hint="eastAsia" w:ascii="宋体" w:hAnsi="宋体"/>
          <w:color w:val="FF0000"/>
          <w:szCs w:val="21"/>
        </w:rPr>
        <w:t>3个月</w:t>
      </w:r>
      <w:r>
        <w:rPr>
          <w:rFonts w:hint="eastAsia" w:ascii="宋体" w:hAnsi="宋体"/>
          <w:color w:val="FF0000"/>
          <w:szCs w:val="21"/>
          <w:lang w:eastAsia="zh-CN"/>
        </w:rPr>
        <w:t>（</w:t>
      </w:r>
      <w:r>
        <w:rPr>
          <w:rFonts w:hint="eastAsia" w:ascii="宋体" w:hAnsi="宋体"/>
          <w:color w:val="FF0000"/>
          <w:szCs w:val="21"/>
          <w:lang w:val="en-US" w:eastAsia="zh-CN"/>
        </w:rPr>
        <w:t>改为90天</w:t>
      </w:r>
      <w:r>
        <w:rPr>
          <w:rFonts w:hint="eastAsia" w:ascii="宋体" w:hAnsi="宋体"/>
          <w:color w:val="FF0000"/>
          <w:szCs w:val="21"/>
          <w:lang w:eastAsia="zh-CN"/>
        </w:rPr>
        <w:t>）</w:t>
      </w:r>
      <w:r>
        <w:rPr>
          <w:rFonts w:hint="eastAsia" w:ascii="宋体" w:hAnsi="宋体"/>
          <w:szCs w:val="21"/>
        </w:rPr>
        <w:t>内未行使；（2）当事人受胁迫的，</w:t>
      </w:r>
      <w:r>
        <w:rPr>
          <w:rFonts w:hint="eastAsia" w:ascii="宋体" w:hAnsi="宋体"/>
          <w:color w:val="FF0000"/>
          <w:szCs w:val="21"/>
        </w:rPr>
        <w:t>自胁迫行为终止之日起</w:t>
      </w:r>
      <w:r>
        <w:rPr>
          <w:rFonts w:hint="eastAsia" w:ascii="宋体" w:hAnsi="宋体"/>
          <w:color w:val="FF0000"/>
          <w:szCs w:val="21"/>
          <w:lang w:eastAsia="zh-CN"/>
        </w:rPr>
        <w:t>（</w:t>
      </w:r>
      <w:r>
        <w:rPr>
          <w:rFonts w:hint="eastAsia" w:ascii="宋体" w:hAnsi="宋体"/>
          <w:color w:val="FF0000"/>
          <w:szCs w:val="21"/>
          <w:lang w:val="en-US" w:eastAsia="zh-CN"/>
        </w:rPr>
        <w:t>如打黑除恶结束</w:t>
      </w:r>
      <w:r>
        <w:rPr>
          <w:rFonts w:hint="eastAsia" w:ascii="宋体" w:hAnsi="宋体"/>
          <w:color w:val="FF0000"/>
          <w:szCs w:val="21"/>
          <w:lang w:eastAsia="zh-CN"/>
        </w:rPr>
        <w:t>）</w:t>
      </w:r>
      <w:r>
        <w:rPr>
          <w:rFonts w:hint="eastAsia" w:ascii="宋体" w:hAnsi="宋体"/>
          <w:szCs w:val="21"/>
        </w:rPr>
        <w:t>的一年内未行使；（3）当事人自民事法律行为发生之日起五年内没有行使撤销权。</w:t>
      </w:r>
    </w:p>
    <w:p w14:paraId="22CDFAF4">
      <w:pPr>
        <w:spacing w:line="276" w:lineRule="auto"/>
        <w:ind w:firstLine="480"/>
        <w:rPr>
          <w:rFonts w:ascii="宋体" w:hAnsi="宋体" w:cs="仿宋"/>
          <w:b/>
          <w:szCs w:val="21"/>
        </w:rPr>
      </w:pPr>
      <w:r>
        <w:rPr>
          <w:rFonts w:hint="eastAsia" w:ascii="宋体" w:hAnsi="宋体"/>
          <w:szCs w:val="21"/>
        </w:rPr>
        <w:t>5.</w:t>
      </w:r>
      <w:r>
        <w:rPr>
          <w:rFonts w:hint="eastAsia"/>
          <w:szCs w:val="21"/>
        </w:rPr>
        <w:t>可撤销法律行为一经撤销，其法律后果与无效相似。</w:t>
      </w:r>
    </w:p>
    <w:p w14:paraId="4CA1652F">
      <w:pPr>
        <w:rPr>
          <w:rFonts w:hint="eastAsia" w:ascii="汉仪书宋二简" w:cs="Arial"/>
          <w:color w:val="0000FF"/>
          <w:lang w:eastAsia="zh-CN"/>
        </w:rPr>
      </w:pPr>
    </w:p>
    <w:p w14:paraId="121B2FE3">
      <w:pPr>
        <w:pStyle w:val="2"/>
        <w:tabs>
          <w:tab w:val="left" w:pos="420"/>
        </w:tabs>
        <w:spacing w:before="0" w:after="0" w:line="384" w:lineRule="exact"/>
        <w:rPr>
          <w:rFonts w:hint="eastAsia" w:eastAsia="汉仪大宋简"/>
          <w:b w:val="0"/>
          <w:sz w:val="26"/>
        </w:rPr>
      </w:pPr>
      <w:r>
        <w:rPr>
          <w:rFonts w:hint="eastAsia" w:eastAsia="汉仪大宋简"/>
          <w:b w:val="0"/>
          <w:sz w:val="26"/>
          <w:lang w:val="en-US" w:eastAsia="zh-CN"/>
        </w:rPr>
        <w:t>六、</w:t>
      </w:r>
      <w:r>
        <w:rPr>
          <w:rFonts w:eastAsia="汉仪大宋简"/>
          <w:b w:val="0"/>
          <w:sz w:val="26"/>
        </w:rPr>
        <w:t>效</w:t>
      </w:r>
      <w:bookmarkStart w:id="21" w:name="_GoBack"/>
      <w:bookmarkEnd w:id="21"/>
      <w:r>
        <w:rPr>
          <w:rFonts w:eastAsia="汉仪大宋简"/>
          <w:b w:val="0"/>
          <w:sz w:val="26"/>
        </w:rPr>
        <w:t>力待定的民事法律行为</w:t>
      </w:r>
    </w:p>
    <w:p w14:paraId="46AE7695">
      <w:pPr>
        <w:spacing w:line="384" w:lineRule="exact"/>
        <w:ind w:firstLine="420" w:firstLineChars="200"/>
        <w:rPr>
          <w:rFonts w:hint="eastAsia" w:ascii="汉仪书宋二简" w:hAnsi="汉仪书宋二简" w:eastAsia="汉仪书宋二简" w:cs="汉仪书宋二简"/>
          <w:color w:val="auto"/>
          <w:kern w:val="0"/>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1550"/>
        <w:gridCol w:w="1842"/>
        <w:gridCol w:w="5113"/>
      </w:tblGrid>
      <w:tr w14:paraId="2D36427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50" w:type="dxa"/>
            <w:vMerge w:val="restart"/>
            <w:vAlign w:val="center"/>
          </w:tcPr>
          <w:p w14:paraId="2E080693">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效力待定事由</w:t>
            </w:r>
          </w:p>
        </w:tc>
        <w:tc>
          <w:tcPr>
            <w:tcW w:w="6955" w:type="dxa"/>
            <w:gridSpan w:val="2"/>
            <w:vAlign w:val="center"/>
          </w:tcPr>
          <w:p w14:paraId="04F10415">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w:t>
            </w:r>
            <w:r>
              <w:rPr>
                <w:rFonts w:ascii="汉仪书宋一简" w:hAnsi="Times New Roman" w:eastAsia="汉仪书宋一简" w:cs="Times New Roman"/>
                <w:sz w:val="20"/>
                <w:szCs w:val="20"/>
              </w:rPr>
              <w:t>限制行为能力人实施的超越其</w:t>
            </w:r>
            <w:r>
              <w:rPr>
                <w:rFonts w:hint="eastAsia" w:ascii="汉仪书宋一简" w:hAnsi="Times New Roman" w:eastAsia="汉仪书宋一简" w:cs="Times New Roman"/>
                <w:sz w:val="20"/>
                <w:szCs w:val="20"/>
              </w:rPr>
              <w:t>民事</w:t>
            </w:r>
            <w:r>
              <w:rPr>
                <w:rFonts w:ascii="汉仪书宋一简" w:hAnsi="Times New Roman" w:eastAsia="汉仪书宋一简" w:cs="Times New Roman"/>
                <w:sz w:val="20"/>
                <w:szCs w:val="20"/>
              </w:rPr>
              <w:t>行为能力的民事法律行为</w:t>
            </w:r>
            <w:r>
              <w:rPr>
                <w:rFonts w:hint="eastAsia" w:ascii="汉仪书宋一简" w:hAnsi="Times New Roman" w:eastAsia="汉仪书宋一简" w:cs="Times New Roman"/>
                <w:sz w:val="20"/>
                <w:szCs w:val="20"/>
              </w:rPr>
              <w:t>（民145）</w:t>
            </w:r>
          </w:p>
        </w:tc>
      </w:tr>
      <w:tr w14:paraId="2166585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50" w:type="dxa"/>
            <w:vMerge w:val="continue"/>
            <w:vAlign w:val="center"/>
          </w:tcPr>
          <w:p w14:paraId="15A0A8D9">
            <w:pPr>
              <w:spacing w:before="42" w:beforeLines="10" w:after="84" w:afterLines="20" w:line="280" w:lineRule="exact"/>
              <w:jc w:val="center"/>
              <w:rPr>
                <w:rFonts w:ascii="汉仪书宋一简" w:hAnsi="Times New Roman" w:eastAsia="汉仪书宋一简" w:cs="Times New Roman"/>
                <w:sz w:val="20"/>
                <w:szCs w:val="20"/>
              </w:rPr>
            </w:pPr>
          </w:p>
        </w:tc>
        <w:tc>
          <w:tcPr>
            <w:tcW w:w="6955" w:type="dxa"/>
            <w:gridSpan w:val="2"/>
            <w:vAlign w:val="center"/>
          </w:tcPr>
          <w:p w14:paraId="4F7A4999">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w:t>
            </w:r>
            <w:r>
              <w:rPr>
                <w:rFonts w:ascii="汉仪书宋一简" w:hAnsi="Times New Roman" w:eastAsia="汉仪书宋一简" w:cs="Times New Roman"/>
                <w:sz w:val="20"/>
                <w:szCs w:val="20"/>
              </w:rPr>
              <w:t>狭义的无权代理行为</w:t>
            </w:r>
            <w:r>
              <w:rPr>
                <w:rFonts w:hint="eastAsia" w:ascii="汉仪书宋一简" w:hAnsi="Times New Roman" w:eastAsia="汉仪书宋一简" w:cs="Times New Roman"/>
                <w:sz w:val="20"/>
                <w:szCs w:val="20"/>
              </w:rPr>
              <w:t>（民171）</w:t>
            </w:r>
          </w:p>
        </w:tc>
      </w:tr>
      <w:tr w14:paraId="024AE9F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50" w:type="dxa"/>
            <w:vMerge w:val="continue"/>
            <w:vAlign w:val="center"/>
          </w:tcPr>
          <w:p w14:paraId="6E57A857">
            <w:pPr>
              <w:spacing w:before="42" w:beforeLines="10" w:after="84" w:afterLines="20" w:line="280" w:lineRule="exact"/>
              <w:jc w:val="center"/>
              <w:rPr>
                <w:rFonts w:ascii="汉仪书宋一简" w:hAnsi="Times New Roman" w:eastAsia="汉仪书宋一简" w:cs="Times New Roman"/>
                <w:sz w:val="20"/>
                <w:szCs w:val="20"/>
              </w:rPr>
            </w:pPr>
          </w:p>
        </w:tc>
        <w:tc>
          <w:tcPr>
            <w:tcW w:w="6955" w:type="dxa"/>
            <w:gridSpan w:val="2"/>
            <w:vAlign w:val="center"/>
          </w:tcPr>
          <w:p w14:paraId="33E20E4A">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w:t>
            </w:r>
            <w:r>
              <w:rPr>
                <w:rFonts w:ascii="汉仪书宋一简" w:hAnsi="Times New Roman" w:eastAsia="汉仪书宋一简" w:cs="Times New Roman"/>
                <w:sz w:val="20"/>
                <w:szCs w:val="20"/>
              </w:rPr>
              <w:t>无权处分行为</w:t>
            </w:r>
            <w:r>
              <w:rPr>
                <w:rFonts w:hint="eastAsia" w:ascii="汉仪书宋一简" w:hAnsi="Times New Roman" w:eastAsia="汉仪书宋一简" w:cs="Times New Roman"/>
                <w:sz w:val="20"/>
                <w:szCs w:val="20"/>
              </w:rPr>
              <w:t>（民法典合同编通则解释19）</w:t>
            </w:r>
          </w:p>
        </w:tc>
      </w:tr>
      <w:tr w14:paraId="42E7AE5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50" w:type="dxa"/>
            <w:vMerge w:val="continue"/>
            <w:vAlign w:val="center"/>
          </w:tcPr>
          <w:p w14:paraId="0EFDEA8B">
            <w:pPr>
              <w:spacing w:before="42" w:beforeLines="10" w:after="84" w:afterLines="20" w:line="280" w:lineRule="exact"/>
              <w:jc w:val="center"/>
              <w:rPr>
                <w:rFonts w:ascii="汉仪书宋一简" w:hAnsi="Times New Roman" w:eastAsia="汉仪书宋一简" w:cs="Times New Roman"/>
                <w:sz w:val="20"/>
                <w:szCs w:val="20"/>
              </w:rPr>
            </w:pPr>
          </w:p>
        </w:tc>
        <w:tc>
          <w:tcPr>
            <w:tcW w:w="6955" w:type="dxa"/>
            <w:gridSpan w:val="2"/>
            <w:vAlign w:val="center"/>
          </w:tcPr>
          <w:p w14:paraId="3E1B931E">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w:t>
            </w:r>
            <w:r>
              <w:rPr>
                <w:rFonts w:ascii="汉仪书宋一简" w:hAnsi="Times New Roman" w:eastAsia="汉仪书宋一简" w:cs="Times New Roman"/>
                <w:sz w:val="20"/>
                <w:szCs w:val="20"/>
              </w:rPr>
              <w:t>债务人与第三人达成的债务承担协议</w:t>
            </w:r>
            <w:r>
              <w:rPr>
                <w:rFonts w:hint="eastAsia" w:ascii="汉仪书宋一简" w:hAnsi="Times New Roman" w:eastAsia="汉仪书宋一简" w:cs="Times New Roman"/>
                <w:sz w:val="20"/>
                <w:szCs w:val="20"/>
              </w:rPr>
              <w:t>（民551）</w:t>
            </w:r>
          </w:p>
        </w:tc>
      </w:tr>
      <w:tr w14:paraId="0A09B56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50" w:type="dxa"/>
            <w:vMerge w:val="restart"/>
            <w:vAlign w:val="center"/>
          </w:tcPr>
          <w:p w14:paraId="4D18A556">
            <w:pPr>
              <w:spacing w:before="42" w:beforeLines="10" w:after="84" w:afterLines="20" w:line="280" w:lineRule="exact"/>
              <w:jc w:val="center"/>
              <w:rPr>
                <w:rFonts w:ascii="汉仪书宋一简" w:hAnsi="Times New Roman" w:eastAsia="汉仪书宋一简" w:cs="Times New Roman"/>
                <w:sz w:val="20"/>
                <w:szCs w:val="20"/>
              </w:rPr>
            </w:pPr>
            <w:r>
              <w:rPr>
                <w:rFonts w:hint="eastAsia" w:ascii="汉仪中黑简" w:hAnsi="Times New Roman" w:eastAsia="汉仪中黑简" w:cs="Times New Roman"/>
                <w:sz w:val="20"/>
                <w:szCs w:val="20"/>
              </w:rPr>
              <w:t>无权处分</w:t>
            </w:r>
          </w:p>
        </w:tc>
        <w:tc>
          <w:tcPr>
            <w:tcW w:w="1842" w:type="dxa"/>
            <w:vMerge w:val="restart"/>
            <w:vAlign w:val="center"/>
          </w:tcPr>
          <w:p w14:paraId="458BAAA2">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1．负担行为（买卖合同）层面</w:t>
            </w:r>
          </w:p>
        </w:tc>
        <w:tc>
          <w:tcPr>
            <w:tcW w:w="5113" w:type="dxa"/>
            <w:vAlign w:val="center"/>
          </w:tcPr>
          <w:p w14:paraId="1A1DF341">
            <w:pPr>
              <w:spacing w:before="42" w:beforeLines="10" w:after="84" w:afterLines="20" w:line="280" w:lineRule="exact"/>
              <w:rPr>
                <w:rFonts w:hint="eastAsia" w:ascii="汉仪书宋一简" w:hAnsi="Times New Roman" w:eastAsia="汉仪书宋一简" w:cs="Times New Roman"/>
                <w:sz w:val="20"/>
                <w:szCs w:val="20"/>
                <w:lang w:eastAsia="zh-CN"/>
              </w:rPr>
            </w:pPr>
            <w:r>
              <w:rPr>
                <w:rFonts w:hint="eastAsia" w:ascii="汉仪书宋一简" w:hAnsi="Times New Roman" w:eastAsia="汉仪书宋一简" w:cs="Times New Roman"/>
                <w:sz w:val="20"/>
                <w:szCs w:val="20"/>
              </w:rPr>
              <w:t>（1）效力：不受处分权有无的影响</w:t>
            </w:r>
            <w:r>
              <w:rPr>
                <w:rFonts w:hint="eastAsia" w:ascii="汉仪书宋一简" w:hAnsi="Times New Roman" w:eastAsia="汉仪书宋一简" w:cs="Times New Roman"/>
                <w:color w:val="0000FF"/>
                <w:sz w:val="20"/>
                <w:szCs w:val="20"/>
                <w:lang w:eastAsia="zh-CN"/>
              </w:rPr>
              <w:t>（</w:t>
            </w:r>
            <w:r>
              <w:rPr>
                <w:rFonts w:hint="eastAsia" w:ascii="汉仪书宋一简" w:hAnsi="Times New Roman" w:eastAsia="汉仪书宋一简" w:cs="Times New Roman"/>
                <w:color w:val="0000FF"/>
                <w:sz w:val="20"/>
                <w:szCs w:val="20"/>
                <w:lang w:val="en-US" w:eastAsia="zh-CN"/>
              </w:rPr>
              <w:t>无权处分合同有效</w:t>
            </w:r>
            <w:r>
              <w:rPr>
                <w:rFonts w:hint="eastAsia" w:ascii="汉仪书宋一简" w:hAnsi="Times New Roman" w:eastAsia="汉仪书宋一简" w:cs="Times New Roman"/>
                <w:color w:val="0000FF"/>
                <w:sz w:val="20"/>
                <w:szCs w:val="20"/>
                <w:lang w:eastAsia="zh-CN"/>
              </w:rPr>
              <w:t>）</w:t>
            </w:r>
          </w:p>
        </w:tc>
      </w:tr>
      <w:tr w14:paraId="0316913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50" w:type="dxa"/>
            <w:vMerge w:val="continue"/>
            <w:vAlign w:val="center"/>
          </w:tcPr>
          <w:p w14:paraId="3180A0AF">
            <w:pPr>
              <w:spacing w:before="42" w:beforeLines="10" w:after="84" w:afterLines="20" w:line="280" w:lineRule="exact"/>
              <w:rPr>
                <w:rFonts w:ascii="汉仪书宋一简" w:hAnsi="Times New Roman" w:eastAsia="汉仪书宋一简" w:cs="Times New Roman"/>
                <w:sz w:val="20"/>
                <w:szCs w:val="20"/>
              </w:rPr>
            </w:pPr>
          </w:p>
        </w:tc>
        <w:tc>
          <w:tcPr>
            <w:tcW w:w="1842" w:type="dxa"/>
            <w:vMerge w:val="continue"/>
            <w:vAlign w:val="center"/>
          </w:tcPr>
          <w:p w14:paraId="2EA12DDF">
            <w:pPr>
              <w:spacing w:before="42" w:beforeLines="10" w:after="84" w:afterLines="20" w:line="280" w:lineRule="exact"/>
              <w:rPr>
                <w:rFonts w:ascii="汉仪书宋一简" w:hAnsi="Times New Roman" w:eastAsia="汉仪书宋一简" w:cs="Times New Roman"/>
                <w:sz w:val="20"/>
                <w:szCs w:val="20"/>
              </w:rPr>
            </w:pPr>
          </w:p>
        </w:tc>
        <w:tc>
          <w:tcPr>
            <w:tcW w:w="5113" w:type="dxa"/>
            <w:vAlign w:val="center"/>
          </w:tcPr>
          <w:p w14:paraId="786984BF">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（2）履行不能的救济：解除合同+违约损害赔偿</w:t>
            </w:r>
          </w:p>
        </w:tc>
      </w:tr>
      <w:tr w14:paraId="54286AA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50" w:type="dxa"/>
            <w:vMerge w:val="continue"/>
            <w:vAlign w:val="center"/>
          </w:tcPr>
          <w:p w14:paraId="13CCDDBE">
            <w:pPr>
              <w:spacing w:before="42" w:beforeLines="10" w:after="84" w:afterLines="20" w:line="280" w:lineRule="exact"/>
              <w:rPr>
                <w:rFonts w:ascii="汉仪书宋一简" w:hAnsi="Times New Roman" w:eastAsia="汉仪书宋一简" w:cs="Times New Roman"/>
                <w:sz w:val="20"/>
                <w:szCs w:val="20"/>
              </w:rPr>
            </w:pPr>
          </w:p>
        </w:tc>
        <w:tc>
          <w:tcPr>
            <w:tcW w:w="1842" w:type="dxa"/>
            <w:vMerge w:val="restart"/>
            <w:vAlign w:val="center"/>
          </w:tcPr>
          <w:p w14:paraId="35638CCE">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2．处分行为（物权变动）层面</w:t>
            </w:r>
          </w:p>
        </w:tc>
        <w:tc>
          <w:tcPr>
            <w:tcW w:w="5113" w:type="dxa"/>
            <w:vAlign w:val="center"/>
          </w:tcPr>
          <w:p w14:paraId="471D8FF4">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（1）原权利人追认或授予处分权，处分行为有效（物权变动）</w:t>
            </w:r>
          </w:p>
        </w:tc>
      </w:tr>
      <w:tr w14:paraId="16592E1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550" w:type="dxa"/>
            <w:vMerge w:val="continue"/>
            <w:vAlign w:val="center"/>
          </w:tcPr>
          <w:p w14:paraId="2D90F298">
            <w:pPr>
              <w:spacing w:before="42" w:beforeLines="10" w:after="84" w:afterLines="20" w:line="280" w:lineRule="exact"/>
              <w:rPr>
                <w:rFonts w:ascii="汉仪书宋一简" w:hAnsi="Times New Roman" w:eastAsia="汉仪书宋一简" w:cs="Times New Roman"/>
                <w:sz w:val="20"/>
                <w:szCs w:val="20"/>
              </w:rPr>
            </w:pPr>
          </w:p>
        </w:tc>
        <w:tc>
          <w:tcPr>
            <w:tcW w:w="1842" w:type="dxa"/>
            <w:vMerge w:val="continue"/>
            <w:vAlign w:val="center"/>
          </w:tcPr>
          <w:p w14:paraId="2CB78E35">
            <w:pPr>
              <w:spacing w:before="42" w:beforeLines="10" w:after="84" w:afterLines="20" w:line="280" w:lineRule="exact"/>
              <w:rPr>
                <w:rFonts w:ascii="汉仪书宋一简" w:hAnsi="Times New Roman" w:eastAsia="汉仪书宋一简" w:cs="Times New Roman"/>
                <w:sz w:val="20"/>
                <w:szCs w:val="20"/>
              </w:rPr>
            </w:pPr>
          </w:p>
        </w:tc>
        <w:tc>
          <w:tcPr>
            <w:tcW w:w="5113" w:type="dxa"/>
            <w:vAlign w:val="center"/>
          </w:tcPr>
          <w:p w14:paraId="18D74AB1">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（2）原权利人不追认且不授予处分权，物权变动取决于善意取得是否构成</w:t>
            </w:r>
          </w:p>
        </w:tc>
      </w:tr>
    </w:tbl>
    <w:p w14:paraId="49C9A4A5">
      <w:pPr>
        <w:ind w:firstLine="420" w:firstLineChars="200"/>
        <w:rPr>
          <w:rFonts w:hint="eastAsia" w:ascii="汉仪书宋二简" w:cs="Arial"/>
          <w:color w:val="0000FF"/>
          <w:lang w:eastAsia="zh-CN"/>
        </w:rPr>
      </w:pPr>
    </w:p>
    <w:p w14:paraId="747C3E49"/>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汉仪大宋简">
    <w:altName w:val="宋体"/>
    <w:panose1 w:val="02010609000101010101"/>
    <w:charset w:val="86"/>
    <w:family w:val="modern"/>
    <w:pitch w:val="default"/>
    <w:sig w:usb0="00000000" w:usb1="00000000" w:usb2="00000012" w:usb3="00000000" w:csb0="00040000" w:csb1="00000000"/>
  </w:font>
  <w:font w:name="仿宋">
    <w:panose1 w:val="02010609060101010101"/>
    <w:charset w:val="86"/>
    <w:family w:val="auto"/>
    <w:pitch w:val="default"/>
    <w:sig w:usb0="800002BF" w:usb1="38CF7CFA" w:usb2="00000016" w:usb3="00000000" w:csb0="00040001" w:csb1="00000000"/>
  </w:font>
  <w:font w:name="汉仪书宋二简">
    <w:altName w:val="宋体"/>
    <w:panose1 w:val="02010609000101010101"/>
    <w:charset w:val="86"/>
    <w:family w:val="modern"/>
    <w:pitch w:val="default"/>
    <w:sig w:usb0="00000000" w:usb1="00000000" w:usb2="00000012" w:usb3="00000000" w:csb0="00040000" w:csb1="00000000"/>
  </w:font>
  <w:font w:name="汉仪中黑简">
    <w:altName w:val="黑体"/>
    <w:panose1 w:val="02010600000101010101"/>
    <w:charset w:val="86"/>
    <w:family w:val="modern"/>
    <w:pitch w:val="default"/>
    <w:sig w:usb0="00000000" w:usb1="00000000" w:usb2="00000002" w:usb3="00000000" w:csb0="00040000" w:csb1="00000000"/>
  </w:font>
  <w:font w:name="等线">
    <w:panose1 w:val="02010600030101010101"/>
    <w:charset w:val="86"/>
    <w:family w:val="script"/>
    <w:pitch w:val="default"/>
    <w:sig w:usb0="A00002BF" w:usb1="38CF7CFA" w:usb2="00000016" w:usb3="00000000" w:csb0="0004000F" w:csb1="00000000"/>
  </w:font>
  <w:font w:name="汉仪书宋一简">
    <w:altName w:val="宋体"/>
    <w:panose1 w:val="02010609000101010101"/>
    <w:charset w:val="86"/>
    <w:family w:val="modern"/>
    <w:pitch w:val="default"/>
    <w:sig w:usb0="00000000" w:usb1="00000000" w:usb2="00000012"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汉仪粗黑简">
    <w:altName w:val="微软雅黑"/>
    <w:panose1 w:val="02010609000101010101"/>
    <w:charset w:val="86"/>
    <w:family w:val="modern"/>
    <w:pitch w:val="default"/>
    <w:sig w:usb0="00000000" w:usb1="00000000" w:usb2="00000012"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61505">
    <w:pPr>
      <w:pStyle w:val="4"/>
      <w:jc w:val="right"/>
      <w:rPr>
        <w:rFonts w:hint="eastAsia" w:eastAsia="宋体"/>
        <w:sz w:val="28"/>
        <w:szCs w:val="28"/>
        <w:lang w:val="en-US" w:eastAsia="zh-CN"/>
      </w:rPr>
    </w:pPr>
    <w:r>
      <w:rPr>
        <w:rFonts w:hint="eastAsia"/>
        <w:sz w:val="28"/>
        <w:szCs w:val="28"/>
        <w:lang w:val="en-US" w:eastAsia="zh-CN"/>
      </w:rPr>
      <w:t>桑磊法考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20164"/>
    <w:multiLevelType w:val="singleLevel"/>
    <w:tmpl w:val="2BD20164"/>
    <w:lvl w:ilvl="0" w:tentative="0">
      <w:start w:val="6"/>
      <w:numFmt w:val="decimal"/>
      <w:lvlText w:val="%1."/>
      <w:lvlJc w:val="left"/>
      <w:pPr>
        <w:tabs>
          <w:tab w:val="left" w:pos="312"/>
        </w:tabs>
      </w:pPr>
    </w:lvl>
  </w:abstractNum>
  <w:abstractNum w:abstractNumId="1">
    <w:nsid w:val="2EE8BD02"/>
    <w:multiLevelType w:val="singleLevel"/>
    <w:tmpl w:val="2EE8BD02"/>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11D0F"/>
    <w:rsid w:val="327B016B"/>
    <w:rsid w:val="33125CC3"/>
    <w:rsid w:val="50B74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paragraph" w:styleId="3">
    <w:name w:val="heading 4"/>
    <w:basedOn w:val="1"/>
    <w:next w:val="1"/>
    <w:unhideWhenUsed/>
    <w:qFormat/>
    <w:uiPriority w:val="9"/>
    <w:pPr>
      <w:keepNext/>
      <w:keepLines/>
      <w:tabs>
        <w:tab w:val="left" w:pos="420"/>
      </w:tabs>
      <w:ind w:firstLine="0" w:firstLineChars="0"/>
      <w:jc w:val="left"/>
      <w:outlineLvl w:val="3"/>
    </w:pPr>
    <w:rPr>
      <w:rFonts w:ascii="Cambria" w:hAnsi="Cambria" w:eastAsia="汉仪大宋简" w:cs="Times New Roman"/>
      <w:bCs/>
      <w:sz w:val="24"/>
      <w:szCs w:val="28"/>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tabs>
        <w:tab w:val="left" w:pos="420"/>
      </w:tabs>
      <w:spacing w:before="100" w:beforeAutospacing="1" w:after="100" w:afterAutospacing="1"/>
      <w:jc w:val="left"/>
    </w:pPr>
    <w:rPr>
      <w:color w:val="auto"/>
      <w:kern w:val="0"/>
      <w:sz w:val="24"/>
      <w:szCs w:val="24"/>
    </w:rPr>
  </w:style>
  <w:style w:type="paragraph" w:styleId="6">
    <w:name w:val="Title"/>
    <w:basedOn w:val="1"/>
    <w:next w:val="1"/>
    <w:qFormat/>
    <w:uiPriority w:val="0"/>
    <w:pPr>
      <w:spacing w:before="240" w:after="60"/>
      <w:jc w:val="center"/>
      <w:outlineLvl w:val="0"/>
    </w:pPr>
    <w:rPr>
      <w:rFonts w:ascii="宋体" w:hAnsi="宋体" w:cs="宋体"/>
      <w:b/>
      <w:bCs/>
      <w:color w:val="FF0000"/>
      <w:sz w:val="32"/>
      <w:szCs w:val="32"/>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2025-06-03T14:44:58Z</dcterms:created>
  <dc:creator>cuplh</dc:creator>
  <cp:lastModifiedBy>韩富鹏</cp:lastModifiedBy>
  <dcterms:modified xsi:type="dcterms:W3CDTF">2025-06-03T14:56:11Z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eyJoZGlkIjoiMWFjYzQzMDc3NjcyYmQ4ODllY2M1ZTlhMDk0YzI1ZDQiLCJ1c2VySWQiOiI2MjgyMjQxMTMifQ==</vt:lpwstr>
  </property>
  <property fmtid="{D5CDD505-2E9C-101B-9397-08002B2CF9AE}" pid="4" name="ICV">
    <vt:lpwstr>A6EB8D70C01B4AB4B9F8A5520118D985_12</vt:lpwstr>
  </property>
</Properties>
</file>