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8488C">
      <w:pPr>
        <w:pStyle w:val="3"/>
        <w:rPr>
          <w:rFonts w:hint="eastAsia"/>
        </w:rPr>
      </w:pPr>
      <w:r>
        <w:rPr>
          <w:rFonts w:hint="eastAsia"/>
        </w:rPr>
        <w:t>五、劳动基准</w:t>
      </w:r>
    </w:p>
    <w:p w14:paraId="5CAB3438">
      <w:pPr>
        <w:ind w:firstLine="480"/>
        <w:rPr>
          <w:rFonts w:hint="eastAsia" w:ascii="汉仪书宋二简"/>
          <w:b/>
          <w:sz w:val="24"/>
          <w:szCs w:val="24"/>
        </w:rPr>
      </w:pPr>
    </w:p>
    <w:tbl>
      <w:tblPr>
        <w:tblStyle w:val="7"/>
        <w:tblW w:w="5067" w:type="pct"/>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416"/>
        <w:gridCol w:w="8220"/>
      </w:tblGrid>
      <w:tr w14:paraId="19873E4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restart"/>
            <w:shd w:val="clear" w:color="auto" w:fill="auto"/>
            <w:vAlign w:val="center"/>
          </w:tcPr>
          <w:p w14:paraId="4CC3DEA7">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工作时间</w:t>
            </w:r>
          </w:p>
        </w:tc>
        <w:tc>
          <w:tcPr>
            <w:tcW w:w="4759" w:type="pct"/>
            <w:shd w:val="clear" w:color="auto" w:fill="auto"/>
            <w:vAlign w:val="center"/>
          </w:tcPr>
          <w:p w14:paraId="11418490">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标准工时：8×5=40小时</w:t>
            </w:r>
          </w:p>
        </w:tc>
      </w:tr>
      <w:tr w14:paraId="28DB8D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746C61C9">
            <w:pPr>
              <w:spacing w:before="31" w:beforeLines="10" w:after="31" w:afterLines="10" w:line="280" w:lineRule="exact"/>
              <w:ind w:firstLine="0" w:firstLineChars="0"/>
              <w:jc w:val="center"/>
              <w:rPr>
                <w:rFonts w:hint="eastAsia" w:ascii="汉仪中黑简" w:eastAsia="汉仪中黑简"/>
                <w:bCs/>
                <w:kern w:val="0"/>
                <w:sz w:val="20"/>
              </w:rPr>
            </w:pPr>
          </w:p>
        </w:tc>
        <w:tc>
          <w:tcPr>
            <w:tcW w:w="4759" w:type="pct"/>
            <w:shd w:val="clear" w:color="auto" w:fill="auto"/>
            <w:vAlign w:val="center"/>
          </w:tcPr>
          <w:p w14:paraId="7CF046DD">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缩短工时：每日少于8小时，</w:t>
            </w:r>
            <w:r>
              <w:rPr>
                <w:rFonts w:hint="eastAsia" w:ascii="汉仪书宋一简" w:eastAsia="汉仪书宋一简"/>
                <w:color w:val="0000FF"/>
                <w:kern w:val="0"/>
                <w:sz w:val="20"/>
              </w:rPr>
              <w:t>主要用于特殊作业、夜班作业和哺乳期的女职工</w:t>
            </w:r>
          </w:p>
        </w:tc>
      </w:tr>
      <w:tr w14:paraId="6519CE5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09CBE79C">
            <w:pPr>
              <w:spacing w:before="31" w:beforeLines="10" w:after="31" w:afterLines="10" w:line="280" w:lineRule="exact"/>
              <w:ind w:firstLine="0" w:firstLineChars="0"/>
              <w:jc w:val="center"/>
              <w:rPr>
                <w:rFonts w:hint="eastAsia" w:ascii="汉仪中黑简" w:eastAsia="汉仪中黑简"/>
                <w:bCs/>
                <w:kern w:val="0"/>
                <w:sz w:val="20"/>
              </w:rPr>
            </w:pPr>
          </w:p>
        </w:tc>
        <w:tc>
          <w:tcPr>
            <w:tcW w:w="4759" w:type="pct"/>
            <w:shd w:val="clear" w:color="auto" w:fill="auto"/>
            <w:vAlign w:val="center"/>
          </w:tcPr>
          <w:p w14:paraId="6E80FA93">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不定时工作制和综合计算工时制：应根据规定，与工会和劳动者协商，履行审批手续</w:t>
            </w:r>
          </w:p>
        </w:tc>
      </w:tr>
      <w:tr w14:paraId="1FFFFF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2A0EB475">
            <w:pPr>
              <w:spacing w:before="31" w:beforeLines="10" w:after="31" w:afterLines="10" w:line="280" w:lineRule="exact"/>
              <w:ind w:firstLine="0" w:firstLineChars="0"/>
              <w:jc w:val="center"/>
              <w:rPr>
                <w:rFonts w:hint="eastAsia" w:ascii="汉仪中黑简" w:eastAsia="汉仪中黑简"/>
                <w:bCs/>
                <w:kern w:val="0"/>
                <w:sz w:val="20"/>
              </w:rPr>
            </w:pPr>
          </w:p>
        </w:tc>
        <w:tc>
          <w:tcPr>
            <w:tcW w:w="4759" w:type="pct"/>
            <w:shd w:val="clear" w:color="auto" w:fill="auto"/>
            <w:vAlign w:val="center"/>
          </w:tcPr>
          <w:p w14:paraId="112DAAD9">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不能实行标准工时制的，用人单位应当保证劳动者每周至少休息1日</w:t>
            </w:r>
          </w:p>
        </w:tc>
      </w:tr>
      <w:tr w14:paraId="47EBE41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restart"/>
            <w:shd w:val="clear" w:color="auto" w:fill="auto"/>
            <w:vAlign w:val="center"/>
          </w:tcPr>
          <w:p w14:paraId="3AEA721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加班加点</w:t>
            </w:r>
          </w:p>
        </w:tc>
        <w:tc>
          <w:tcPr>
            <w:tcW w:w="4759" w:type="pct"/>
            <w:shd w:val="clear" w:color="auto" w:fill="auto"/>
            <w:vAlign w:val="center"/>
          </w:tcPr>
          <w:p w14:paraId="4F27E0E7">
            <w:pPr>
              <w:spacing w:before="31" w:beforeLines="10" w:after="31" w:afterLines="1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加点时间限制：用人单位由于生产经营需要，经与工会和劳动者协商后可以延长工作时间，一般每日不得超过1小时；因特殊原因需要延长工作时间的，每日不得超过3小时，但是每月不得超过36小时。有下列情形之一的，延长工作时间不受限制：（1）发生自然灾害、事故或者因其他原因，威胁劳动者生命健康和财产安全，需要紧急处理的；（2）生产设备、交通运输线路、公共设施发生故障，影响生产和公众利益，必须及时抢修的；（3）法律、行政法规规定的其他情形</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加班总时长有限制</w:t>
            </w:r>
            <w:r>
              <w:rPr>
                <w:rFonts w:hint="eastAsia" w:ascii="汉仪书宋一简" w:eastAsia="汉仪书宋一简"/>
                <w:kern w:val="0"/>
                <w:sz w:val="20"/>
                <w:lang w:eastAsia="zh-CN"/>
              </w:rPr>
              <w:t>）</w:t>
            </w:r>
          </w:p>
        </w:tc>
      </w:tr>
      <w:tr w14:paraId="0B6DB3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3F9B49CF">
            <w:pPr>
              <w:spacing w:before="31" w:beforeLines="10" w:after="31" w:afterLines="10" w:line="280" w:lineRule="exact"/>
              <w:ind w:firstLine="0" w:firstLineChars="0"/>
              <w:jc w:val="center"/>
              <w:rPr>
                <w:rFonts w:hint="eastAsia" w:ascii="汉仪中黑简" w:eastAsia="汉仪中黑简"/>
                <w:bCs/>
                <w:kern w:val="0"/>
                <w:sz w:val="20"/>
              </w:rPr>
            </w:pPr>
          </w:p>
        </w:tc>
        <w:tc>
          <w:tcPr>
            <w:tcW w:w="4759" w:type="pct"/>
            <w:shd w:val="clear" w:color="auto" w:fill="auto"/>
            <w:vAlign w:val="center"/>
          </w:tcPr>
          <w:p w14:paraId="436B6E27">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加班加点工资标准：（1）安排劳动者延长工作时间的，支付不低于工资的150%的工资报酬；（2）休息日安排劳动者工作又不能安排补休的，支付不低于工资的200%的工资报酬；（3）法定休假日安排劳动者工作的，支付不低于工资的300%的工资报酬</w:t>
            </w:r>
          </w:p>
        </w:tc>
      </w:tr>
      <w:tr w14:paraId="555293A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0A9951F8">
            <w:pPr>
              <w:spacing w:before="31" w:beforeLines="10" w:after="31" w:afterLines="10" w:line="280" w:lineRule="exact"/>
              <w:ind w:firstLine="0" w:firstLineChars="0"/>
              <w:jc w:val="center"/>
              <w:rPr>
                <w:rFonts w:hint="eastAsia" w:ascii="汉仪中黑简" w:eastAsia="汉仪中黑简"/>
                <w:bCs/>
                <w:kern w:val="0"/>
                <w:sz w:val="20"/>
              </w:rPr>
            </w:pPr>
          </w:p>
        </w:tc>
        <w:tc>
          <w:tcPr>
            <w:tcW w:w="4759" w:type="pct"/>
            <w:shd w:val="clear" w:color="auto" w:fill="auto"/>
            <w:vAlign w:val="center"/>
          </w:tcPr>
          <w:p w14:paraId="36EA4B2B">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法律后果：未与工会或劳动者协商强迫劳动者加班的，或者每日延长工作时间超过3小时或每月超过36小时的，劳动部门责令改正，警告并可处以罚款</w:t>
            </w:r>
          </w:p>
        </w:tc>
      </w:tr>
      <w:tr w14:paraId="39E2A8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restart"/>
            <w:shd w:val="clear" w:color="auto" w:fill="auto"/>
            <w:vAlign w:val="center"/>
          </w:tcPr>
          <w:p w14:paraId="5BF832A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工资制度</w:t>
            </w:r>
          </w:p>
        </w:tc>
        <w:tc>
          <w:tcPr>
            <w:tcW w:w="4759" w:type="pct"/>
            <w:shd w:val="clear" w:color="auto" w:fill="auto"/>
            <w:vAlign w:val="center"/>
          </w:tcPr>
          <w:p w14:paraId="5BBB4213">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工资支付：</w:t>
            </w:r>
            <w:r>
              <w:rPr>
                <w:rFonts w:hint="eastAsia" w:ascii="汉仪书宋一简" w:eastAsia="汉仪书宋一简"/>
                <w:color w:val="0000FF"/>
                <w:kern w:val="0"/>
                <w:sz w:val="20"/>
              </w:rPr>
              <w:t>必须以货币支付</w:t>
            </w:r>
            <w:r>
              <w:rPr>
                <w:rFonts w:hint="eastAsia" w:ascii="汉仪书宋一简" w:eastAsia="汉仪书宋一简"/>
                <w:kern w:val="0"/>
                <w:sz w:val="20"/>
              </w:rPr>
              <w:t>；至少每月支付1次；劳动者依法享受年休假、探亲假、婚丧假以及依法参加社会活动期间，单位应按照劳动合同规定的标准支付工资</w:t>
            </w:r>
          </w:p>
        </w:tc>
      </w:tr>
      <w:tr w14:paraId="2BA8C0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47744D6C">
            <w:pPr>
              <w:spacing w:before="31" w:beforeLines="10" w:after="31" w:afterLines="10" w:line="280" w:lineRule="exact"/>
              <w:ind w:firstLine="0" w:firstLineChars="0"/>
              <w:rPr>
                <w:rFonts w:hint="eastAsia" w:ascii="汉仪书宋一简" w:eastAsia="汉仪书宋一简"/>
                <w:b/>
                <w:kern w:val="0"/>
                <w:sz w:val="20"/>
              </w:rPr>
            </w:pPr>
          </w:p>
        </w:tc>
        <w:tc>
          <w:tcPr>
            <w:tcW w:w="4759" w:type="pct"/>
            <w:shd w:val="clear" w:color="auto" w:fill="auto"/>
            <w:vAlign w:val="center"/>
          </w:tcPr>
          <w:p w14:paraId="53CAF1BD">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代扣工资：</w:t>
            </w:r>
            <w:r>
              <w:rPr>
                <w:rFonts w:hint="eastAsia" w:ascii="汉仪书宋一简" w:eastAsia="汉仪书宋一简"/>
                <w:color w:val="0000FF"/>
                <w:kern w:val="0"/>
                <w:sz w:val="20"/>
              </w:rPr>
              <w:t>代扣代缴个人所得税</w:t>
            </w:r>
            <w:r>
              <w:rPr>
                <w:rFonts w:hint="eastAsia" w:ascii="汉仪书宋一简" w:eastAsia="汉仪书宋一简"/>
                <w:kern w:val="0"/>
                <w:sz w:val="20"/>
              </w:rPr>
              <w:t>；代扣代缴应由劳动者负担的社会保险费；执行判决、裁定</w:t>
            </w:r>
          </w:p>
        </w:tc>
      </w:tr>
      <w:tr w14:paraId="25CF3E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03F808A2">
            <w:pPr>
              <w:spacing w:before="31" w:beforeLines="10" w:after="31" w:afterLines="10" w:line="280" w:lineRule="exact"/>
              <w:ind w:firstLine="0" w:firstLineChars="0"/>
              <w:rPr>
                <w:rFonts w:hint="eastAsia" w:ascii="汉仪书宋一简" w:eastAsia="汉仪书宋一简"/>
                <w:b/>
                <w:kern w:val="0"/>
                <w:sz w:val="20"/>
              </w:rPr>
            </w:pPr>
          </w:p>
        </w:tc>
        <w:tc>
          <w:tcPr>
            <w:tcW w:w="4759" w:type="pct"/>
            <w:shd w:val="clear" w:color="auto" w:fill="auto"/>
            <w:vAlign w:val="center"/>
          </w:tcPr>
          <w:p w14:paraId="5D6FD1C4">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扣除工资：（1）因劳动者本人原因给用人单位造成经济损失的，用人单位可以按照劳动合同的约定要求劳动者赔偿其经济损失。经济损失的赔偿，可从劳动者本人的工资中扣除、但</w:t>
            </w:r>
            <w:r>
              <w:rPr>
                <w:rFonts w:hint="eastAsia" w:ascii="汉仪书宋一简" w:eastAsia="汉仪书宋一简"/>
                <w:color w:val="0000FF"/>
                <w:kern w:val="0"/>
                <w:sz w:val="20"/>
              </w:rPr>
              <w:t>每月扣除金额不得超过劳动者月工资的20％，且扣除后不得低于最低工资标准</w:t>
            </w:r>
            <w:r>
              <w:rPr>
                <w:rFonts w:hint="eastAsia" w:ascii="汉仪书宋一简" w:eastAsia="汉仪书宋一简"/>
                <w:kern w:val="0"/>
                <w:sz w:val="20"/>
              </w:rPr>
              <w:t>；（2）用人单位对劳动者违纪罚款，一般不得超过本人月工资标准的20％</w:t>
            </w:r>
          </w:p>
        </w:tc>
      </w:tr>
      <w:tr w14:paraId="0861F4B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1AA7DAFE">
            <w:pPr>
              <w:spacing w:before="31" w:beforeLines="10" w:after="31" w:afterLines="10" w:line="280" w:lineRule="exact"/>
              <w:ind w:firstLine="0" w:firstLineChars="0"/>
              <w:rPr>
                <w:rFonts w:hint="eastAsia" w:ascii="汉仪书宋一简" w:eastAsia="汉仪书宋一简"/>
                <w:b/>
                <w:kern w:val="0"/>
                <w:sz w:val="20"/>
              </w:rPr>
            </w:pPr>
          </w:p>
        </w:tc>
        <w:tc>
          <w:tcPr>
            <w:tcW w:w="4759" w:type="pct"/>
            <w:shd w:val="clear" w:color="auto" w:fill="auto"/>
            <w:vAlign w:val="center"/>
          </w:tcPr>
          <w:p w14:paraId="34890A6E">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最低工资：（1）劳动者提供了正常劳动的条件下，用人单位支付的劳动报酬不得低于当地最低工资标准；（2）</w:t>
            </w:r>
            <w:r>
              <w:rPr>
                <w:rFonts w:hint="eastAsia" w:ascii="汉仪书宋一简" w:eastAsia="汉仪书宋一简"/>
                <w:color w:val="0000FF"/>
                <w:kern w:val="0"/>
                <w:sz w:val="20"/>
              </w:rPr>
              <w:t>最低工资适用于试用期、见习期；</w:t>
            </w:r>
            <w:r>
              <w:rPr>
                <w:rFonts w:hint="eastAsia" w:ascii="汉仪书宋一简" w:eastAsia="汉仪书宋一简"/>
                <w:kern w:val="0"/>
                <w:sz w:val="20"/>
              </w:rPr>
              <w:t>（3）最低工资标准由省级政府规定，报国务院备案；（4）最低工资</w:t>
            </w:r>
            <w:r>
              <w:rPr>
                <w:rFonts w:hint="eastAsia" w:ascii="汉仪书宋一简" w:eastAsia="汉仪书宋一简"/>
                <w:color w:val="0000FF"/>
                <w:kern w:val="0"/>
                <w:sz w:val="20"/>
              </w:rPr>
              <w:t>不包括加班工资；中班、夜班、高温、低温、井下、有毒有害等特殊工作环境条件下的津</w:t>
            </w:r>
            <w:r>
              <w:rPr>
                <w:rFonts w:hint="eastAsia" w:ascii="汉仪书宋一简" w:eastAsia="汉仪书宋一简"/>
                <w:kern w:val="0"/>
                <w:sz w:val="20"/>
              </w:rPr>
              <w:t>贴；国家法律、行政法规和政策规定的劳动者保险、福利待遇；用人单位通过贴补伙食、住房等支付给劳动者的非货币收入</w:t>
            </w:r>
          </w:p>
        </w:tc>
      </w:tr>
      <w:tr w14:paraId="682F6EF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6B609A01">
            <w:pPr>
              <w:spacing w:before="31" w:beforeLines="10" w:after="31" w:afterLines="10" w:line="280" w:lineRule="exact"/>
              <w:ind w:firstLine="0" w:firstLineChars="0"/>
              <w:rPr>
                <w:rFonts w:hint="eastAsia" w:ascii="汉仪书宋一简" w:eastAsia="汉仪书宋一简"/>
                <w:b/>
                <w:kern w:val="0"/>
                <w:sz w:val="20"/>
              </w:rPr>
            </w:pPr>
          </w:p>
        </w:tc>
        <w:tc>
          <w:tcPr>
            <w:tcW w:w="4759" w:type="pct"/>
            <w:shd w:val="clear" w:color="auto" w:fill="auto"/>
            <w:vAlign w:val="center"/>
          </w:tcPr>
          <w:p w14:paraId="7401127E">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女职工保护：（1）</w:t>
            </w:r>
            <w:r>
              <w:rPr>
                <w:rFonts w:hint="eastAsia" w:ascii="汉仪书宋一简" w:eastAsia="汉仪书宋一简"/>
                <w:color w:val="0000FF"/>
                <w:kern w:val="0"/>
                <w:sz w:val="20"/>
              </w:rPr>
              <w:t>禁止安排女职工从事矿山井下、国家规定的第四级体力劳动强度的劳动和其他禁忌从事的劳</w:t>
            </w:r>
            <w:r>
              <w:rPr>
                <w:rFonts w:hint="eastAsia" w:ascii="汉仪书宋一简" w:eastAsia="汉仪书宋一简"/>
                <w:kern w:val="0"/>
                <w:sz w:val="20"/>
              </w:rPr>
              <w:t>动；（2）不得安排女职工在经期从事高处、低温、冷水作业和国家规定的第</w:t>
            </w:r>
            <w:r>
              <w:rPr>
                <w:rFonts w:hint="eastAsia" w:ascii="汉仪书宋一简" w:eastAsia="汉仪书宋一简"/>
                <w:color w:val="0000FF"/>
                <w:kern w:val="0"/>
                <w:sz w:val="20"/>
              </w:rPr>
              <w:t>三级体力</w:t>
            </w:r>
            <w:r>
              <w:rPr>
                <w:rFonts w:hint="eastAsia" w:ascii="汉仪书宋一简" w:eastAsia="汉仪书宋一简"/>
                <w:kern w:val="0"/>
                <w:sz w:val="20"/>
              </w:rPr>
              <w:t>劳动强度的劳动；（3）不得安排女职工在怀孕期间从事国家规定的第三级体力劳动强度的劳动和孕期禁忌从事的活动。对怀孕七个月以上的女职工，不得安排其延长工作时间和夜班劳动；（4）不得安排女职工在哺乳未满一周岁的婴儿期间从事国家规定的第三级体力劳动强度的劳动和哺乳期禁忌从事的其他劳动，不得安排其延长工作时间和夜班劳动；（5）女职工生育享受不少于90天的产假</w:t>
            </w:r>
          </w:p>
        </w:tc>
      </w:tr>
      <w:tr w14:paraId="14B699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0" w:type="pct"/>
            <w:vMerge w:val="continue"/>
            <w:shd w:val="clear" w:color="auto" w:fill="auto"/>
            <w:vAlign w:val="center"/>
          </w:tcPr>
          <w:p w14:paraId="7EC12264">
            <w:pPr>
              <w:spacing w:before="31" w:beforeLines="10" w:after="31" w:afterLines="10" w:line="280" w:lineRule="exact"/>
              <w:ind w:firstLine="0" w:firstLineChars="0"/>
              <w:rPr>
                <w:rFonts w:hint="eastAsia" w:ascii="汉仪书宋一简" w:eastAsia="汉仪书宋一简"/>
                <w:b/>
                <w:kern w:val="0"/>
                <w:sz w:val="20"/>
              </w:rPr>
            </w:pPr>
          </w:p>
        </w:tc>
        <w:tc>
          <w:tcPr>
            <w:tcW w:w="4759" w:type="pct"/>
            <w:shd w:val="clear" w:color="auto" w:fill="auto"/>
            <w:vAlign w:val="center"/>
          </w:tcPr>
          <w:p w14:paraId="525151A9">
            <w:pPr>
              <w:spacing w:before="31" w:beforeLines="10" w:after="31" w:afterLines="1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未成年工保护：（1）不得安排未成年工从事矿山井下、有毒有害、国家规定的</w:t>
            </w:r>
            <w:r>
              <w:rPr>
                <w:rFonts w:hint="eastAsia" w:ascii="汉仪书宋一简" w:eastAsia="汉仪书宋一简"/>
                <w:color w:val="0000FF"/>
                <w:kern w:val="0"/>
                <w:sz w:val="20"/>
              </w:rPr>
              <w:t>第四级</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女职工是三级</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rPr>
              <w:t>体力</w:t>
            </w:r>
            <w:r>
              <w:rPr>
                <w:rFonts w:hint="eastAsia" w:ascii="汉仪书宋一简" w:eastAsia="汉仪书宋一简"/>
                <w:kern w:val="0"/>
                <w:sz w:val="20"/>
              </w:rPr>
              <w:t>劳动强度的劳动和其他禁忌从事的劳动；（2）用人单位应当对未成年工定期进行健康检查。</w:t>
            </w:r>
          </w:p>
        </w:tc>
      </w:tr>
    </w:tbl>
    <w:p w14:paraId="201226DD">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bookmarkStart w:id="0" w:name="_Toc535019217"/>
    </w:p>
    <w:p w14:paraId="39B20484">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1F6E4D8E">
      <w:pPr>
        <w:pStyle w:val="2"/>
        <w:spacing w:before="0" w:line="480" w:lineRule="exact"/>
        <w:rPr>
          <w:rFonts w:hint="eastAsia"/>
        </w:rPr>
      </w:pPr>
      <w:bookmarkStart w:id="1" w:name="_Toc193726291"/>
      <w:r>
        <w:rPr>
          <w:rFonts w:hint="eastAsia"/>
          <w:color w:val="FF0000"/>
        </w:rPr>
        <w:t xml:space="preserve">考点7  </w:t>
      </w:r>
      <w:r>
        <w:rPr>
          <w:rFonts w:hint="eastAsia"/>
        </w:rPr>
        <w:t>社会保障法</w:t>
      </w:r>
      <w:bookmarkEnd w:id="0"/>
      <w:bookmarkEnd w:id="1"/>
    </w:p>
    <w:p w14:paraId="22A14AE0">
      <w:pPr>
        <w:widowControl/>
        <w:ind w:firstLine="420"/>
        <w:rPr>
          <w:rFonts w:hint="eastAsia" w:ascii="汉仪书宋二简"/>
        </w:rPr>
      </w:pPr>
    </w:p>
    <w:p w14:paraId="5AD4A71E">
      <w:pPr>
        <w:tabs>
          <w:tab w:val="clear" w:pos="420"/>
        </w:tabs>
        <w:autoSpaceDE w:val="0"/>
        <w:autoSpaceDN w:val="0"/>
        <w:adjustRightInd w:val="0"/>
        <w:ind w:firstLine="0" w:firstLineChars="0"/>
        <w:jc w:val="left"/>
        <w:textAlignment w:val="center"/>
        <w:rPr>
          <w:rFonts w:hint="eastAsia" w:ascii="汉仪书宋二简"/>
          <w:b/>
        </w:rPr>
      </w:pPr>
      <w:r>
        <w:rPr>
          <w:rFonts w:hint="eastAsia" w:ascii="汉仪粗宋简" w:hAnsi="Times New Roman" w:eastAsia="汉仪大宋简" w:cs="汉仪粗宋简"/>
          <w:color w:val="000000"/>
          <w:kern w:val="0"/>
          <w:position w:val="4"/>
          <w:sz w:val="26"/>
          <w:szCs w:val="26"/>
          <w:lang w:val="zh-CN"/>
        </w:rPr>
        <w:t>一、社会保险</w:t>
      </w:r>
    </w:p>
    <w:p w14:paraId="56084BF5">
      <w:pPr>
        <w:pStyle w:val="4"/>
        <w:ind w:firstLine="288" w:firstLineChars="120"/>
        <w:jc w:val="both"/>
        <w:rPr>
          <w:rFonts w:hint="eastAsia"/>
        </w:rPr>
      </w:pPr>
      <w:r>
        <w:rPr>
          <w:rFonts w:hint="eastAsia"/>
        </w:rPr>
        <w:t>（一）社会保险的基础知识</w:t>
      </w:r>
    </w:p>
    <w:p w14:paraId="1756DBE9">
      <w:pPr>
        <w:widowControl/>
        <w:ind w:firstLine="420"/>
        <w:rPr>
          <w:rFonts w:hint="eastAsia" w:ascii="汉仪书宋二简"/>
        </w:rPr>
      </w:pPr>
      <w:r>
        <w:rPr>
          <w:rFonts w:hint="eastAsia" w:ascii="汉仪中黑简" w:eastAsia="汉仪中黑简"/>
        </w:rPr>
        <w:t>1．“五险”。</w:t>
      </w:r>
      <w:r>
        <w:rPr>
          <w:rFonts w:hint="eastAsia" w:ascii="汉仪书宋二简"/>
        </w:rPr>
        <w:t>国家建立基本养老保险、基本医疗保险、工伤保险、失业保险、生育保险等社会保险制度。</w:t>
      </w:r>
    </w:p>
    <w:p w14:paraId="7A3F2E51">
      <w:pPr>
        <w:widowControl/>
        <w:ind w:firstLine="420"/>
        <w:rPr>
          <w:rFonts w:hint="eastAsia" w:ascii="汉仪书宋二简"/>
        </w:rPr>
      </w:pPr>
      <w:r>
        <w:rPr>
          <w:rFonts w:hint="eastAsia" w:ascii="汉仪中黑简" w:eastAsia="汉仪中黑简"/>
        </w:rPr>
        <w:t>2．社保基金。</w:t>
      </w:r>
      <w:r>
        <w:rPr>
          <w:rFonts w:hint="eastAsia" w:ascii="汉仪书宋二简"/>
        </w:rPr>
        <w:t>原则上单位缴费和个人缴费相结合，不足的由政府补贴。</w:t>
      </w:r>
    </w:p>
    <w:p w14:paraId="64E0CDDD">
      <w:pPr>
        <w:widowControl/>
        <w:ind w:firstLine="420"/>
        <w:rPr>
          <w:rFonts w:hint="eastAsia" w:ascii="汉仪书宋二简"/>
          <w:kern w:val="0"/>
        </w:rPr>
      </w:pPr>
      <w:r>
        <w:rPr>
          <w:rFonts w:hint="eastAsia" w:ascii="汉仪中黑简" w:eastAsia="汉仪中黑简"/>
        </w:rPr>
        <w:t>3．社会保险费征缴。</w:t>
      </w:r>
      <w:r>
        <w:rPr>
          <w:rFonts w:hint="eastAsia" w:ascii="汉仪书宋二简"/>
          <w:kern w:val="0"/>
        </w:rPr>
        <w:t>用人单位未按时足额缴纳社会保险费的，由社会保险费征收机构责令其限期缴纳或者补足。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Pr>
          <w:rFonts w:hint="eastAsia" w:ascii="汉仪书宋二简"/>
          <w:color w:val="0000FF"/>
          <w:kern w:val="0"/>
        </w:rPr>
        <w:t>用人单位未足额缴纳社会保险费且未提供担保的，社会保险费征收机构可以申请人民法院扣押、查封、拍卖其价值相当于应当缴纳社会保险费的财产，以拍卖所得抵缴社会保险费。</w:t>
      </w:r>
    </w:p>
    <w:p w14:paraId="1F467B9E">
      <w:pPr>
        <w:widowControl/>
        <w:ind w:firstLine="420"/>
        <w:rPr>
          <w:rFonts w:hint="eastAsia" w:ascii="汉仪书宋二简" w:eastAsia="汉仪书宋二简"/>
          <w:lang w:eastAsia="zh-CN"/>
        </w:rPr>
      </w:pPr>
      <w:r>
        <w:rPr>
          <w:rFonts w:hint="eastAsia" w:ascii="汉仪中黑简" w:eastAsia="汉仪中黑简"/>
        </w:rPr>
        <w:t>4．争议解决。</w:t>
      </w:r>
      <w:r>
        <w:rPr>
          <w:rFonts w:hint="eastAsia" w:ascii="汉仪中黑简" w:eastAsia="汉仪中黑简"/>
          <w:color w:val="0000FF"/>
          <w:lang w:eastAsia="zh-CN"/>
        </w:rPr>
        <w:t>（</w:t>
      </w:r>
      <w:r>
        <w:rPr>
          <w:rFonts w:hint="eastAsia" w:ascii="汉仪中黑简" w:eastAsia="汉仪中黑简"/>
          <w:color w:val="0000FF"/>
          <w:lang w:val="en-US" w:eastAsia="zh-CN"/>
        </w:rPr>
        <w:t>区分劳动争议和行政争议</w:t>
      </w:r>
      <w:r>
        <w:rPr>
          <w:rFonts w:hint="eastAsia" w:ascii="汉仪中黑简" w:eastAsia="汉仪中黑简"/>
          <w:color w:val="0000FF"/>
          <w:lang w:eastAsia="zh-CN"/>
        </w:rPr>
        <w:t>）</w:t>
      </w:r>
      <w:r>
        <w:rPr>
          <w:rFonts w:hint="eastAsia" w:ascii="汉仪书宋二简"/>
        </w:rPr>
        <w:t>（1）用人单位或者个人认为社会保险费征收机构的行为侵害自己合法权益的，可以依法申请行政复议或者提起行政诉讼。（2）用人单位或者个人对社会保险经办机构不依法办理社会保险登记、核定社会保险费、支付社会保险待遇、办理社会保险转移接续手续或者侵害其他社会保险权益的行为，可以依法申请行政复议或者提起行政诉讼。（3）个人与所在用人单位发生社会保险争议的，可以依法申请调解、仲裁，提起诉讼。用人单位侵害个人社会保险权益的，个人也可以要求社会保险行政部门或者社会保险费征收机构依法处理。</w:t>
      </w:r>
      <w:r>
        <w:rPr>
          <w:rFonts w:hint="eastAsia" w:ascii="汉仪书宋二简"/>
          <w:lang w:eastAsia="zh-CN"/>
        </w:rPr>
        <w:t>（</w:t>
      </w:r>
      <w:r>
        <w:rPr>
          <w:rFonts w:hint="eastAsia" w:ascii="汉仪书宋二简"/>
          <w:lang w:val="en-US" w:eastAsia="zh-CN"/>
        </w:rPr>
        <w:t>劳动争议</w:t>
      </w:r>
      <w:r>
        <w:rPr>
          <w:rFonts w:hint="eastAsia" w:ascii="汉仪书宋二简"/>
          <w:lang w:eastAsia="zh-CN"/>
        </w:rPr>
        <w:t>）</w:t>
      </w:r>
    </w:p>
    <w:p w14:paraId="2823A517">
      <w:pPr>
        <w:widowControl/>
        <w:ind w:firstLine="420"/>
        <w:rPr>
          <w:rFonts w:hint="eastAsia" w:ascii="汉仪书宋二简"/>
        </w:rPr>
      </w:pPr>
    </w:p>
    <w:p w14:paraId="6E011830">
      <w:pPr>
        <w:pStyle w:val="4"/>
        <w:ind w:firstLine="288" w:firstLineChars="120"/>
        <w:jc w:val="both"/>
        <w:rPr>
          <w:rFonts w:hint="eastAsia"/>
        </w:rPr>
      </w:pPr>
      <w:r>
        <w:rPr>
          <w:rFonts w:hint="eastAsia"/>
        </w:rPr>
        <w:t>（二）工伤保险</w:t>
      </w:r>
    </w:p>
    <w:p w14:paraId="46051329">
      <w:pPr>
        <w:ind w:firstLine="420"/>
        <w:rPr>
          <w:rFonts w:hint="eastAsia" w:ascii="汉仪书宋二简"/>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1"/>
        <w:gridCol w:w="7404"/>
      </w:tblGrid>
      <w:tr w14:paraId="545331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3B09E7B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参保</w:t>
            </w:r>
          </w:p>
        </w:tc>
        <w:tc>
          <w:tcPr>
            <w:tcW w:w="4352" w:type="pct"/>
            <w:shd w:val="clear" w:color="auto" w:fill="auto"/>
            <w:vAlign w:val="center"/>
          </w:tcPr>
          <w:p w14:paraId="060A4DB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职工应当参加工伤保险，由用人单位缴纳工伤保险费，职工不缴纳工伤保险费</w:t>
            </w:r>
          </w:p>
        </w:tc>
      </w:tr>
      <w:tr w14:paraId="6AD3BD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1699306D">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工伤保险基金负担的费用</w:t>
            </w:r>
          </w:p>
        </w:tc>
        <w:tc>
          <w:tcPr>
            <w:tcW w:w="4352" w:type="pct"/>
            <w:shd w:val="clear" w:color="auto" w:fill="auto"/>
            <w:vAlign w:val="center"/>
          </w:tcPr>
          <w:p w14:paraId="0DE37A3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因工伤发生的下列费用，按照国家规定从工伤保险基金中支付：（1）治疗工伤的医疗费用和康复费用；（2）住院伙食补助费；（3）到统筹地区以外就医的交通食宿费；（4）安装配置伤残辅助器具所需费用；（5）生活不能自理的，经劳动能力鉴定委员会确认的生活护理费；（6）一次性伤残补助金和一至四级伤残职工按月领取的伤残津贴；（7）终止或者解除劳动合同时，应当享受的一次性医疗补助金；（8）因工死亡的，其遗属领取的丧葬补助金、供养亲属抚恤金和因工死亡补助金；（9）劳动能力鉴定费</w:t>
            </w:r>
          </w:p>
        </w:tc>
      </w:tr>
      <w:tr w14:paraId="540D6A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581ED82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用人单位负担的费用</w:t>
            </w:r>
          </w:p>
        </w:tc>
        <w:tc>
          <w:tcPr>
            <w:tcW w:w="4352" w:type="pct"/>
            <w:shd w:val="clear" w:color="auto" w:fill="auto"/>
            <w:vAlign w:val="center"/>
          </w:tcPr>
          <w:p w14:paraId="3257240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因工伤发生的下列费用，按照国家规定由用人单位支付：（1）治疗工伤期间的工资福利；（2）</w:t>
            </w:r>
            <w:r>
              <w:rPr>
                <w:rFonts w:hint="eastAsia" w:ascii="汉仪书宋一简" w:hAnsi="楷体" w:eastAsia="汉仪中黑简" w:cs="楷体"/>
                <w:color w:val="FF0000"/>
                <w:kern w:val="0"/>
                <w:sz w:val="20"/>
              </w:rPr>
              <w:t>五级、六级伤残职工按月领取的伤残津贴</w:t>
            </w:r>
            <w:r>
              <w:rPr>
                <w:rFonts w:hint="eastAsia" w:ascii="汉仪书宋一简" w:hAnsi="楷体" w:eastAsia="汉仪中黑简" w:cs="楷体"/>
                <w:color w:val="FF0000"/>
                <w:kern w:val="0"/>
                <w:sz w:val="20"/>
                <w:lang w:eastAsia="zh-CN"/>
              </w:rPr>
              <w:t>（</w:t>
            </w:r>
            <w:r>
              <w:rPr>
                <w:rFonts w:hint="eastAsia" w:ascii="汉仪书宋一简" w:hAnsi="楷体" w:eastAsia="汉仪中黑简" w:cs="楷体"/>
                <w:color w:val="FF0000"/>
                <w:kern w:val="0"/>
                <w:sz w:val="20"/>
                <w:lang w:val="en-US" w:eastAsia="zh-CN"/>
              </w:rPr>
              <w:t>一到四级工伤基金支付</w:t>
            </w:r>
            <w:r>
              <w:rPr>
                <w:rFonts w:hint="eastAsia" w:ascii="汉仪书宋一简" w:hAnsi="楷体" w:eastAsia="汉仪中黑简" w:cs="楷体"/>
                <w:color w:val="FF0000"/>
                <w:kern w:val="0"/>
                <w:sz w:val="20"/>
                <w:lang w:eastAsia="zh-CN"/>
              </w:rPr>
              <w:t>）</w:t>
            </w:r>
            <w:r>
              <w:rPr>
                <w:rFonts w:hint="eastAsia" w:ascii="汉仪书宋一简" w:eastAsia="汉仪书宋一简"/>
                <w:kern w:val="0"/>
                <w:sz w:val="20"/>
              </w:rPr>
              <w:t>；（3）终止或者解除劳动合同时，应当享受的一次性伤残就业补助金</w:t>
            </w:r>
          </w:p>
          <w:p w14:paraId="4180775F">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0000FF"/>
                <w:kern w:val="0"/>
                <w:sz w:val="20"/>
                <w:lang w:val="en-US" w:eastAsia="zh-CN"/>
              </w:rPr>
              <w:t>另行安排工作可以降低工资</w:t>
            </w:r>
          </w:p>
        </w:tc>
      </w:tr>
      <w:tr w14:paraId="2A611AD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restart"/>
            <w:shd w:val="clear" w:color="auto" w:fill="auto"/>
            <w:vAlign w:val="center"/>
          </w:tcPr>
          <w:p w14:paraId="21C4EB3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特殊情况</w:t>
            </w:r>
          </w:p>
        </w:tc>
        <w:tc>
          <w:tcPr>
            <w:tcW w:w="4352" w:type="pct"/>
            <w:shd w:val="clear" w:color="auto" w:fill="auto"/>
            <w:vAlign w:val="center"/>
          </w:tcPr>
          <w:p w14:paraId="1A7F8D6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单位未缴费：发生工伤事故的，由用人单位支付工伤保险待遇。用人单位不支付的，从工伤保险基金中先行支付。</w:t>
            </w:r>
            <w:r>
              <w:rPr>
                <w:rFonts w:hint="eastAsia" w:ascii="汉仪书宋一简" w:eastAsia="汉仪书宋一简"/>
                <w:color w:val="0000FF"/>
                <w:kern w:val="0"/>
                <w:sz w:val="20"/>
              </w:rPr>
              <w:t>社会保险经办机构可以向用人单位追偿</w:t>
            </w:r>
          </w:p>
        </w:tc>
      </w:tr>
      <w:tr w14:paraId="3F2733B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6A4E6857">
            <w:pPr>
              <w:spacing w:before="31" w:beforeLines="10" w:after="62" w:afterLines="20" w:line="280" w:lineRule="exact"/>
              <w:ind w:firstLine="0" w:firstLineChars="0"/>
              <w:jc w:val="center"/>
              <w:rPr>
                <w:rFonts w:hint="eastAsia" w:ascii="汉仪中黑简" w:eastAsia="汉仪中黑简"/>
                <w:bCs/>
                <w:kern w:val="0"/>
                <w:sz w:val="20"/>
              </w:rPr>
            </w:pPr>
          </w:p>
        </w:tc>
        <w:tc>
          <w:tcPr>
            <w:tcW w:w="4352" w:type="pct"/>
            <w:shd w:val="clear" w:color="auto" w:fill="auto"/>
            <w:vAlign w:val="center"/>
          </w:tcPr>
          <w:p w14:paraId="5D05B615">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与养老保险的衔接：工伤职工符合领取基本养老金条件的，停发伤残津贴，享受基本养老保险待遇。基本养老保险待遇低于伤残津贴的，从工伤保险基金中补足差额</w:t>
            </w:r>
          </w:p>
        </w:tc>
      </w:tr>
      <w:tr w14:paraId="5E679B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5DF80FDB">
            <w:pPr>
              <w:spacing w:before="31" w:beforeLines="10" w:after="62" w:afterLines="20" w:line="280" w:lineRule="exact"/>
              <w:ind w:firstLine="0" w:firstLineChars="0"/>
              <w:jc w:val="center"/>
              <w:rPr>
                <w:rFonts w:hint="eastAsia" w:ascii="汉仪中黑简" w:eastAsia="汉仪中黑简"/>
                <w:bCs/>
                <w:kern w:val="0"/>
                <w:sz w:val="20"/>
              </w:rPr>
            </w:pPr>
          </w:p>
        </w:tc>
        <w:tc>
          <w:tcPr>
            <w:tcW w:w="4352" w:type="pct"/>
            <w:shd w:val="clear" w:color="auto" w:fill="auto"/>
            <w:vAlign w:val="center"/>
          </w:tcPr>
          <w:p w14:paraId="1085219F">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第三人造成工伤：第三人的原因造成工伤，第三人不支付工伤医疗费用或者无法确定第三人的，由工伤保险基金先行支付。工伤保险基金先行支付后，有权向第三人追偿。第三人的侵权责任不因受害人获得社会保险而减轻或者免除</w:t>
            </w:r>
          </w:p>
        </w:tc>
      </w:tr>
      <w:tr w14:paraId="590156D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47B88242">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停止享受工伤待遇</w:t>
            </w:r>
          </w:p>
        </w:tc>
        <w:tc>
          <w:tcPr>
            <w:tcW w:w="4352" w:type="pct"/>
            <w:shd w:val="clear" w:color="auto" w:fill="auto"/>
            <w:vAlign w:val="center"/>
          </w:tcPr>
          <w:p w14:paraId="0C69FC5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工伤职工有下列情形之一的，停止享受工伤保险待遇：（1）丧失享受待遇条件的；（2）拒不接受劳动能力鉴定的；（3）拒绝治疗的</w:t>
            </w:r>
          </w:p>
        </w:tc>
      </w:tr>
    </w:tbl>
    <w:p w14:paraId="298B21ED">
      <w:pPr>
        <w:ind w:firstLine="420"/>
        <w:rPr>
          <w:rFonts w:hint="eastAsia" w:ascii="汉仪书宋二简"/>
          <w:b/>
        </w:rPr>
      </w:pPr>
    </w:p>
    <w:p w14:paraId="236D3E6A">
      <w:pPr>
        <w:pStyle w:val="4"/>
        <w:ind w:firstLine="288" w:firstLineChars="120"/>
        <w:jc w:val="both"/>
        <w:rPr>
          <w:rFonts w:hint="eastAsia"/>
        </w:rPr>
      </w:pPr>
      <w:r>
        <w:rPr>
          <w:rFonts w:hint="eastAsia"/>
        </w:rPr>
        <w:t>（三）基本养老保险</w:t>
      </w:r>
    </w:p>
    <w:p w14:paraId="1D728323">
      <w:pPr>
        <w:ind w:firstLine="420"/>
        <w:rPr>
          <w:rFonts w:hint="eastAsia" w:ascii="汉仪书宋二简"/>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6"/>
        <w:gridCol w:w="7399"/>
      </w:tblGrid>
      <w:tr w14:paraId="26798B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restart"/>
            <w:shd w:val="clear" w:color="auto" w:fill="auto"/>
            <w:vAlign w:val="center"/>
          </w:tcPr>
          <w:p w14:paraId="310026D9">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参保</w:t>
            </w:r>
          </w:p>
        </w:tc>
        <w:tc>
          <w:tcPr>
            <w:tcW w:w="4349" w:type="pct"/>
            <w:shd w:val="clear" w:color="auto" w:fill="auto"/>
            <w:vAlign w:val="center"/>
          </w:tcPr>
          <w:p w14:paraId="6DDF317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职工应当参加基本养老保险，由用人单位和职工共同缴纳基本养老保险费</w:t>
            </w:r>
          </w:p>
        </w:tc>
      </w:tr>
      <w:tr w14:paraId="2EC3A68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continue"/>
            <w:shd w:val="clear" w:color="auto" w:fill="auto"/>
            <w:vAlign w:val="center"/>
          </w:tcPr>
          <w:p w14:paraId="1FF81513">
            <w:pPr>
              <w:spacing w:before="31" w:beforeLines="10" w:after="62" w:afterLines="20" w:line="280" w:lineRule="exact"/>
              <w:ind w:firstLine="0" w:firstLineChars="0"/>
              <w:jc w:val="center"/>
              <w:rPr>
                <w:rFonts w:hint="eastAsia" w:ascii="汉仪中黑简" w:eastAsia="汉仪中黑简"/>
                <w:bCs/>
                <w:kern w:val="0"/>
                <w:sz w:val="20"/>
              </w:rPr>
            </w:pPr>
          </w:p>
        </w:tc>
        <w:tc>
          <w:tcPr>
            <w:tcW w:w="4349" w:type="pct"/>
            <w:shd w:val="clear" w:color="auto" w:fill="auto"/>
            <w:vAlign w:val="center"/>
          </w:tcPr>
          <w:p w14:paraId="0B4D47A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无雇工的个体工商户、未在用人单位参加基本养老保险的非全日制从业人员以及其他灵活就业人员可以参加基本养老保险，由个人缴纳基本养老保险费</w:t>
            </w:r>
          </w:p>
        </w:tc>
      </w:tr>
      <w:tr w14:paraId="72BFAC6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restart"/>
            <w:shd w:val="clear" w:color="auto" w:fill="auto"/>
            <w:vAlign w:val="center"/>
          </w:tcPr>
          <w:p w14:paraId="22D7FAA9">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基本养老保险基金</w:t>
            </w:r>
          </w:p>
        </w:tc>
        <w:tc>
          <w:tcPr>
            <w:tcW w:w="4349" w:type="pct"/>
            <w:shd w:val="clear" w:color="auto" w:fill="auto"/>
            <w:vAlign w:val="center"/>
          </w:tcPr>
          <w:p w14:paraId="52B7DDA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用人单位缴纳基本养老保险费，记入基本养老保险统筹基金</w:t>
            </w:r>
          </w:p>
        </w:tc>
      </w:tr>
      <w:tr w14:paraId="3C46CD3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continue"/>
            <w:shd w:val="clear" w:color="auto" w:fill="auto"/>
            <w:vAlign w:val="center"/>
          </w:tcPr>
          <w:p w14:paraId="3E45EFF7">
            <w:pPr>
              <w:spacing w:before="31" w:beforeLines="10" w:after="62" w:afterLines="20" w:line="280" w:lineRule="exact"/>
              <w:ind w:firstLine="0" w:firstLineChars="0"/>
              <w:jc w:val="center"/>
              <w:rPr>
                <w:rFonts w:hint="eastAsia" w:ascii="汉仪中黑简" w:eastAsia="汉仪中黑简"/>
                <w:bCs/>
                <w:kern w:val="0"/>
                <w:sz w:val="20"/>
              </w:rPr>
            </w:pPr>
          </w:p>
        </w:tc>
        <w:tc>
          <w:tcPr>
            <w:tcW w:w="4349" w:type="pct"/>
            <w:shd w:val="clear" w:color="auto" w:fill="auto"/>
            <w:vAlign w:val="center"/>
          </w:tcPr>
          <w:p w14:paraId="1C13BD0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职工缴纳基本养老保险费，记入个人账户。个人账户不得提前支取，记账利率不得低于银行定期存款利率，免征利息税。个人死亡的，个人账户余额可以继承</w:t>
            </w:r>
          </w:p>
        </w:tc>
      </w:tr>
      <w:tr w14:paraId="4FFDDB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continue"/>
            <w:shd w:val="clear" w:color="auto" w:fill="auto"/>
            <w:vAlign w:val="center"/>
          </w:tcPr>
          <w:p w14:paraId="033CA35C">
            <w:pPr>
              <w:spacing w:before="31" w:beforeLines="10" w:after="62" w:afterLines="20" w:line="280" w:lineRule="exact"/>
              <w:ind w:firstLine="0" w:firstLineChars="0"/>
              <w:jc w:val="center"/>
              <w:rPr>
                <w:rFonts w:hint="eastAsia" w:ascii="汉仪中黑简" w:eastAsia="汉仪中黑简"/>
                <w:bCs/>
                <w:kern w:val="0"/>
                <w:sz w:val="20"/>
              </w:rPr>
            </w:pPr>
          </w:p>
        </w:tc>
        <w:tc>
          <w:tcPr>
            <w:tcW w:w="4349" w:type="pct"/>
            <w:shd w:val="clear" w:color="auto" w:fill="auto"/>
            <w:vAlign w:val="center"/>
          </w:tcPr>
          <w:p w14:paraId="4853C01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灵活就业人员缴纳基本养老保险费，分别记入基本养老保险统筹基金和个人账户</w:t>
            </w:r>
          </w:p>
        </w:tc>
      </w:tr>
      <w:tr w14:paraId="50A5D50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restart"/>
            <w:shd w:val="clear" w:color="auto" w:fill="auto"/>
            <w:vAlign w:val="center"/>
          </w:tcPr>
          <w:p w14:paraId="58CD1DA4">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养老保险待遇</w:t>
            </w:r>
          </w:p>
        </w:tc>
        <w:tc>
          <w:tcPr>
            <w:tcW w:w="4349" w:type="pct"/>
            <w:shd w:val="clear" w:color="auto" w:fill="auto"/>
            <w:vAlign w:val="center"/>
          </w:tcPr>
          <w:p w14:paraId="4FF6F871">
            <w:pPr>
              <w:spacing w:before="31" w:beforeLines="10" w:after="62" w:afterLines="20" w:line="280" w:lineRule="exact"/>
              <w:ind w:firstLine="0" w:firstLineChars="0"/>
              <w:rPr>
                <w:rFonts w:hint="eastAsia" w:ascii="汉仪书宋一简" w:eastAsia="汉仪书宋一简"/>
                <w:b/>
                <w:kern w:val="0"/>
                <w:sz w:val="20"/>
                <w:lang w:eastAsia="zh-CN"/>
              </w:rPr>
            </w:pPr>
            <w:r>
              <w:rPr>
                <w:rFonts w:hint="eastAsia" w:ascii="汉仪书宋一简" w:eastAsia="汉仪书宋一简"/>
                <w:kern w:val="0"/>
                <w:sz w:val="20"/>
              </w:rPr>
              <w:t>基本养老金：参加基本养老保险的个人，达到法定退休年龄时</w:t>
            </w:r>
            <w:r>
              <w:rPr>
                <w:rFonts w:hint="eastAsia" w:ascii="汉仪中黑简" w:hAnsi="楷体" w:eastAsia="汉仪中黑简" w:cs="楷体"/>
                <w:color w:val="FF0000"/>
                <w:kern w:val="0"/>
                <w:sz w:val="20"/>
              </w:rPr>
              <w:t>累计缴费满15年</w:t>
            </w:r>
            <w:r>
              <w:rPr>
                <w:rFonts w:hint="eastAsia" w:ascii="汉仪书宋一简" w:eastAsia="汉仪书宋一简"/>
                <w:kern w:val="0"/>
                <w:sz w:val="20"/>
              </w:rPr>
              <w:t>的，按月领取基本养老金。达到法定退休年龄时累计缴费不足15年的，可以缴费至满15年，按月领取基本养老金；也可以转入新型农村社会养老保险或者城镇居民社会养老保险，享受相应待遇</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不足15年可以一次缴纳或按月</w:t>
            </w:r>
            <w:r>
              <w:rPr>
                <w:rFonts w:hint="eastAsia" w:ascii="汉仪书宋一简" w:eastAsia="汉仪书宋一简"/>
                <w:color w:val="0000FF"/>
                <w:kern w:val="0"/>
                <w:sz w:val="20"/>
                <w:lang w:eastAsia="zh-CN"/>
              </w:rPr>
              <w:t>）</w:t>
            </w:r>
          </w:p>
        </w:tc>
      </w:tr>
      <w:tr w14:paraId="03EF400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vMerge w:val="continue"/>
            <w:shd w:val="clear" w:color="auto" w:fill="auto"/>
            <w:vAlign w:val="center"/>
          </w:tcPr>
          <w:p w14:paraId="04EB30F0">
            <w:pPr>
              <w:spacing w:before="31" w:beforeLines="10" w:after="62" w:afterLines="20" w:line="280" w:lineRule="exact"/>
              <w:ind w:firstLine="0" w:firstLineChars="0"/>
              <w:jc w:val="center"/>
              <w:rPr>
                <w:rFonts w:hint="eastAsia" w:ascii="汉仪中黑简" w:eastAsia="汉仪中黑简"/>
                <w:bCs/>
                <w:kern w:val="0"/>
                <w:sz w:val="20"/>
              </w:rPr>
            </w:pPr>
          </w:p>
        </w:tc>
        <w:tc>
          <w:tcPr>
            <w:tcW w:w="4349" w:type="pct"/>
            <w:shd w:val="clear" w:color="auto" w:fill="auto"/>
            <w:vAlign w:val="center"/>
          </w:tcPr>
          <w:p w14:paraId="4DC1192A">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其他待遇：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tc>
      </w:tr>
      <w:tr w14:paraId="6264A6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0" w:type="pct"/>
            <w:shd w:val="clear" w:color="auto" w:fill="auto"/>
            <w:vAlign w:val="center"/>
          </w:tcPr>
          <w:p w14:paraId="0C77B88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异地结转</w:t>
            </w:r>
          </w:p>
        </w:tc>
        <w:tc>
          <w:tcPr>
            <w:tcW w:w="4349" w:type="pct"/>
            <w:shd w:val="clear" w:color="auto" w:fill="auto"/>
            <w:vAlign w:val="center"/>
          </w:tcPr>
          <w:p w14:paraId="67EF4CDD">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个人跨统筹地区就业的，其基本养老保险关系随本人转移，</w:t>
            </w:r>
            <w:r>
              <w:rPr>
                <w:rFonts w:hint="eastAsia" w:ascii="汉仪书宋一简" w:hAnsi="楷体" w:eastAsia="汉仪中黑简" w:cs="楷体"/>
                <w:color w:val="FF0000"/>
                <w:kern w:val="0"/>
                <w:sz w:val="20"/>
              </w:rPr>
              <w:t>缴费年限累计计算</w:t>
            </w:r>
            <w:r>
              <w:rPr>
                <w:rFonts w:hint="eastAsia" w:ascii="汉仪书宋一简" w:eastAsia="汉仪书宋一简"/>
                <w:kern w:val="0"/>
                <w:sz w:val="20"/>
              </w:rPr>
              <w:t>。个人达到法定退休年龄时，基本养老金分段计算、统一支付。具体办法由国务院规定</w:t>
            </w:r>
          </w:p>
        </w:tc>
      </w:tr>
    </w:tbl>
    <w:p w14:paraId="4A454242">
      <w:pPr>
        <w:pStyle w:val="4"/>
        <w:ind w:firstLine="288" w:firstLineChars="120"/>
        <w:jc w:val="both"/>
        <w:rPr>
          <w:rFonts w:hint="eastAsia"/>
        </w:rPr>
      </w:pPr>
      <w:r>
        <w:rPr>
          <w:rFonts w:hint="eastAsia"/>
        </w:rPr>
        <w:t>（四）失业保险</w:t>
      </w:r>
    </w:p>
    <w:p w14:paraId="3D342B7D">
      <w:pPr>
        <w:ind w:firstLine="420"/>
        <w:rPr>
          <w:rFonts w:hint="eastAsia" w:ascii="汉仪书宋二简"/>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6"/>
        <w:gridCol w:w="7379"/>
      </w:tblGrid>
      <w:tr w14:paraId="36D4056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shd w:val="clear" w:color="auto" w:fill="auto"/>
            <w:vAlign w:val="center"/>
          </w:tcPr>
          <w:p w14:paraId="5E0BBFC2">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参保</w:t>
            </w:r>
          </w:p>
        </w:tc>
        <w:tc>
          <w:tcPr>
            <w:tcW w:w="4337" w:type="pct"/>
            <w:shd w:val="clear" w:color="auto" w:fill="auto"/>
            <w:vAlign w:val="center"/>
          </w:tcPr>
          <w:p w14:paraId="03C850E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职工应当参加失业保险，由用人单位和职工按照国家规定共同缴纳失业保险费</w:t>
            </w:r>
          </w:p>
        </w:tc>
      </w:tr>
      <w:tr w14:paraId="049851A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shd w:val="clear" w:color="auto" w:fill="auto"/>
            <w:vAlign w:val="center"/>
          </w:tcPr>
          <w:p w14:paraId="7EDF502C">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领取失业保险金条件</w:t>
            </w:r>
          </w:p>
        </w:tc>
        <w:tc>
          <w:tcPr>
            <w:tcW w:w="4337" w:type="pct"/>
            <w:shd w:val="clear" w:color="auto" w:fill="auto"/>
            <w:vAlign w:val="center"/>
          </w:tcPr>
          <w:p w14:paraId="6EF8A416">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失业人员符合下列条件的，从失业保险基金中领取失业保险金：</w:t>
            </w:r>
          </w:p>
          <w:p w14:paraId="65CBFB9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（1）失业前用人单位和本人已经缴纳失业保险费满1年的</w:t>
            </w:r>
          </w:p>
          <w:p w14:paraId="30079293">
            <w:pPr>
              <w:spacing w:before="31" w:beforeLines="10" w:after="62" w:afterLines="20" w:line="280" w:lineRule="exact"/>
              <w:ind w:firstLine="0" w:firstLineChars="0"/>
              <w:rPr>
                <w:rFonts w:hint="eastAsia" w:ascii="汉仪书宋一简" w:eastAsia="汉仪书宋一简"/>
                <w:color w:val="0000FF"/>
                <w:kern w:val="0"/>
                <w:sz w:val="20"/>
              </w:rPr>
            </w:pPr>
            <w:r>
              <w:rPr>
                <w:rFonts w:hint="eastAsia" w:ascii="汉仪书宋一简" w:eastAsia="汉仪书宋一简"/>
                <w:color w:val="0000FF"/>
                <w:kern w:val="0"/>
                <w:sz w:val="20"/>
              </w:rPr>
              <w:t>（2）非因本人意愿中断就业的</w:t>
            </w:r>
          </w:p>
          <w:p w14:paraId="5813A47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color w:val="0000FF"/>
                <w:kern w:val="0"/>
                <w:sz w:val="20"/>
              </w:rPr>
              <w:t>（3）已经进行失业登记，并有求职要求的</w:t>
            </w:r>
          </w:p>
        </w:tc>
      </w:tr>
      <w:tr w14:paraId="46EE2D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vMerge w:val="restart"/>
            <w:shd w:val="clear" w:color="auto" w:fill="auto"/>
            <w:vAlign w:val="center"/>
          </w:tcPr>
          <w:p w14:paraId="62813BE6">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领取失业保险金年限</w:t>
            </w:r>
          </w:p>
        </w:tc>
        <w:tc>
          <w:tcPr>
            <w:tcW w:w="4337" w:type="pct"/>
            <w:shd w:val="clear" w:color="auto" w:fill="auto"/>
            <w:vAlign w:val="center"/>
          </w:tcPr>
          <w:p w14:paraId="12E3C44B">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累计缴费满1年不足5年的，领取失业保险金的期限最长为12个月</w:t>
            </w:r>
          </w:p>
        </w:tc>
      </w:tr>
      <w:tr w14:paraId="3E78C35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vMerge w:val="continue"/>
            <w:shd w:val="clear" w:color="auto" w:fill="auto"/>
            <w:vAlign w:val="center"/>
          </w:tcPr>
          <w:p w14:paraId="3A59AF7D">
            <w:pPr>
              <w:spacing w:before="31" w:beforeLines="10" w:after="62" w:afterLines="20" w:line="280" w:lineRule="exact"/>
              <w:ind w:firstLine="0" w:firstLineChars="0"/>
              <w:jc w:val="center"/>
              <w:rPr>
                <w:rFonts w:hint="eastAsia" w:ascii="汉仪中黑简" w:eastAsia="汉仪中黑简"/>
                <w:bCs/>
                <w:kern w:val="0"/>
                <w:sz w:val="20"/>
              </w:rPr>
            </w:pPr>
          </w:p>
        </w:tc>
        <w:tc>
          <w:tcPr>
            <w:tcW w:w="4337" w:type="pct"/>
            <w:shd w:val="clear" w:color="auto" w:fill="auto"/>
            <w:vAlign w:val="center"/>
          </w:tcPr>
          <w:p w14:paraId="1DAE301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累计缴费满5年不足10年的，领取失业保险金的期限最长为18个月</w:t>
            </w:r>
          </w:p>
        </w:tc>
      </w:tr>
      <w:tr w14:paraId="4DAD40B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vMerge w:val="continue"/>
            <w:shd w:val="clear" w:color="auto" w:fill="auto"/>
            <w:vAlign w:val="center"/>
          </w:tcPr>
          <w:p w14:paraId="39EAD5A5">
            <w:pPr>
              <w:spacing w:before="31" w:beforeLines="10" w:after="62" w:afterLines="20" w:line="280" w:lineRule="exact"/>
              <w:ind w:firstLine="0" w:firstLineChars="0"/>
              <w:jc w:val="center"/>
              <w:rPr>
                <w:rFonts w:hint="eastAsia" w:ascii="汉仪中黑简" w:eastAsia="汉仪中黑简"/>
                <w:bCs/>
                <w:kern w:val="0"/>
                <w:sz w:val="20"/>
              </w:rPr>
            </w:pPr>
          </w:p>
        </w:tc>
        <w:tc>
          <w:tcPr>
            <w:tcW w:w="4337" w:type="pct"/>
            <w:shd w:val="clear" w:color="auto" w:fill="auto"/>
            <w:vAlign w:val="center"/>
          </w:tcPr>
          <w:p w14:paraId="0112EA2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累计缴费10年以上的，领取失业保险金的期限最长为24个月</w:t>
            </w:r>
          </w:p>
        </w:tc>
      </w:tr>
      <w:tr w14:paraId="32CAF3C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vMerge w:val="continue"/>
            <w:shd w:val="clear" w:color="auto" w:fill="auto"/>
            <w:vAlign w:val="center"/>
          </w:tcPr>
          <w:p w14:paraId="0A97A970">
            <w:pPr>
              <w:spacing w:before="31" w:beforeLines="10" w:after="62" w:afterLines="20" w:line="280" w:lineRule="exact"/>
              <w:ind w:firstLine="0" w:firstLineChars="0"/>
              <w:jc w:val="center"/>
              <w:rPr>
                <w:rFonts w:hint="eastAsia" w:ascii="汉仪中黑简" w:eastAsia="汉仪中黑简"/>
                <w:bCs/>
                <w:kern w:val="0"/>
                <w:sz w:val="20"/>
              </w:rPr>
            </w:pPr>
          </w:p>
        </w:tc>
        <w:tc>
          <w:tcPr>
            <w:tcW w:w="4337" w:type="pct"/>
            <w:shd w:val="clear" w:color="auto" w:fill="auto"/>
            <w:vAlign w:val="center"/>
          </w:tcPr>
          <w:p w14:paraId="774BD22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重新就业后，再次失业的，缴费时间重新计算，领取失业保险金的期限与前次失业应当领取而尚未领取的失业保险金的期限合并计算，最长不超过24个月</w:t>
            </w:r>
          </w:p>
        </w:tc>
      </w:tr>
      <w:tr w14:paraId="660399F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shd w:val="clear" w:color="auto" w:fill="auto"/>
            <w:vAlign w:val="center"/>
          </w:tcPr>
          <w:p w14:paraId="2EF79EDE">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失业人员医疗保险</w:t>
            </w:r>
          </w:p>
        </w:tc>
        <w:tc>
          <w:tcPr>
            <w:tcW w:w="4337" w:type="pct"/>
            <w:shd w:val="clear" w:color="auto" w:fill="auto"/>
            <w:vAlign w:val="center"/>
          </w:tcPr>
          <w:p w14:paraId="6C96889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失业人员在领取失业保险金期间，参加职工基本医疗保险，享受基本医疗保险待遇。失业人员应当缴纳的基本医疗保险费</w:t>
            </w:r>
            <w:r>
              <w:rPr>
                <w:rFonts w:hint="eastAsia" w:ascii="汉仪书宋一简" w:hAnsi="楷体" w:eastAsia="汉仪中黑简" w:cs="楷体"/>
                <w:color w:val="FF0000"/>
                <w:kern w:val="0"/>
                <w:sz w:val="20"/>
              </w:rPr>
              <w:t>从失业保险基金中支付</w:t>
            </w:r>
            <w:r>
              <w:rPr>
                <w:rFonts w:hint="eastAsia" w:ascii="汉仪书宋一简" w:eastAsia="汉仪书宋一简"/>
                <w:kern w:val="0"/>
                <w:sz w:val="20"/>
              </w:rPr>
              <w:t>，</w:t>
            </w:r>
            <w:r>
              <w:rPr>
                <w:rFonts w:hint="eastAsia" w:ascii="汉仪书宋一简" w:eastAsia="汉仪书宋一简"/>
                <w:color w:val="0000FF"/>
                <w:kern w:val="0"/>
                <w:sz w:val="20"/>
              </w:rPr>
              <w:t>个人不缴纳基本医疗保险费</w:t>
            </w:r>
          </w:p>
        </w:tc>
      </w:tr>
      <w:tr w14:paraId="377972E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shd w:val="clear" w:color="auto" w:fill="auto"/>
            <w:vAlign w:val="center"/>
          </w:tcPr>
          <w:p w14:paraId="33369C15">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失业人员死亡</w:t>
            </w:r>
          </w:p>
        </w:tc>
        <w:tc>
          <w:tcPr>
            <w:tcW w:w="4337" w:type="pct"/>
            <w:shd w:val="clear" w:color="auto" w:fill="auto"/>
            <w:vAlign w:val="center"/>
          </w:tcPr>
          <w:p w14:paraId="510E951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失业人员在领取失业保险金期间死亡的，向其遗属发给一次性丧葬补助金和抚恤金。所需资金从失业保险基金中支付。个人死亡</w:t>
            </w:r>
            <w:r>
              <w:rPr>
                <w:rFonts w:hint="eastAsia" w:ascii="汉仪书宋一简" w:eastAsia="汉仪书宋一简"/>
                <w:color w:val="0000FF"/>
                <w:kern w:val="0"/>
                <w:sz w:val="20"/>
              </w:rPr>
              <w:t>同时符合领取基本养老保险丧葬补助金、工伤保险丧葬补助金和失业保险丧葬补助金条件的，其遗属只能选择领取其中的一项</w:t>
            </w:r>
          </w:p>
        </w:tc>
      </w:tr>
      <w:tr w14:paraId="6170085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shd w:val="clear" w:color="auto" w:fill="auto"/>
            <w:vAlign w:val="center"/>
          </w:tcPr>
          <w:p w14:paraId="493B18C9">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异地就业</w:t>
            </w:r>
          </w:p>
        </w:tc>
        <w:tc>
          <w:tcPr>
            <w:tcW w:w="4337" w:type="pct"/>
            <w:shd w:val="clear" w:color="auto" w:fill="auto"/>
            <w:vAlign w:val="center"/>
          </w:tcPr>
          <w:p w14:paraId="7B32A85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职工跨统筹地区就业的，其失业保险关系随本人转移，缴费年限累计计算</w:t>
            </w:r>
          </w:p>
        </w:tc>
      </w:tr>
      <w:tr w14:paraId="4FBF4E3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2" w:type="pct"/>
            <w:shd w:val="clear" w:color="auto" w:fill="auto"/>
            <w:vAlign w:val="center"/>
          </w:tcPr>
          <w:p w14:paraId="21FCAE13">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停止待遇</w:t>
            </w:r>
          </w:p>
        </w:tc>
        <w:tc>
          <w:tcPr>
            <w:tcW w:w="4337" w:type="pct"/>
            <w:shd w:val="clear" w:color="auto" w:fill="auto"/>
            <w:vAlign w:val="center"/>
          </w:tcPr>
          <w:p w14:paraId="75AED8C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重新就业的；应征服兵役的；移居境外的；享受基本养老保险待遇的；无正当理由，拒不接受当地人民政府指定部门或者机构介绍的适当工作或者提供的培训的</w:t>
            </w:r>
          </w:p>
        </w:tc>
      </w:tr>
    </w:tbl>
    <w:p w14:paraId="07BC58D2">
      <w:pPr>
        <w:ind w:firstLine="420"/>
        <w:rPr>
          <w:rFonts w:hint="eastAsia" w:ascii="汉仪书宋二简"/>
        </w:rPr>
      </w:pPr>
    </w:p>
    <w:p w14:paraId="0940EC95">
      <w:pPr>
        <w:ind w:firstLine="420"/>
        <w:rPr>
          <w:rFonts w:hint="eastAsia" w:ascii="汉仪书宋二简"/>
        </w:rPr>
      </w:pPr>
      <w:bookmarkStart w:id="2" w:name="_Toc553950130"/>
    </w:p>
    <w:p w14:paraId="59F3A20C">
      <w:pPr>
        <w:pStyle w:val="2"/>
        <w:spacing w:before="0" w:line="480" w:lineRule="exact"/>
        <w:rPr>
          <w:rFonts w:hint="eastAsia"/>
        </w:rPr>
      </w:pPr>
      <w:bookmarkStart w:id="3" w:name="_Toc193726292"/>
      <w:r>
        <w:rPr>
          <w:rFonts w:hint="eastAsia"/>
          <w:color w:val="FF0000"/>
        </w:rPr>
        <w:t xml:space="preserve">  </w:t>
      </w:r>
      <w:r>
        <w:rPr>
          <w:rFonts w:hint="eastAsia"/>
        </w:rPr>
        <w:t>环境法</w:t>
      </w:r>
      <w:bookmarkEnd w:id="2"/>
      <w:bookmarkEnd w:id="3"/>
    </w:p>
    <w:p w14:paraId="05A37677">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5C7EDF01">
      <w:pPr>
        <w:ind w:firstLine="420"/>
        <w:rPr>
          <w:rFonts w:hint="eastAsia" w:ascii="汉仪书宋二简"/>
        </w:rPr>
      </w:pPr>
    </w:p>
    <w:p w14:paraId="0A3E18E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一、环境影响评价制度</w:t>
      </w:r>
    </w:p>
    <w:p w14:paraId="604D978F">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32"/>
        <w:gridCol w:w="7273"/>
      </w:tblGrid>
      <w:tr w14:paraId="4C32C66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shd w:val="clear" w:color="auto" w:fill="auto"/>
            <w:vAlign w:val="center"/>
          </w:tcPr>
          <w:p w14:paraId="0B4F4E10">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适用范围</w:t>
            </w:r>
          </w:p>
        </w:tc>
        <w:tc>
          <w:tcPr>
            <w:tcW w:w="4276" w:type="pct"/>
            <w:shd w:val="clear" w:color="auto" w:fill="auto"/>
            <w:vAlign w:val="center"/>
          </w:tcPr>
          <w:p w14:paraId="7C7268F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规划（含总体规划和专项规划），建设项目</w:t>
            </w:r>
          </w:p>
        </w:tc>
      </w:tr>
      <w:tr w14:paraId="728E18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shd w:val="clear" w:color="auto" w:fill="auto"/>
            <w:vAlign w:val="center"/>
          </w:tcPr>
          <w:p w14:paraId="52F2D14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总体规划</w:t>
            </w:r>
          </w:p>
        </w:tc>
        <w:tc>
          <w:tcPr>
            <w:tcW w:w="4276" w:type="pct"/>
            <w:shd w:val="clear" w:color="auto" w:fill="auto"/>
            <w:vAlign w:val="center"/>
          </w:tcPr>
          <w:p w14:paraId="4854A6C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总体规划，应当在规划编制过程中组织进行环境影响评价，编写该规划有关环境影响的篇章或者说明，作为规划草案的组成部分一并报送规划审批机关</w:t>
            </w:r>
          </w:p>
        </w:tc>
      </w:tr>
      <w:tr w14:paraId="4E52EC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shd w:val="clear" w:color="auto" w:fill="auto"/>
            <w:vAlign w:val="center"/>
          </w:tcPr>
          <w:p w14:paraId="505E00C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专项规划</w:t>
            </w:r>
          </w:p>
        </w:tc>
        <w:tc>
          <w:tcPr>
            <w:tcW w:w="4276" w:type="pct"/>
            <w:shd w:val="clear" w:color="auto" w:fill="auto"/>
            <w:vAlign w:val="center"/>
          </w:tcPr>
          <w:p w14:paraId="4150A83C">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专项规划，应当在该专项规划草案上报审批前，组织进行环境影响评价，并向审批该专项规划的机关提出环境影响报告书，与专项规划一并附送审批机关审查；未附送环境影响报告书的，审批机关不予审批</w:t>
            </w:r>
          </w:p>
        </w:tc>
      </w:tr>
      <w:tr w14:paraId="5506C54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restart"/>
            <w:shd w:val="clear" w:color="auto" w:fill="auto"/>
            <w:vAlign w:val="center"/>
          </w:tcPr>
          <w:p w14:paraId="5E514B4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建设项目</w:t>
            </w:r>
          </w:p>
        </w:tc>
        <w:tc>
          <w:tcPr>
            <w:tcW w:w="4276" w:type="pct"/>
            <w:shd w:val="clear" w:color="auto" w:fill="auto"/>
            <w:vAlign w:val="center"/>
          </w:tcPr>
          <w:p w14:paraId="6FC0DDB8">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中黑简" w:eastAsia="汉仪中黑简"/>
                <w:kern w:val="0"/>
                <w:sz w:val="20"/>
              </w:rPr>
              <w:t>分类管理：</w:t>
            </w:r>
            <w:r>
              <w:rPr>
                <w:rFonts w:hint="eastAsia" w:ascii="汉仪书宋一简" w:eastAsia="汉仪书宋一简"/>
                <w:kern w:val="0"/>
                <w:sz w:val="20"/>
              </w:rPr>
              <w:t>（1）可能造成</w:t>
            </w:r>
            <w:r>
              <w:rPr>
                <w:rFonts w:hint="eastAsia" w:ascii="汉仪书宋一简" w:hAnsi="楷体" w:eastAsia="汉仪中黑简" w:cs="楷体"/>
                <w:color w:val="FF0000"/>
                <w:kern w:val="0"/>
                <w:sz w:val="20"/>
              </w:rPr>
              <w:t>重大环境影响</w:t>
            </w:r>
            <w:r>
              <w:rPr>
                <w:rFonts w:hint="eastAsia" w:ascii="汉仪书宋一简" w:eastAsia="汉仪书宋一简"/>
                <w:kern w:val="0"/>
                <w:sz w:val="20"/>
              </w:rPr>
              <w:t>的，应当编制环境影响</w:t>
            </w:r>
            <w:r>
              <w:rPr>
                <w:rFonts w:hint="eastAsia" w:ascii="汉仪书宋一简" w:hAnsi="楷体" w:eastAsia="汉仪中黑简" w:cs="楷体"/>
                <w:color w:val="FF0000"/>
                <w:kern w:val="0"/>
                <w:sz w:val="20"/>
              </w:rPr>
              <w:t>报告书</w:t>
            </w:r>
            <w:r>
              <w:rPr>
                <w:rFonts w:hint="eastAsia" w:ascii="汉仪书宋一简" w:eastAsia="汉仪书宋一简"/>
                <w:kern w:val="0"/>
                <w:sz w:val="20"/>
              </w:rPr>
              <w:t>进行全面评价；（2）可能造成</w:t>
            </w:r>
            <w:r>
              <w:rPr>
                <w:rFonts w:hint="eastAsia" w:ascii="汉仪书宋一简" w:hAnsi="楷体" w:eastAsia="汉仪中黑简" w:cs="楷体"/>
                <w:color w:val="FF0000"/>
                <w:kern w:val="0"/>
                <w:sz w:val="20"/>
              </w:rPr>
              <w:t>轻度环境影响</w:t>
            </w:r>
            <w:r>
              <w:rPr>
                <w:rFonts w:hint="eastAsia" w:ascii="汉仪书宋一简" w:eastAsia="汉仪书宋一简"/>
                <w:kern w:val="0"/>
                <w:sz w:val="20"/>
              </w:rPr>
              <w:t>的，应当编制环境影响</w:t>
            </w:r>
            <w:r>
              <w:rPr>
                <w:rFonts w:hint="eastAsia" w:ascii="汉仪书宋一简" w:hAnsi="楷体" w:eastAsia="汉仪中黑简" w:cs="楷体"/>
                <w:color w:val="FF0000"/>
                <w:kern w:val="0"/>
                <w:sz w:val="20"/>
              </w:rPr>
              <w:t>报告表</w:t>
            </w:r>
            <w:r>
              <w:rPr>
                <w:rFonts w:hint="eastAsia" w:ascii="汉仪书宋一简" w:eastAsia="汉仪书宋一简"/>
                <w:kern w:val="0"/>
                <w:sz w:val="20"/>
              </w:rPr>
              <w:t>进行分析或者专项评价；（3）对环境影响很小、不需要进行环境影响评价的，应当填报环境影响登记表</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区分重大和轻度</w:t>
            </w:r>
            <w:r>
              <w:rPr>
                <w:rFonts w:hint="eastAsia" w:ascii="汉仪书宋一简" w:eastAsia="汉仪书宋一简"/>
                <w:color w:val="0000FF"/>
                <w:kern w:val="0"/>
                <w:sz w:val="20"/>
                <w:lang w:eastAsia="zh-CN"/>
              </w:rPr>
              <w:t>）</w:t>
            </w:r>
          </w:p>
        </w:tc>
      </w:tr>
      <w:tr w14:paraId="4CC414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7FCAB16B">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1E054F68">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kern w:val="0"/>
                <w:sz w:val="20"/>
              </w:rPr>
              <w:t>报告书应当包括：（1）建设项目概况；（2）建设项目周围环境现状；（3）建设项目对环境可能造成影响的分析、预测和评估；（4）建设项目环境保护措施及其技术、经济论证；（5）建设项目对环境影响的经济损益分析；（6）对建设项目实施环境监测的建议；（7）环境影响评价的结论</w:t>
            </w:r>
            <w:r>
              <w:rPr>
                <w:rFonts w:hint="eastAsia" w:ascii="汉仪书宋一简" w:eastAsia="汉仪书宋一简"/>
                <w:kern w:val="0"/>
                <w:sz w:val="20"/>
                <w:lang w:val="en-US" w:eastAsia="zh-CN"/>
              </w:rPr>
              <w:t xml:space="preserve"> 了</w:t>
            </w:r>
            <w:r>
              <w:rPr>
                <w:rFonts w:hint="eastAsia" w:ascii="汉仪书宋一简" w:eastAsia="汉仪书宋一简"/>
                <w:color w:val="0000FF"/>
                <w:kern w:val="0"/>
                <w:sz w:val="20"/>
                <w:lang w:val="en-US" w:eastAsia="zh-CN"/>
              </w:rPr>
              <w:t>解</w:t>
            </w:r>
          </w:p>
        </w:tc>
      </w:tr>
      <w:tr w14:paraId="14DEF9C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19491844">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2434B3B5">
            <w:pPr>
              <w:spacing w:before="31" w:beforeLines="10" w:after="62" w:afterLines="20" w:line="280" w:lineRule="exact"/>
              <w:ind w:firstLine="0" w:firstLineChars="0"/>
              <w:rPr>
                <w:rFonts w:hint="eastAsia" w:ascii="汉仪书宋一简" w:eastAsia="汉仪书宋一简"/>
                <w:kern w:val="0"/>
                <w:sz w:val="20"/>
              </w:rPr>
            </w:pPr>
            <w:r>
              <w:rPr>
                <w:rFonts w:hint="eastAsia" w:ascii="汉仪中黑简" w:eastAsia="汉仪中黑简"/>
                <w:kern w:val="0"/>
                <w:sz w:val="20"/>
              </w:rPr>
              <w:t>编制：</w:t>
            </w:r>
            <w:r>
              <w:rPr>
                <w:rFonts w:hint="eastAsia" w:ascii="汉仪书宋一简" w:eastAsia="汉仪书宋一简"/>
                <w:kern w:val="0"/>
                <w:sz w:val="20"/>
              </w:rPr>
              <w:t>建设单位可以委托技术单位也可以自行对其建设项目开展环境影响评价。接受委托的技术单位，不得与负责审批建设项目环境影响报告书、环境影响报告表的生态环境主管部门或者其他有关审批部门存在任何利益关系</w:t>
            </w:r>
          </w:p>
        </w:tc>
      </w:tr>
      <w:tr w14:paraId="68267C1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492104A9">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12BC982C">
            <w:pPr>
              <w:spacing w:before="31" w:beforeLines="10" w:after="62" w:afterLines="20" w:line="280" w:lineRule="exact"/>
              <w:ind w:firstLine="0" w:firstLineChars="0"/>
              <w:rPr>
                <w:rFonts w:hint="eastAsia" w:ascii="汉仪书宋一简" w:eastAsia="汉仪书宋一简"/>
                <w:kern w:val="0"/>
                <w:sz w:val="20"/>
              </w:rPr>
            </w:pPr>
            <w:r>
              <w:rPr>
                <w:rFonts w:hint="eastAsia" w:ascii="汉仪中黑简" w:eastAsia="汉仪中黑简"/>
                <w:kern w:val="0"/>
                <w:sz w:val="20"/>
              </w:rPr>
              <w:t>审批与备案：</w:t>
            </w:r>
            <w:r>
              <w:rPr>
                <w:rFonts w:hint="eastAsia" w:ascii="汉仪书宋一简" w:hAnsi="楷体" w:eastAsia="汉仪中黑简" w:cs="楷体"/>
                <w:color w:val="FF0000"/>
                <w:kern w:val="0"/>
                <w:sz w:val="20"/>
              </w:rPr>
              <w:t>报告书、报告表实行审批制</w:t>
            </w:r>
            <w:r>
              <w:rPr>
                <w:rFonts w:hint="eastAsia" w:ascii="汉仪书宋一简" w:hAnsi="楷体" w:eastAsia="汉仪中黑简" w:cs="楷体"/>
                <w:color w:val="FF0000"/>
                <w:kern w:val="0"/>
                <w:sz w:val="20"/>
                <w:lang w:eastAsia="zh-CN"/>
              </w:rPr>
              <w:t>（</w:t>
            </w:r>
            <w:r>
              <w:rPr>
                <w:rFonts w:hint="eastAsia" w:ascii="汉仪书宋一简" w:hAnsi="楷体" w:eastAsia="汉仪中黑简" w:cs="楷体"/>
                <w:color w:val="FF0000"/>
                <w:kern w:val="0"/>
                <w:sz w:val="20"/>
                <w:lang w:val="en-US" w:eastAsia="zh-CN"/>
              </w:rPr>
              <w:t>国省两级</w:t>
            </w:r>
            <w:r>
              <w:rPr>
                <w:rFonts w:hint="eastAsia" w:ascii="汉仪书宋一简" w:hAnsi="楷体" w:eastAsia="汉仪中黑简" w:cs="楷体"/>
                <w:color w:val="FF0000"/>
                <w:kern w:val="0"/>
                <w:sz w:val="20"/>
                <w:lang w:eastAsia="zh-CN"/>
              </w:rPr>
              <w:t>）</w:t>
            </w:r>
            <w:r>
              <w:rPr>
                <w:rFonts w:hint="eastAsia" w:ascii="汉仪书宋一简" w:eastAsia="汉仪书宋一简"/>
                <w:kern w:val="0"/>
                <w:sz w:val="20"/>
              </w:rPr>
              <w:t>，国务院生态环境主管部门负责审批核设施、绝密工程等特殊性质的建设项目，跨省级行政区域的建设项目以及由国务院审批的或者由国务院授权有关部门审批的建设项目的环评文件。其他项目的审批权限，由省级政府规定。建设项目可能造成跨行政区域的不良环境影响，有关生态环境主管部门对该项目的环境影响评价结论有争议的，其环境影响评价文件由共同的上一级生态环境主管部门审批。</w:t>
            </w:r>
            <w:r>
              <w:rPr>
                <w:rFonts w:hint="eastAsia" w:ascii="汉仪书宋一简" w:hAnsi="楷体" w:eastAsia="汉仪中黑简" w:cs="楷体"/>
                <w:color w:val="FF0000"/>
                <w:kern w:val="0"/>
                <w:sz w:val="20"/>
              </w:rPr>
              <w:t>登记表实行备案制</w:t>
            </w:r>
          </w:p>
        </w:tc>
      </w:tr>
      <w:tr w14:paraId="14AD490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restart"/>
            <w:shd w:val="clear" w:color="auto" w:fill="auto"/>
            <w:vAlign w:val="center"/>
          </w:tcPr>
          <w:p w14:paraId="27746437">
            <w:pPr>
              <w:spacing w:before="31" w:beforeLines="10" w:after="62" w:afterLines="20" w:line="280" w:lineRule="exact"/>
              <w:ind w:firstLine="0" w:firstLineChars="0"/>
              <w:jc w:val="center"/>
              <w:rPr>
                <w:rFonts w:hint="eastAsia" w:ascii="汉仪书宋一简" w:eastAsia="汉仪书宋一简"/>
                <w:b/>
                <w:kern w:val="0"/>
                <w:sz w:val="20"/>
              </w:rPr>
            </w:pPr>
            <w:r>
              <w:rPr>
                <w:rFonts w:hint="eastAsia" w:ascii="汉仪中黑简" w:eastAsia="汉仪中黑简"/>
                <w:bCs/>
                <w:kern w:val="0"/>
                <w:sz w:val="20"/>
              </w:rPr>
              <w:t>建设项目</w:t>
            </w:r>
          </w:p>
        </w:tc>
        <w:tc>
          <w:tcPr>
            <w:tcW w:w="4276" w:type="pct"/>
            <w:shd w:val="clear" w:color="auto" w:fill="auto"/>
            <w:vAlign w:val="center"/>
          </w:tcPr>
          <w:p w14:paraId="3735593D">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中黑简" w:eastAsia="汉仪中黑简"/>
                <w:kern w:val="0"/>
                <w:sz w:val="20"/>
              </w:rPr>
              <w:t>重新报批：</w:t>
            </w:r>
            <w:r>
              <w:rPr>
                <w:rFonts w:hint="eastAsia" w:ascii="汉仪书宋一简" w:eastAsia="汉仪书宋一简"/>
                <w:kern w:val="0"/>
                <w:sz w:val="20"/>
              </w:rPr>
              <w:t>建设项目的环境影响评价文件经批准后，建设项目的性质、规模、地点、采用的生产工艺或者防治污染、防止生态破坏的措施</w:t>
            </w:r>
            <w:r>
              <w:rPr>
                <w:rFonts w:hint="eastAsia" w:ascii="汉仪书宋一简" w:hAnsi="楷体" w:eastAsia="汉仪中黑简" w:cs="楷体"/>
                <w:color w:val="FF0000"/>
                <w:kern w:val="0"/>
                <w:sz w:val="20"/>
              </w:rPr>
              <w:t>发生重大变动</w:t>
            </w:r>
            <w:r>
              <w:rPr>
                <w:rFonts w:hint="eastAsia" w:ascii="汉仪书宋一简" w:eastAsia="汉仪书宋一简"/>
                <w:kern w:val="0"/>
                <w:sz w:val="20"/>
              </w:rPr>
              <w:t>的，建设单位应当重新报批建设项目的环境影响评价文件</w:t>
            </w:r>
          </w:p>
        </w:tc>
      </w:tr>
      <w:tr w14:paraId="58C22F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56D7A9DF">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2A9CB46B">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中黑简" w:eastAsia="汉仪中黑简"/>
                <w:kern w:val="0"/>
                <w:sz w:val="20"/>
              </w:rPr>
              <w:t>重新审核：</w:t>
            </w:r>
            <w:r>
              <w:rPr>
                <w:rFonts w:hint="eastAsia" w:ascii="汉仪书宋一简" w:eastAsia="汉仪书宋一简"/>
                <w:color w:val="0000FF"/>
                <w:kern w:val="0"/>
                <w:sz w:val="20"/>
              </w:rPr>
              <w:t>建设项目的环境影响评价文件自批准之日起超过5年，方决定该项目开工建设的</w:t>
            </w:r>
            <w:r>
              <w:rPr>
                <w:rFonts w:hint="eastAsia" w:ascii="汉仪书宋一简" w:eastAsia="汉仪书宋一简"/>
                <w:kern w:val="0"/>
                <w:sz w:val="20"/>
              </w:rPr>
              <w:t>，其环境影响评价文件应当报原审批部门重新审核</w:t>
            </w:r>
          </w:p>
        </w:tc>
      </w:tr>
      <w:tr w14:paraId="31684EB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2CAA2D9F">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17A50973">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中黑简" w:eastAsia="汉仪中黑简"/>
                <w:kern w:val="0"/>
                <w:sz w:val="20"/>
              </w:rPr>
              <w:t>后评价：</w:t>
            </w:r>
            <w:r>
              <w:rPr>
                <w:rFonts w:hint="eastAsia" w:ascii="汉仪书宋一简" w:eastAsia="汉仪书宋一简" w:hAnsiTheme="minorEastAsia"/>
                <w:kern w:val="0"/>
                <w:sz w:val="20"/>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汉仪书宋一简" w:eastAsia="汉仪书宋一简" w:hAnsiTheme="minorEastAsia"/>
                <w:color w:val="0000FF"/>
                <w:kern w:val="0"/>
                <w:sz w:val="20"/>
                <w:lang w:eastAsia="zh-CN"/>
              </w:rPr>
              <w:t>（</w:t>
            </w:r>
            <w:r>
              <w:rPr>
                <w:rFonts w:hint="eastAsia" w:ascii="汉仪书宋一简" w:eastAsia="汉仪书宋一简" w:hAnsiTheme="minorEastAsia"/>
                <w:color w:val="0000FF"/>
                <w:kern w:val="0"/>
                <w:sz w:val="20"/>
                <w:lang w:val="en-US" w:eastAsia="zh-CN"/>
              </w:rPr>
              <w:t>过程中</w:t>
            </w:r>
            <w:r>
              <w:rPr>
                <w:rFonts w:hint="eastAsia" w:ascii="汉仪书宋一简" w:eastAsia="汉仪书宋一简" w:hAnsiTheme="minorEastAsia"/>
                <w:color w:val="0000FF"/>
                <w:kern w:val="0"/>
                <w:sz w:val="20"/>
                <w:lang w:eastAsia="zh-CN"/>
              </w:rPr>
              <w:t>）</w:t>
            </w:r>
          </w:p>
        </w:tc>
      </w:tr>
      <w:tr w14:paraId="5FD6A07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restart"/>
            <w:shd w:val="clear" w:color="auto" w:fill="auto"/>
            <w:vAlign w:val="center"/>
          </w:tcPr>
          <w:p w14:paraId="09A025A3">
            <w:pPr>
              <w:spacing w:before="31" w:beforeLines="10" w:after="62" w:afterLines="20" w:line="280" w:lineRule="exact"/>
              <w:ind w:firstLine="0" w:firstLineChars="0"/>
              <w:jc w:val="center"/>
              <w:rPr>
                <w:rFonts w:hint="eastAsia" w:ascii="汉仪书宋一简" w:eastAsia="汉仪书宋一简"/>
                <w:b/>
                <w:kern w:val="0"/>
                <w:sz w:val="20"/>
              </w:rPr>
            </w:pPr>
            <w:r>
              <w:rPr>
                <w:rFonts w:hint="eastAsia" w:ascii="汉仪中黑简" w:eastAsia="汉仪中黑简"/>
                <w:bCs/>
                <w:kern w:val="0"/>
                <w:sz w:val="20"/>
              </w:rPr>
              <w:t>规划与建设项目环评的关系</w:t>
            </w:r>
          </w:p>
        </w:tc>
        <w:tc>
          <w:tcPr>
            <w:tcW w:w="4276" w:type="pct"/>
            <w:shd w:val="clear" w:color="auto" w:fill="auto"/>
            <w:vAlign w:val="center"/>
          </w:tcPr>
          <w:p w14:paraId="5FD0945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建设项目的环境影响评价，</w:t>
            </w:r>
            <w:r>
              <w:rPr>
                <w:rFonts w:hint="eastAsia" w:ascii="汉仪书宋一简" w:eastAsia="汉仪书宋一简"/>
                <w:color w:val="0000FF"/>
                <w:kern w:val="0"/>
                <w:sz w:val="20"/>
              </w:rPr>
              <w:t>应当避免与规划的环境影响评价相重复</w:t>
            </w:r>
          </w:p>
        </w:tc>
      </w:tr>
      <w:tr w14:paraId="52D6E91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47D61805">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7B645327">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作为一项整体建设项目的规划，按建设项目进行环评，不进行规划的环评</w:t>
            </w:r>
          </w:p>
        </w:tc>
      </w:tr>
      <w:tr w14:paraId="6433380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24" w:type="pct"/>
            <w:vMerge w:val="continue"/>
            <w:shd w:val="clear" w:color="auto" w:fill="auto"/>
            <w:vAlign w:val="center"/>
          </w:tcPr>
          <w:p w14:paraId="19B9F7BF">
            <w:pPr>
              <w:spacing w:before="31" w:beforeLines="10" w:after="62" w:afterLines="20" w:line="280" w:lineRule="exact"/>
              <w:ind w:firstLine="0" w:firstLineChars="0"/>
              <w:rPr>
                <w:rFonts w:hint="eastAsia" w:ascii="汉仪书宋一简" w:eastAsia="汉仪书宋一简"/>
                <w:b/>
                <w:kern w:val="0"/>
                <w:sz w:val="20"/>
              </w:rPr>
            </w:pPr>
          </w:p>
        </w:tc>
        <w:tc>
          <w:tcPr>
            <w:tcW w:w="4276" w:type="pct"/>
            <w:shd w:val="clear" w:color="auto" w:fill="auto"/>
            <w:vAlign w:val="center"/>
          </w:tcPr>
          <w:p w14:paraId="0E6217AE">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已经进行了环境影响评价的规划包含具体建设项目的，</w:t>
            </w:r>
            <w:r>
              <w:rPr>
                <w:rFonts w:hint="eastAsia" w:ascii="汉仪书宋一简" w:eastAsia="汉仪书宋一简"/>
                <w:color w:val="0000FF"/>
                <w:kern w:val="0"/>
                <w:sz w:val="20"/>
              </w:rPr>
              <w:t>规划的环境影响评价结论应当作为建设项目环境影响评价的重要依据</w:t>
            </w:r>
            <w:r>
              <w:rPr>
                <w:rFonts w:hint="eastAsia" w:ascii="汉仪书宋一简" w:eastAsia="汉仪书宋一简"/>
                <w:kern w:val="0"/>
                <w:sz w:val="20"/>
              </w:rPr>
              <w:t>，建设项目环境影响评价的内容应当根据规划的环境影响评价审查意见予以简化</w:t>
            </w:r>
          </w:p>
        </w:tc>
      </w:tr>
    </w:tbl>
    <w:p w14:paraId="58B81A23">
      <w:pPr>
        <w:ind w:firstLine="420"/>
        <w:rPr>
          <w:rFonts w:hint="eastAsia" w:ascii="汉仪书宋二简" w:cs="Times New Roman"/>
          <w:color w:val="000000"/>
          <w:szCs w:val="22"/>
        </w:rPr>
      </w:pPr>
    </w:p>
    <w:p w14:paraId="53181EBA">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rPr>
      </w:pPr>
      <w:r>
        <w:rPr>
          <w:rFonts w:hint="eastAsia" w:ascii="汉仪粗宋简" w:hAnsi="Times New Roman" w:eastAsia="汉仪大宋简" w:cs="汉仪粗宋简"/>
          <w:color w:val="000000"/>
          <w:kern w:val="0"/>
          <w:position w:val="4"/>
          <w:sz w:val="26"/>
          <w:szCs w:val="26"/>
          <w:lang w:val="zh-CN"/>
        </w:rPr>
        <w:t>二、其他基本制度</w:t>
      </w:r>
    </w:p>
    <w:p w14:paraId="5F5FAFF8">
      <w:pPr>
        <w:ind w:firstLine="440"/>
        <w:rPr>
          <w:rFonts w:hint="eastAsia" w:ascii="汉仪中黑简" w:eastAsia="汉仪中黑简" w:hAnsiTheme="minorEastAsia"/>
          <w:kern w:val="0"/>
          <w:sz w:val="22"/>
          <w:szCs w:val="22"/>
        </w:rPr>
      </w:pPr>
      <w:r>
        <w:rPr>
          <w:rFonts w:hint="eastAsia" w:ascii="汉仪中黑简" w:eastAsia="汉仪中黑简"/>
          <w:kern w:val="0"/>
          <w:sz w:val="22"/>
          <w:szCs w:val="22"/>
        </w:rPr>
        <w:t>1</w:t>
      </w:r>
      <w:r>
        <w:rPr>
          <w:rFonts w:hint="eastAsia" w:ascii="汉仪中黑简" w:eastAsia="汉仪中黑简" w:hAnsiTheme="minorEastAsia"/>
          <w:kern w:val="0"/>
          <w:sz w:val="22"/>
          <w:szCs w:val="22"/>
        </w:rPr>
        <w:t>．环境标准</w:t>
      </w:r>
    </w:p>
    <w:p w14:paraId="74EE943C">
      <w:pPr>
        <w:ind w:firstLine="420"/>
        <w:rPr>
          <w:rFonts w:hint="eastAsia" w:ascii="汉仪书宋二简" w:hAnsiTheme="minorEastAsia"/>
          <w:color w:val="0000FF"/>
          <w:kern w:val="0"/>
        </w:rPr>
      </w:pPr>
      <w:r>
        <w:rPr>
          <w:rFonts w:hint="eastAsia" w:ascii="汉仪书宋二简" w:hAnsiTheme="minorEastAsia"/>
          <w:kern w:val="0"/>
        </w:rPr>
        <w:t>（</w:t>
      </w:r>
      <w:r>
        <w:rPr>
          <w:rFonts w:hint="eastAsia" w:ascii="汉仪书宋二简"/>
          <w:kern w:val="0"/>
        </w:rPr>
        <w:t>1</w:t>
      </w:r>
      <w:r>
        <w:rPr>
          <w:rFonts w:hint="eastAsia" w:ascii="汉仪书宋二简" w:hAnsiTheme="minorEastAsia"/>
          <w:kern w:val="0"/>
        </w:rPr>
        <w:t>）环境质量标准：国标由国务院环境保护主管部门制定，地标由省级政府制定并报国务院环境保护主管部门备案。</w:t>
      </w:r>
      <w:r>
        <w:rPr>
          <w:rFonts w:hint="eastAsia" w:ascii="汉仪书宋二简" w:hAnsiTheme="minorEastAsia"/>
          <w:color w:val="0000FF"/>
          <w:kern w:val="0"/>
        </w:rPr>
        <w:t>没有国标可以制定地标，有国标可以制定更严格地标。</w:t>
      </w:r>
    </w:p>
    <w:p w14:paraId="7FB9A526">
      <w:pPr>
        <w:ind w:firstLine="420"/>
        <w:rPr>
          <w:rFonts w:hint="eastAsia" w:ascii="汉仪书宋二简" w:hAnsiTheme="minorEastAsia"/>
          <w:color w:val="0000FF"/>
          <w:kern w:val="0"/>
        </w:rPr>
      </w:pPr>
      <w:r>
        <w:rPr>
          <w:rFonts w:hint="eastAsia" w:ascii="汉仪书宋二简" w:hAnsiTheme="minorEastAsia"/>
          <w:kern w:val="0"/>
        </w:rPr>
        <w:t>（</w:t>
      </w:r>
      <w:r>
        <w:rPr>
          <w:rFonts w:hint="eastAsia" w:ascii="汉仪书宋二简"/>
          <w:kern w:val="0"/>
        </w:rPr>
        <w:t>2</w:t>
      </w:r>
      <w:r>
        <w:rPr>
          <w:rFonts w:hint="eastAsia" w:ascii="汉仪书宋二简" w:hAnsiTheme="minorEastAsia"/>
          <w:kern w:val="0"/>
        </w:rPr>
        <w:t>）污染物排放标准：国务院环境保护主管部门根据国家环境质量标准和国家经济、技术条件，制定国家污染物排放标准。地标由省级政府制定并报国务院环境保护主管部门备案。</w:t>
      </w:r>
      <w:r>
        <w:rPr>
          <w:rFonts w:hint="eastAsia" w:ascii="汉仪书宋二简" w:hAnsiTheme="minorEastAsia"/>
          <w:color w:val="0000FF"/>
          <w:kern w:val="0"/>
        </w:rPr>
        <w:t>没有国标可以制定地标，有国标可以制定更严格地标。</w:t>
      </w:r>
    </w:p>
    <w:p w14:paraId="10019D9E">
      <w:pPr>
        <w:ind w:firstLine="440"/>
        <w:rPr>
          <w:rFonts w:hint="eastAsia" w:ascii="汉仪中黑简" w:eastAsia="汉仪中黑简"/>
          <w:kern w:val="0"/>
          <w:sz w:val="22"/>
          <w:szCs w:val="22"/>
        </w:rPr>
      </w:pPr>
      <w:r>
        <w:rPr>
          <w:rFonts w:hint="eastAsia" w:ascii="汉仪中黑简" w:eastAsia="汉仪中黑简"/>
          <w:kern w:val="0"/>
          <w:sz w:val="22"/>
          <w:szCs w:val="22"/>
        </w:rPr>
        <w:t>2．生态保护</w:t>
      </w:r>
    </w:p>
    <w:p w14:paraId="29085EC9">
      <w:pPr>
        <w:ind w:firstLine="420"/>
        <w:rPr>
          <w:rFonts w:hint="eastAsia" w:ascii="汉仪书宋二简" w:eastAsia="汉仪书宋二简" w:hAnsiTheme="minorEastAsia"/>
          <w:kern w:val="0"/>
          <w:lang w:eastAsia="zh-CN"/>
        </w:rPr>
      </w:pPr>
      <w:r>
        <w:rPr>
          <w:rFonts w:hint="eastAsia" w:ascii="汉仪书宋二简" w:hAnsiTheme="minorEastAsia"/>
          <w:kern w:val="0"/>
        </w:rPr>
        <w:t>（</w:t>
      </w:r>
      <w:r>
        <w:rPr>
          <w:rFonts w:hint="eastAsia" w:ascii="汉仪书宋二简"/>
          <w:kern w:val="0"/>
        </w:rPr>
        <w:t>1</w:t>
      </w:r>
      <w:r>
        <w:rPr>
          <w:rFonts w:hint="eastAsia" w:ascii="汉仪书宋二简" w:hAnsiTheme="minorEastAsia"/>
          <w:kern w:val="0"/>
        </w:rPr>
        <w:t>）生态保护红线：国家在</w:t>
      </w:r>
      <w:r>
        <w:rPr>
          <w:rFonts w:hint="eastAsia" w:ascii="汉仪书宋二简" w:hAnsiTheme="minorEastAsia"/>
          <w:color w:val="0000FF"/>
          <w:kern w:val="0"/>
        </w:rPr>
        <w:t>重点生态功能区、生态环境敏感区和脆弱区等区域划定生态保护红线</w:t>
      </w:r>
      <w:r>
        <w:rPr>
          <w:rFonts w:hint="eastAsia" w:ascii="汉仪书宋二简" w:hAnsiTheme="minorEastAsia"/>
          <w:kern w:val="0"/>
        </w:rPr>
        <w:t>，实行严格保护。</w:t>
      </w:r>
      <w:r>
        <w:rPr>
          <w:rFonts w:hint="eastAsia" w:ascii="汉仪书宋二简" w:hAnsiTheme="minorEastAsia"/>
          <w:kern w:val="0"/>
          <w:lang w:eastAsia="zh-CN"/>
        </w:rPr>
        <w:t>（</w:t>
      </w:r>
      <w:r>
        <w:rPr>
          <w:rFonts w:hint="eastAsia" w:ascii="汉仪书宋二简" w:hAnsiTheme="minorEastAsia"/>
          <w:kern w:val="0"/>
          <w:lang w:val="en-US" w:eastAsia="zh-CN"/>
        </w:rPr>
        <w:t>三区</w:t>
      </w:r>
      <w:r>
        <w:rPr>
          <w:rFonts w:hint="eastAsia" w:ascii="汉仪书宋二简" w:hAnsiTheme="minorEastAsia"/>
          <w:kern w:val="0"/>
          <w:lang w:eastAsia="zh-CN"/>
        </w:rPr>
        <w:t>）</w:t>
      </w:r>
    </w:p>
    <w:p w14:paraId="41291B30">
      <w:pPr>
        <w:ind w:firstLine="420"/>
        <w:rPr>
          <w:rFonts w:hint="eastAsia" w:ascii="汉仪书宋二简" w:hAnsiTheme="minorEastAsia"/>
          <w:kern w:val="0"/>
        </w:rPr>
      </w:pPr>
      <w:r>
        <w:rPr>
          <w:rFonts w:hint="eastAsia" w:ascii="汉仪书宋二简" w:hAnsiTheme="minorEastAsia"/>
          <w:kern w:val="0"/>
        </w:rPr>
        <w:t>（</w:t>
      </w:r>
      <w:r>
        <w:rPr>
          <w:rFonts w:hint="eastAsia" w:ascii="汉仪书宋二简"/>
          <w:kern w:val="0"/>
        </w:rPr>
        <w:t>2</w:t>
      </w:r>
      <w:r>
        <w:rPr>
          <w:rFonts w:hint="eastAsia" w:ascii="汉仪书宋二简" w:hAnsiTheme="minorEastAsia"/>
          <w:kern w:val="0"/>
        </w:rPr>
        <w:t>）生物多样性：引进外来物种以及研究、开发和利用生物技术，应当采取措施，防止对生物多样性的破坏。</w:t>
      </w:r>
    </w:p>
    <w:p w14:paraId="6104D5EE">
      <w:pPr>
        <w:ind w:firstLine="420"/>
        <w:rPr>
          <w:rFonts w:hint="eastAsia" w:ascii="汉仪书宋二简" w:hAnsiTheme="minorEastAsia"/>
          <w:kern w:val="0"/>
        </w:rPr>
      </w:pPr>
      <w:r>
        <w:rPr>
          <w:rFonts w:hint="eastAsia" w:ascii="汉仪书宋二简" w:hAnsiTheme="minorEastAsia"/>
          <w:kern w:val="0"/>
        </w:rPr>
        <w:t>（</w:t>
      </w:r>
      <w:r>
        <w:rPr>
          <w:rFonts w:hint="eastAsia" w:ascii="汉仪书宋二简"/>
          <w:kern w:val="0"/>
        </w:rPr>
        <w:t>3</w:t>
      </w:r>
      <w:r>
        <w:rPr>
          <w:rFonts w:hint="eastAsia" w:ascii="汉仪书宋二简" w:hAnsiTheme="minorEastAsia"/>
          <w:kern w:val="0"/>
        </w:rPr>
        <w:t>）生态补偿：国家</w:t>
      </w:r>
      <w:r>
        <w:rPr>
          <w:rFonts w:hint="eastAsia" w:ascii="汉仪书宋二简" w:hAnsiTheme="minorEastAsia"/>
          <w:color w:val="0000FF"/>
          <w:kern w:val="0"/>
        </w:rPr>
        <w:t>加大对生态保护地区的财政转移支付力度</w:t>
      </w:r>
      <w:r>
        <w:rPr>
          <w:rFonts w:hint="eastAsia" w:ascii="汉仪书宋二简" w:hAnsiTheme="minorEastAsia"/>
          <w:kern w:val="0"/>
        </w:rPr>
        <w:t>。国家指导受益地区和生态保护地区人民政府通过协商或者按照市场规则进行生态保护补偿。</w:t>
      </w:r>
    </w:p>
    <w:p w14:paraId="118FEEF8">
      <w:pPr>
        <w:ind w:firstLine="440"/>
        <w:rPr>
          <w:rFonts w:hint="eastAsia" w:ascii="汉仪中黑简" w:eastAsia="汉仪中黑简"/>
          <w:kern w:val="0"/>
          <w:sz w:val="22"/>
          <w:szCs w:val="22"/>
        </w:rPr>
      </w:pPr>
      <w:r>
        <w:rPr>
          <w:rFonts w:hint="eastAsia" w:ascii="汉仪中黑简" w:eastAsia="汉仪中黑简"/>
          <w:kern w:val="0"/>
          <w:sz w:val="22"/>
          <w:szCs w:val="22"/>
        </w:rPr>
        <w:t>3．总量控制</w:t>
      </w:r>
    </w:p>
    <w:p w14:paraId="59CF5BF6">
      <w:pPr>
        <w:ind w:firstLine="420"/>
        <w:rPr>
          <w:rFonts w:hint="eastAsia" w:ascii="汉仪书宋二简" w:hAnsiTheme="minorEastAsia"/>
          <w:kern w:val="0"/>
        </w:rPr>
      </w:pPr>
      <w:r>
        <w:rPr>
          <w:rFonts w:hint="eastAsia" w:ascii="汉仪书宋二简" w:hAnsiTheme="minorEastAsia"/>
          <w:kern w:val="0"/>
        </w:rPr>
        <w:t>（</w:t>
      </w:r>
      <w:r>
        <w:rPr>
          <w:rFonts w:hint="eastAsia" w:ascii="汉仪书宋二简"/>
          <w:kern w:val="0"/>
        </w:rPr>
        <w:t>1</w:t>
      </w:r>
      <w:r>
        <w:rPr>
          <w:rFonts w:hint="eastAsia" w:ascii="汉仪书宋二简" w:hAnsiTheme="minorEastAsia"/>
          <w:kern w:val="0"/>
        </w:rPr>
        <w:t>）重点污染物排放总量控制指标由国务院下达，省级政府分解落实。</w:t>
      </w:r>
    </w:p>
    <w:p w14:paraId="0307CB3B">
      <w:pPr>
        <w:ind w:firstLine="420"/>
        <w:rPr>
          <w:rFonts w:hint="eastAsia" w:ascii="汉仪书宋二简" w:hAnsiTheme="minorEastAsia"/>
          <w:kern w:val="0"/>
        </w:rPr>
      </w:pPr>
      <w:r>
        <w:rPr>
          <w:rFonts w:hint="eastAsia" w:ascii="汉仪书宋二简" w:hAnsiTheme="minorEastAsia"/>
          <w:kern w:val="0"/>
        </w:rPr>
        <w:t>（</w:t>
      </w:r>
      <w:r>
        <w:rPr>
          <w:rFonts w:hint="eastAsia" w:ascii="汉仪书宋二简"/>
          <w:kern w:val="0"/>
        </w:rPr>
        <w:t>2</w:t>
      </w:r>
      <w:r>
        <w:rPr>
          <w:rFonts w:hint="eastAsia" w:ascii="汉仪书宋二简" w:hAnsiTheme="minorEastAsia"/>
          <w:kern w:val="0"/>
        </w:rPr>
        <w:t>）区域限批：对超过国家重点污染物排放总量控制指标或未完成国家确定的环境质量目标的地区，省级以上政府环境保护主管部门应当暂停审批其新增重点污染物排放总量的建设项目环境影响评价文件。</w:t>
      </w:r>
    </w:p>
    <w:p w14:paraId="5D0C4842">
      <w:pPr>
        <w:ind w:firstLine="440"/>
        <w:rPr>
          <w:rFonts w:hint="eastAsia" w:ascii="汉仪中黑简" w:eastAsia="汉仪中黑简"/>
          <w:kern w:val="0"/>
          <w:sz w:val="22"/>
          <w:szCs w:val="22"/>
        </w:rPr>
      </w:pPr>
      <w:r>
        <w:rPr>
          <w:rFonts w:hint="eastAsia" w:ascii="汉仪中黑简" w:eastAsia="汉仪中黑简"/>
          <w:kern w:val="0"/>
          <w:sz w:val="22"/>
          <w:szCs w:val="22"/>
        </w:rPr>
        <w:t>4．公益诉讼</w:t>
      </w:r>
    </w:p>
    <w:p w14:paraId="3B3D042A">
      <w:pPr>
        <w:ind w:firstLine="420"/>
        <w:rPr>
          <w:rFonts w:hint="eastAsia" w:ascii="汉仪书宋二简" w:hAnsiTheme="minorEastAsia"/>
          <w:kern w:val="0"/>
        </w:rPr>
      </w:pPr>
      <w:r>
        <w:rPr>
          <w:rFonts w:hint="eastAsia" w:ascii="汉仪书宋二简" w:hAnsiTheme="minorEastAsia"/>
          <w:kern w:val="0"/>
        </w:rPr>
        <w:t>（</w:t>
      </w:r>
      <w:r>
        <w:rPr>
          <w:rFonts w:hint="eastAsia" w:ascii="汉仪书宋二简"/>
          <w:kern w:val="0"/>
        </w:rPr>
        <w:t>1</w:t>
      </w:r>
      <w:r>
        <w:rPr>
          <w:rFonts w:hint="eastAsia" w:ascii="汉仪书宋二简" w:hAnsiTheme="minorEastAsia"/>
          <w:kern w:val="0"/>
        </w:rPr>
        <w:t>）适用范围：污染环境、破坏生态，损害社会公共利益的行为。</w:t>
      </w:r>
    </w:p>
    <w:p w14:paraId="2ED5973A">
      <w:pPr>
        <w:ind w:firstLine="420"/>
        <w:rPr>
          <w:rFonts w:hint="default" w:ascii="汉仪书宋二简" w:eastAsia="汉仪书宋二简" w:hAnsiTheme="minorEastAsia"/>
          <w:color w:val="0000FF"/>
          <w:kern w:val="0"/>
          <w:lang w:val="en-US" w:eastAsia="zh-CN"/>
        </w:rPr>
      </w:pPr>
      <w:r>
        <w:rPr>
          <w:rFonts w:hint="eastAsia" w:ascii="汉仪书宋二简" w:hAnsiTheme="minorEastAsia"/>
          <w:kern w:val="0"/>
        </w:rPr>
        <w:t>（</w:t>
      </w:r>
      <w:r>
        <w:rPr>
          <w:rFonts w:hint="eastAsia" w:ascii="汉仪书宋二简"/>
          <w:kern w:val="0"/>
        </w:rPr>
        <w:t>2</w:t>
      </w:r>
      <w:r>
        <w:rPr>
          <w:rFonts w:hint="eastAsia" w:ascii="汉仪书宋二简" w:hAnsiTheme="minorEastAsia"/>
          <w:kern w:val="0"/>
        </w:rPr>
        <w:t>）原告资格：依法</w:t>
      </w:r>
      <w:r>
        <w:rPr>
          <w:rFonts w:hint="eastAsia" w:ascii="汉仪书宋二简" w:hAnsi="楷体" w:eastAsia="汉仪中黑简" w:cs="楷体"/>
          <w:color w:val="FF0000"/>
          <w:kern w:val="0"/>
        </w:rPr>
        <w:t>在设区的市级以上政府民政部门登记</w:t>
      </w:r>
      <w:r>
        <w:rPr>
          <w:rFonts w:hint="eastAsia" w:ascii="汉仪书宋二简" w:hAnsiTheme="minorEastAsia"/>
          <w:kern w:val="0"/>
        </w:rPr>
        <w:t>、专门从事环境保护公益活动连续</w:t>
      </w:r>
      <w:r>
        <w:rPr>
          <w:rFonts w:hint="eastAsia" w:ascii="汉仪书宋二简"/>
          <w:kern w:val="0"/>
        </w:rPr>
        <w:t>5</w:t>
      </w:r>
      <w:r>
        <w:rPr>
          <w:rFonts w:hint="eastAsia" w:ascii="汉仪书宋二简" w:hAnsiTheme="minorEastAsia"/>
          <w:kern w:val="0"/>
        </w:rPr>
        <w:t>年以上且无违法记录的社会组织可以起诉</w:t>
      </w:r>
      <w:r>
        <w:rPr>
          <w:rFonts w:hint="eastAsia" w:ascii="汉仪书宋二简" w:hAnsiTheme="minorEastAsia"/>
          <w:color w:val="0000FF"/>
          <w:kern w:val="0"/>
        </w:rPr>
        <w:t>。</w:t>
      </w:r>
      <w:r>
        <w:rPr>
          <w:rFonts w:hint="eastAsia" w:ascii="汉仪书宋二简" w:hAnsiTheme="minorEastAsia"/>
          <w:color w:val="0000FF"/>
          <w:kern w:val="0"/>
          <w:lang w:val="en-US" w:eastAsia="zh-CN"/>
        </w:rPr>
        <w:t>检察院可以提起</w:t>
      </w:r>
    </w:p>
    <w:p w14:paraId="43ACC13C">
      <w:pPr>
        <w:ind w:firstLine="420"/>
        <w:rPr>
          <w:rFonts w:hint="eastAsia" w:ascii="汉仪书宋二简" w:cs="Times New Roman"/>
          <w:color w:val="000000"/>
          <w:szCs w:val="22"/>
        </w:rPr>
      </w:pPr>
    </w:p>
    <w:p w14:paraId="7B2BB433">
      <w:pPr>
        <w:pStyle w:val="3"/>
        <w:rPr>
          <w:rFonts w:hint="eastAsia"/>
        </w:rPr>
      </w:pPr>
      <w:r>
        <w:rPr>
          <w:rFonts w:hint="eastAsia"/>
        </w:rPr>
        <w:t>三、环境法律责任</w:t>
      </w:r>
    </w:p>
    <w:p w14:paraId="7E07BB46">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7381"/>
      </w:tblGrid>
      <w:tr w14:paraId="1CE6EDE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restart"/>
            <w:shd w:val="clear" w:color="auto" w:fill="auto"/>
            <w:vAlign w:val="center"/>
          </w:tcPr>
          <w:p w14:paraId="56ACF5F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民事责任</w:t>
            </w:r>
          </w:p>
        </w:tc>
        <w:tc>
          <w:tcPr>
            <w:tcW w:w="4339" w:type="pct"/>
            <w:shd w:val="clear" w:color="auto" w:fill="auto"/>
            <w:vAlign w:val="center"/>
          </w:tcPr>
          <w:p w14:paraId="4466200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适用《民法典》</w:t>
            </w:r>
          </w:p>
        </w:tc>
      </w:tr>
      <w:tr w14:paraId="6AD3DE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62419673">
            <w:pPr>
              <w:spacing w:before="31" w:beforeLines="10" w:after="62" w:afterLines="2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0935AA5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连带责任：环境影响评价机构、环境监测机构以及从事环境监测设备和防治污染设施维护、运营的机构，在有关环境服务活动中弄虚作假，对造成的环境污染和生态破坏负有责任的，除予以处罚外，</w:t>
            </w:r>
            <w:r>
              <w:rPr>
                <w:rFonts w:hint="eastAsia" w:ascii="汉仪书宋一简" w:eastAsia="汉仪书宋一简"/>
                <w:color w:val="0000FF"/>
                <w:kern w:val="0"/>
                <w:sz w:val="20"/>
              </w:rPr>
              <w:t>还应当与造成环境污染和生态破坏的其他责任者承担连带责任</w:t>
            </w:r>
          </w:p>
        </w:tc>
      </w:tr>
      <w:tr w14:paraId="1E954D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restart"/>
            <w:shd w:val="clear" w:color="auto" w:fill="auto"/>
            <w:vAlign w:val="center"/>
          </w:tcPr>
          <w:p w14:paraId="7E691CC7">
            <w:pPr>
              <w:spacing w:before="31" w:beforeLines="10" w:after="62" w:afterLines="20" w:line="280" w:lineRule="exact"/>
              <w:ind w:firstLine="0" w:firstLineChars="0"/>
              <w:jc w:val="center"/>
              <w:rPr>
                <w:rFonts w:hint="eastAsia" w:ascii="汉仪中黑简" w:eastAsia="汉仪中黑简"/>
                <w:bCs/>
                <w:kern w:val="0"/>
                <w:sz w:val="20"/>
              </w:rPr>
            </w:pPr>
          </w:p>
          <w:p w14:paraId="0FD704E0">
            <w:pPr>
              <w:spacing w:before="31" w:beforeLines="10" w:after="62" w:afterLines="20" w:line="280" w:lineRule="exact"/>
              <w:ind w:firstLine="0" w:firstLineChars="0"/>
              <w:jc w:val="center"/>
              <w:rPr>
                <w:rFonts w:hint="eastAsia" w:ascii="汉仪中黑简" w:eastAsia="汉仪中黑简"/>
                <w:bCs/>
                <w:kern w:val="0"/>
                <w:sz w:val="20"/>
              </w:rPr>
            </w:pPr>
          </w:p>
          <w:p w14:paraId="023C3BFC">
            <w:pPr>
              <w:spacing w:before="31" w:beforeLines="10" w:after="62" w:afterLines="20" w:line="280" w:lineRule="exact"/>
              <w:ind w:firstLine="0" w:firstLineChars="0"/>
              <w:jc w:val="center"/>
              <w:rPr>
                <w:rFonts w:hint="eastAsia" w:ascii="汉仪中黑简" w:eastAsia="汉仪中黑简"/>
                <w:bCs/>
                <w:kern w:val="0"/>
                <w:sz w:val="20"/>
              </w:rPr>
            </w:pPr>
          </w:p>
          <w:p w14:paraId="5548B615">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行政责任</w:t>
            </w:r>
          </w:p>
          <w:p w14:paraId="425F26AD">
            <w:pPr>
              <w:spacing w:before="31" w:beforeLines="10" w:after="62" w:afterLines="20" w:line="280" w:lineRule="exact"/>
              <w:ind w:firstLine="0" w:firstLineChars="0"/>
              <w:jc w:val="center"/>
              <w:rPr>
                <w:rFonts w:hint="eastAsia" w:ascii="汉仪中黑简" w:eastAsia="汉仪中黑简"/>
                <w:bCs/>
                <w:kern w:val="0"/>
                <w:sz w:val="20"/>
              </w:rPr>
            </w:pPr>
          </w:p>
          <w:p w14:paraId="6C44D98F">
            <w:pPr>
              <w:spacing w:before="31" w:beforeLines="10" w:after="62" w:afterLines="20" w:line="280" w:lineRule="exact"/>
              <w:ind w:firstLine="0" w:firstLineChars="0"/>
              <w:jc w:val="center"/>
              <w:rPr>
                <w:rFonts w:hint="eastAsia" w:ascii="汉仪中黑简" w:eastAsia="汉仪中黑简"/>
                <w:bCs/>
                <w:kern w:val="0"/>
                <w:sz w:val="20"/>
              </w:rPr>
            </w:pPr>
          </w:p>
          <w:p w14:paraId="4F518ABE">
            <w:pPr>
              <w:spacing w:before="31" w:beforeLines="10" w:after="62" w:afterLines="20" w:line="280" w:lineRule="exact"/>
              <w:ind w:firstLine="0" w:firstLineChars="0"/>
              <w:jc w:val="center"/>
              <w:rPr>
                <w:rFonts w:hint="eastAsia" w:ascii="汉仪中黑简" w:eastAsia="汉仪中黑简"/>
                <w:bCs/>
                <w:kern w:val="0"/>
                <w:sz w:val="20"/>
              </w:rPr>
            </w:pPr>
          </w:p>
          <w:p w14:paraId="0D2F9DD8">
            <w:pPr>
              <w:spacing w:before="31" w:beforeLines="10" w:after="62" w:afterLines="20" w:line="280" w:lineRule="exact"/>
              <w:ind w:firstLine="0" w:firstLineChars="0"/>
              <w:jc w:val="center"/>
              <w:rPr>
                <w:rFonts w:hint="eastAsia" w:ascii="汉仪中黑简" w:eastAsia="汉仪中黑简"/>
                <w:bCs/>
                <w:kern w:val="0"/>
                <w:sz w:val="20"/>
              </w:rPr>
            </w:pPr>
          </w:p>
          <w:p w14:paraId="7A04BB38">
            <w:pPr>
              <w:spacing w:before="31" w:beforeLines="10" w:after="62" w:afterLines="20" w:line="280" w:lineRule="exact"/>
              <w:ind w:firstLine="0" w:firstLineChars="0"/>
              <w:jc w:val="center"/>
              <w:rPr>
                <w:rFonts w:hint="eastAsia" w:ascii="汉仪中黑简" w:eastAsia="汉仪中黑简"/>
                <w:bCs/>
                <w:kern w:val="0"/>
                <w:sz w:val="20"/>
              </w:rPr>
            </w:pPr>
          </w:p>
          <w:p w14:paraId="6EB31D1F">
            <w:pPr>
              <w:spacing w:before="31" w:beforeLines="10" w:after="62" w:afterLines="20" w:line="200" w:lineRule="exact"/>
              <w:ind w:firstLine="0" w:firstLineChars="0"/>
              <w:jc w:val="center"/>
              <w:rPr>
                <w:rFonts w:hint="eastAsia" w:ascii="汉仪中黑简" w:eastAsia="汉仪中黑简"/>
                <w:bCs/>
                <w:kern w:val="0"/>
                <w:sz w:val="20"/>
              </w:rPr>
            </w:pPr>
          </w:p>
          <w:p w14:paraId="39164FE9">
            <w:pPr>
              <w:spacing w:before="31" w:beforeLines="10" w:after="62" w:afterLines="20" w:line="140" w:lineRule="exact"/>
              <w:ind w:firstLine="0" w:firstLineChars="0"/>
              <w:jc w:val="center"/>
              <w:rPr>
                <w:rFonts w:hint="eastAsia" w:ascii="汉仪中黑简" w:eastAsia="汉仪中黑简"/>
                <w:bCs/>
                <w:kern w:val="0"/>
                <w:sz w:val="20"/>
              </w:rPr>
            </w:pPr>
          </w:p>
          <w:p w14:paraId="5D1A6ECC">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行政责任</w:t>
            </w:r>
          </w:p>
        </w:tc>
        <w:tc>
          <w:tcPr>
            <w:tcW w:w="4339" w:type="pct"/>
            <w:shd w:val="clear" w:color="auto" w:fill="auto"/>
            <w:vAlign w:val="center"/>
          </w:tcPr>
          <w:p w14:paraId="5A197B1F">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按日连续处罚：违法排放污染物，受到罚款处罚，被责令改正，拒不改正的，依法作出处罚决定的行政机关可以自责令改正之日的次日起，按照原处罚数额按日连续处罚。地方性法规可以根据环境保护的实际需要，增加按日连续处罚的违法行为的种类</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罚款数额不一定按原来的</w:t>
            </w:r>
            <w:r>
              <w:rPr>
                <w:rFonts w:hint="eastAsia" w:ascii="汉仪书宋一简" w:eastAsia="汉仪书宋一简"/>
                <w:kern w:val="0"/>
                <w:sz w:val="20"/>
                <w:lang w:eastAsia="zh-CN"/>
              </w:rPr>
              <w:t>）</w:t>
            </w:r>
          </w:p>
        </w:tc>
      </w:tr>
      <w:tr w14:paraId="1870B71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60CAD6EE">
            <w:pPr>
              <w:spacing w:before="31" w:beforeLines="10" w:after="62" w:afterLines="2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60A4417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超标排污：企业事业单位和其他生产经营者超过污染物排放标准或者超过重点污染物排放总量控制指标排放污染物的，县级以上生态环境主管部门可以责令其采取限制生产、停产整治等措施；情节严重的，报经有批准权的政府批准，责令停业、关闭</w:t>
            </w:r>
          </w:p>
        </w:tc>
      </w:tr>
      <w:tr w14:paraId="7C5229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372BE789">
            <w:pPr>
              <w:spacing w:before="31" w:beforeLines="10" w:after="62" w:afterLines="2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631CDFC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行政拘留：企业事业单位和其他生产经营者有下列行为之一，尚不构成犯罪的，除依照有关法律法规规定予以处罚外，移送公安机关，对其直接负责的主管人员和其他直接责任人员处以拘留：</w:t>
            </w:r>
          </w:p>
          <w:p w14:paraId="2C3B34B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（1）建设项目未依法进行环境影响评价，被责令停止建设，拒不执行的</w:t>
            </w:r>
          </w:p>
          <w:p w14:paraId="474505D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（2）违反法律规定，未取得排污许可证排放污染物，被责令停止排污，拒不执行的</w:t>
            </w:r>
          </w:p>
          <w:p w14:paraId="6B3B759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（3）通过暗管、渗井、渗坑、灌注或者篡改、伪造监测数据，或者不正常运行防治污染设施等逃避监管的方式违法排放污染物的</w:t>
            </w:r>
          </w:p>
          <w:p w14:paraId="2A5E3CE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（4）生产、使用国家明令禁止生产、使用的农药，被责令改正，拒不改正的</w:t>
            </w:r>
          </w:p>
        </w:tc>
      </w:tr>
      <w:tr w14:paraId="39B5D28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770F0251">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刑事责任</w:t>
            </w:r>
          </w:p>
        </w:tc>
        <w:tc>
          <w:tcPr>
            <w:tcW w:w="4339" w:type="pct"/>
            <w:shd w:val="clear" w:color="auto" w:fill="auto"/>
            <w:vAlign w:val="center"/>
          </w:tcPr>
          <w:p w14:paraId="15D8D02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违反本法规定，构成犯罪的，依法追究刑事责任</w:t>
            </w:r>
          </w:p>
        </w:tc>
      </w:tr>
    </w:tbl>
    <w:p w14:paraId="66A86403">
      <w:pPr>
        <w:ind w:left="0" w:leftChars="0" w:firstLine="0" w:firstLineChars="0"/>
        <w:rPr>
          <w:rFonts w:hint="eastAsia" w:ascii="汉仪书宋二简"/>
        </w:rPr>
      </w:pPr>
    </w:p>
    <w:p w14:paraId="72CFFFAE">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65F9B1A1">
      <w:pPr>
        <w:pStyle w:val="2"/>
        <w:spacing w:before="0" w:line="480" w:lineRule="exact"/>
        <w:rPr>
          <w:rFonts w:hint="eastAsia"/>
        </w:rPr>
      </w:pPr>
      <w:bookmarkStart w:id="4" w:name="_Toc898225165"/>
      <w:bookmarkStart w:id="5" w:name="_Toc193726293"/>
      <w:r>
        <w:rPr>
          <w:rFonts w:hint="eastAsia"/>
          <w:color w:val="FF0000"/>
        </w:rPr>
        <w:t xml:space="preserve">考点9  </w:t>
      </w:r>
      <w:r>
        <w:rPr>
          <w:rFonts w:hint="eastAsia"/>
        </w:rPr>
        <w:t>自然资源法</w:t>
      </w:r>
      <w:bookmarkEnd w:id="4"/>
      <w:bookmarkEnd w:id="5"/>
    </w:p>
    <w:p w14:paraId="49A8587F">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02E6CDDC">
      <w:pPr>
        <w:ind w:firstLine="420"/>
        <w:rPr>
          <w:rFonts w:hint="eastAsia" w:ascii="汉仪书宋二简"/>
        </w:rPr>
      </w:pPr>
    </w:p>
    <w:p w14:paraId="6B74255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一、森林资源</w:t>
      </w:r>
    </w:p>
    <w:p w14:paraId="61CA8D0C">
      <w:pPr>
        <w:ind w:firstLine="440"/>
        <w:rPr>
          <w:rFonts w:hint="eastAsia" w:ascii="汉仪中黑简" w:eastAsia="汉仪中黑简" w:hAnsiTheme="minorEastAsia"/>
          <w:sz w:val="22"/>
          <w:szCs w:val="22"/>
        </w:rPr>
      </w:pPr>
      <w:r>
        <w:rPr>
          <w:rFonts w:hint="eastAsia" w:ascii="汉仪中黑简" w:eastAsia="汉仪中黑简"/>
          <w:sz w:val="22"/>
          <w:szCs w:val="22"/>
        </w:rPr>
        <w:t>1</w:t>
      </w:r>
      <w:r>
        <w:rPr>
          <w:rFonts w:hint="eastAsia" w:ascii="汉仪中黑简" w:eastAsia="汉仪中黑简" w:hAnsiTheme="minorEastAsia"/>
          <w:sz w:val="22"/>
          <w:szCs w:val="22"/>
        </w:rPr>
        <w:t>．森林权属</w:t>
      </w:r>
    </w:p>
    <w:p w14:paraId="3291E68B">
      <w:pPr>
        <w:ind w:firstLine="420"/>
        <w:rPr>
          <w:rFonts w:hint="eastAsia" w:ascii="汉仪书宋二简" w:hAnsiTheme="minorEastAsia"/>
        </w:rPr>
      </w:pPr>
      <w:r>
        <w:rPr>
          <w:rFonts w:hint="eastAsia" w:ascii="汉仪书宋二简" w:hAnsiTheme="minorEastAsia"/>
        </w:rPr>
        <w:t>（</w:t>
      </w:r>
      <w:r>
        <w:rPr>
          <w:rFonts w:hint="eastAsia" w:ascii="汉仪书宋二简"/>
        </w:rPr>
        <w:t>1</w:t>
      </w:r>
      <w:r>
        <w:rPr>
          <w:rFonts w:hint="eastAsia" w:ascii="汉仪书宋二简" w:hAnsiTheme="minorEastAsia"/>
        </w:rPr>
        <w:t>）森林资源属于国家所有，由法律规定属于集体所有的除外。</w:t>
      </w:r>
    </w:p>
    <w:p w14:paraId="22462C87">
      <w:pPr>
        <w:ind w:firstLine="420"/>
        <w:rPr>
          <w:rFonts w:hint="eastAsia" w:ascii="汉仪书宋二简" w:hAnsiTheme="minorEastAsia"/>
        </w:rPr>
      </w:pPr>
      <w:r>
        <w:rPr>
          <w:rFonts w:hint="eastAsia" w:ascii="汉仪书宋二简" w:hAnsiTheme="minorEastAsia"/>
        </w:rPr>
        <w:t>（</w:t>
      </w:r>
      <w:r>
        <w:rPr>
          <w:rFonts w:hint="eastAsia" w:ascii="汉仪书宋二简"/>
        </w:rPr>
        <w:t>2</w:t>
      </w:r>
      <w:r>
        <w:rPr>
          <w:rFonts w:hint="eastAsia" w:ascii="汉仪书宋二简" w:hAnsiTheme="minorEastAsia"/>
        </w:rPr>
        <w:t>）林业经营者依法取得的国有林地和林地上的森</w:t>
      </w:r>
      <w:r>
        <w:rPr>
          <w:rFonts w:hint="eastAsia" w:ascii="汉仪书宋二简" w:hAnsiTheme="minorEastAsia"/>
          <w:color w:val="0000FF"/>
        </w:rPr>
        <w:t>林、林木的使用权，</w:t>
      </w:r>
      <w:r>
        <w:rPr>
          <w:rFonts w:hint="eastAsia" w:ascii="汉仪书宋二简" w:hAnsiTheme="minorEastAsia"/>
        </w:rPr>
        <w:t>经批准可以转让、出租、作价出资等。</w:t>
      </w:r>
    </w:p>
    <w:p w14:paraId="7926FC33">
      <w:pPr>
        <w:ind w:firstLine="420"/>
        <w:rPr>
          <w:rFonts w:hint="eastAsia" w:ascii="汉仪书宋二简" w:hAnsiTheme="minorEastAsia"/>
        </w:rPr>
      </w:pPr>
      <w:r>
        <w:rPr>
          <w:rFonts w:hint="eastAsia" w:ascii="汉仪书宋二简" w:hAnsiTheme="minorEastAsia"/>
        </w:rPr>
        <w:t>（</w:t>
      </w:r>
      <w:r>
        <w:rPr>
          <w:rFonts w:hint="eastAsia" w:ascii="汉仪书宋二简"/>
        </w:rPr>
        <w:t>3</w:t>
      </w:r>
      <w:r>
        <w:rPr>
          <w:rFonts w:hint="eastAsia" w:ascii="汉仪书宋二简" w:hAnsiTheme="minorEastAsia"/>
        </w:rPr>
        <w:t>）集体林地的承包方享有林地承包经营权和承包林地上的林木所有权。承包方可以依法采取出租（转包）、入股、转让等方式流转林地经营权、林木所有权和使用权。</w:t>
      </w:r>
    </w:p>
    <w:p w14:paraId="67A62377">
      <w:pPr>
        <w:ind w:firstLine="420"/>
        <w:rPr>
          <w:rFonts w:hint="eastAsia" w:ascii="汉仪书宋二简" w:hAnsiTheme="minorEastAsia"/>
        </w:rPr>
      </w:pPr>
      <w:r>
        <w:rPr>
          <w:rFonts w:hint="eastAsia" w:ascii="汉仪书宋二简" w:hAnsiTheme="minorEastAsia"/>
        </w:rPr>
        <w:t>（</w:t>
      </w:r>
      <w:r>
        <w:rPr>
          <w:rFonts w:hint="eastAsia" w:ascii="汉仪书宋二简"/>
        </w:rPr>
        <w:t>4</w:t>
      </w:r>
      <w:r>
        <w:rPr>
          <w:rFonts w:hint="eastAsia" w:ascii="汉仪书宋二简" w:hAnsiTheme="minorEastAsia"/>
        </w:rPr>
        <w:t>）林木、林地所有权和使用权争议，</w:t>
      </w:r>
      <w:r>
        <w:rPr>
          <w:rFonts w:hint="eastAsia" w:ascii="汉仪书宋二简" w:hAnsi="楷体" w:eastAsia="汉仪中黑简" w:cs="楷体"/>
          <w:color w:val="FF0000"/>
        </w:rPr>
        <w:t>解决途径同土地权属争议</w:t>
      </w:r>
      <w:r>
        <w:rPr>
          <w:rFonts w:hint="eastAsia" w:ascii="汉仪书宋二简" w:hAnsiTheme="minorEastAsia"/>
        </w:rPr>
        <w:t>。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w:t>
      </w:r>
      <w:r>
        <w:rPr>
          <w:rFonts w:hint="eastAsia" w:ascii="汉仪书宋二简"/>
        </w:rPr>
        <w:t>30</w:t>
      </w:r>
      <w:r>
        <w:rPr>
          <w:rFonts w:hint="eastAsia" w:ascii="汉仪书宋二简" w:hAnsiTheme="minorEastAsia"/>
        </w:rPr>
        <w:t>日内，向人民法院起诉。</w:t>
      </w:r>
    </w:p>
    <w:p w14:paraId="6BAB7EA5">
      <w:pPr>
        <w:ind w:firstLine="440"/>
        <w:rPr>
          <w:rFonts w:hint="eastAsia" w:ascii="汉仪中黑简" w:eastAsia="汉仪中黑简"/>
          <w:sz w:val="22"/>
          <w:szCs w:val="22"/>
        </w:rPr>
      </w:pPr>
      <w:r>
        <w:rPr>
          <w:rFonts w:hint="eastAsia" w:ascii="汉仪中黑简" w:eastAsia="汉仪中黑简"/>
          <w:sz w:val="22"/>
          <w:szCs w:val="22"/>
        </w:rPr>
        <w:t>2．林地占用</w:t>
      </w:r>
    </w:p>
    <w:p w14:paraId="2D2667CB">
      <w:pPr>
        <w:ind w:firstLine="420"/>
        <w:rPr>
          <w:rFonts w:hint="eastAsia" w:ascii="汉仪书宋二简" w:hAnsiTheme="minorEastAsia"/>
        </w:rPr>
      </w:pPr>
      <w:r>
        <w:rPr>
          <w:rFonts w:hint="eastAsia" w:ascii="汉仪书宋二简"/>
          <w:bCs/>
        </w:rPr>
        <w:t>（1）</w:t>
      </w:r>
      <w:r>
        <w:rPr>
          <w:rFonts w:hint="eastAsia" w:ascii="汉仪书宋二简" w:hAnsiTheme="minorEastAsia"/>
        </w:rPr>
        <w:t>实行占用林地总量控制，确保林地保有量不减少。</w:t>
      </w:r>
    </w:p>
    <w:p w14:paraId="3568A74C">
      <w:pPr>
        <w:ind w:firstLine="420"/>
        <w:rPr>
          <w:rFonts w:hint="eastAsia" w:ascii="汉仪书宋二简" w:hAnsiTheme="minorEastAsia"/>
        </w:rPr>
      </w:pPr>
      <w:r>
        <w:rPr>
          <w:rFonts w:hint="eastAsia" w:ascii="汉仪书宋二简" w:hAnsiTheme="minorEastAsia"/>
        </w:rPr>
        <w:t>（</w:t>
      </w:r>
      <w:r>
        <w:rPr>
          <w:rFonts w:hint="eastAsia" w:ascii="汉仪书宋二简"/>
        </w:rPr>
        <w:t>2</w:t>
      </w:r>
      <w:r>
        <w:rPr>
          <w:rFonts w:hint="eastAsia" w:ascii="汉仪书宋二简" w:hAnsiTheme="minorEastAsia"/>
        </w:rPr>
        <w:t>）确需占用林地的，应当经县级以上政府林业主管部门审核同意，依法办理建设用地审批手续。</w:t>
      </w:r>
    </w:p>
    <w:p w14:paraId="0AE6CC34">
      <w:pPr>
        <w:ind w:firstLine="420"/>
        <w:rPr>
          <w:rFonts w:hint="eastAsia" w:ascii="汉仪书宋二简" w:hAnsiTheme="minorEastAsia"/>
        </w:rPr>
      </w:pPr>
      <w:r>
        <w:rPr>
          <w:rFonts w:hint="eastAsia" w:ascii="汉仪书宋二简" w:hAnsiTheme="minorEastAsia"/>
        </w:rPr>
        <w:t>（</w:t>
      </w:r>
      <w:r>
        <w:rPr>
          <w:rFonts w:hint="eastAsia" w:ascii="汉仪书宋二简"/>
        </w:rPr>
        <w:t>3</w:t>
      </w:r>
      <w:r>
        <w:rPr>
          <w:rFonts w:hint="eastAsia" w:ascii="汉仪书宋二简" w:hAnsiTheme="minorEastAsia"/>
        </w:rPr>
        <w:t>）占用林地的单位应当缴纳森林植被恢复费。</w:t>
      </w:r>
    </w:p>
    <w:p w14:paraId="5334A634">
      <w:pPr>
        <w:ind w:firstLine="420"/>
        <w:rPr>
          <w:rFonts w:hint="eastAsia" w:ascii="汉仪书宋二简" w:hAnsiTheme="minorEastAsia"/>
        </w:rPr>
      </w:pPr>
      <w:r>
        <w:rPr>
          <w:rFonts w:hint="eastAsia" w:ascii="汉仪书宋二简" w:hAnsiTheme="minorEastAsia"/>
        </w:rPr>
        <w:t>（</w:t>
      </w:r>
      <w:r>
        <w:rPr>
          <w:rFonts w:hint="eastAsia" w:ascii="汉仪书宋二简"/>
        </w:rPr>
        <w:t>4</w:t>
      </w:r>
      <w:r>
        <w:rPr>
          <w:rFonts w:hint="eastAsia" w:ascii="汉仪书宋二简" w:hAnsiTheme="minorEastAsia"/>
        </w:rPr>
        <w:t>）需要临时使用林地的，应当经县级以上政府林业主管部门批准；临</w:t>
      </w:r>
      <w:r>
        <w:rPr>
          <w:rFonts w:hint="eastAsia" w:ascii="汉仪书宋二简" w:hAnsiTheme="minorEastAsia"/>
          <w:color w:val="0000FF"/>
        </w:rPr>
        <w:t>时使用林地的期限一般不超过</w:t>
      </w:r>
      <w:r>
        <w:rPr>
          <w:rFonts w:hint="eastAsia" w:ascii="汉仪书宋二简"/>
          <w:color w:val="0000FF"/>
        </w:rPr>
        <w:t>2</w:t>
      </w:r>
      <w:r>
        <w:rPr>
          <w:rFonts w:hint="eastAsia" w:ascii="汉仪书宋二简" w:hAnsiTheme="minorEastAsia"/>
          <w:color w:val="0000FF"/>
        </w:rPr>
        <w:t>年</w:t>
      </w:r>
      <w:r>
        <w:rPr>
          <w:rFonts w:hint="eastAsia" w:ascii="汉仪书宋二简" w:hAnsiTheme="minorEastAsia"/>
        </w:rPr>
        <w:t>，并不得在临时使用的林地上修建永久性建筑物。</w:t>
      </w:r>
    </w:p>
    <w:p w14:paraId="25D90564">
      <w:pPr>
        <w:ind w:firstLine="440"/>
        <w:rPr>
          <w:rFonts w:hint="eastAsia" w:ascii="汉仪中黑简" w:eastAsia="汉仪中黑简"/>
          <w:sz w:val="22"/>
          <w:szCs w:val="22"/>
        </w:rPr>
      </w:pPr>
      <w:r>
        <w:rPr>
          <w:rFonts w:hint="eastAsia" w:ascii="汉仪中黑简" w:eastAsia="汉仪中黑简"/>
          <w:sz w:val="22"/>
          <w:szCs w:val="22"/>
        </w:rPr>
        <w:t>3．公益林</w:t>
      </w:r>
    </w:p>
    <w:p w14:paraId="11B08168">
      <w:pPr>
        <w:ind w:firstLine="420"/>
        <w:rPr>
          <w:rFonts w:hint="eastAsia" w:ascii="汉仪书宋二简" w:hAnsiTheme="minorEastAsia"/>
        </w:rPr>
      </w:pPr>
      <w:r>
        <w:rPr>
          <w:rFonts w:hint="eastAsia" w:ascii="汉仪书宋二简" w:hAnsiTheme="minorEastAsia"/>
        </w:rPr>
        <w:t>（</w:t>
      </w:r>
      <w:r>
        <w:rPr>
          <w:rFonts w:hint="eastAsia" w:ascii="汉仪书宋二简"/>
        </w:rPr>
        <w:t>1</w:t>
      </w:r>
      <w:r>
        <w:rPr>
          <w:rFonts w:hint="eastAsia" w:ascii="汉仪书宋二简" w:hAnsiTheme="minorEastAsia"/>
        </w:rPr>
        <w:t>）公益林以发挥生态效益为主要目的，由国务院和省级政府划定并公布。</w:t>
      </w:r>
    </w:p>
    <w:p w14:paraId="3B612F79">
      <w:pPr>
        <w:ind w:firstLine="420"/>
        <w:rPr>
          <w:rFonts w:hint="eastAsia" w:ascii="汉仪书宋二简" w:hAnsiTheme="minorEastAsia"/>
        </w:rPr>
      </w:pPr>
      <w:r>
        <w:rPr>
          <w:rFonts w:hint="eastAsia" w:ascii="汉仪书宋二简" w:hAnsiTheme="minorEastAsia"/>
        </w:rPr>
        <w:t>（</w:t>
      </w:r>
      <w:r>
        <w:rPr>
          <w:rFonts w:hint="eastAsia" w:ascii="汉仪书宋二简"/>
        </w:rPr>
        <w:t>2</w:t>
      </w:r>
      <w:r>
        <w:rPr>
          <w:rFonts w:hint="eastAsia" w:ascii="汉仪书宋二简" w:hAnsiTheme="minorEastAsia"/>
        </w:rPr>
        <w:t>）下列区域的林地和林地上的森林，应当划定为公益林：①重要江河源头汇水区域；②重要江河干流及支流两岸、饮用水水源地保护区；③重要湿地和重要水库周围；④森林和陆生野生动物类型的自然保护区；⑤荒漠化和水土流失严重地区的防风固沙林基干林带；⑥沿海防护林基干林带；⑦未开发利用的原始林地区；⑧需要划定的其他区域。公益林划定涉及非国有林地的，应当与权利人签订书面协议，并给予合理补偿。</w:t>
      </w:r>
    </w:p>
    <w:p w14:paraId="1A6713BE">
      <w:pPr>
        <w:ind w:firstLine="420"/>
        <w:rPr>
          <w:rFonts w:hint="eastAsia" w:ascii="汉仪书宋二简" w:hAnsiTheme="minorEastAsia"/>
        </w:rPr>
      </w:pPr>
      <w:r>
        <w:rPr>
          <w:rFonts w:hint="eastAsia" w:ascii="汉仪书宋二简" w:hAnsiTheme="minorEastAsia"/>
        </w:rPr>
        <w:t>（</w:t>
      </w:r>
      <w:r>
        <w:rPr>
          <w:rFonts w:hint="eastAsia" w:ascii="汉仪书宋二简"/>
        </w:rPr>
        <w:t>3</w:t>
      </w:r>
      <w:r>
        <w:rPr>
          <w:rFonts w:hint="eastAsia" w:ascii="汉仪书宋二简" w:hAnsiTheme="minorEastAsia"/>
        </w:rPr>
        <w:t>）国家对公益林实施严格保护。在符合公益林生态区位保护要求和不影响公益林生态功能的前提下，</w:t>
      </w:r>
      <w:r>
        <w:rPr>
          <w:rFonts w:hint="eastAsia" w:ascii="汉仪书宋二简" w:hAnsiTheme="minorEastAsia"/>
          <w:color w:val="0000FF"/>
        </w:rPr>
        <w:t>经科学论证，可以合理利用公益林林地资源和森林景观资源，</w:t>
      </w:r>
      <w:r>
        <w:rPr>
          <w:rFonts w:hint="eastAsia" w:ascii="汉仪书宋二简" w:hAnsiTheme="minorEastAsia"/>
        </w:rPr>
        <w:t>适度开展林下经济、森林旅游等。</w:t>
      </w:r>
    </w:p>
    <w:p w14:paraId="7F6D313E">
      <w:pPr>
        <w:ind w:firstLine="440"/>
        <w:rPr>
          <w:rFonts w:hint="eastAsia" w:ascii="汉仪中黑简" w:eastAsia="汉仪中黑简"/>
          <w:sz w:val="22"/>
          <w:szCs w:val="22"/>
        </w:rPr>
      </w:pPr>
      <w:r>
        <w:rPr>
          <w:rFonts w:hint="eastAsia" w:ascii="汉仪中黑简" w:eastAsia="汉仪中黑简"/>
          <w:sz w:val="22"/>
          <w:szCs w:val="22"/>
        </w:rPr>
        <w:t>4．商品林</w:t>
      </w:r>
    </w:p>
    <w:p w14:paraId="1B0713D5">
      <w:pPr>
        <w:ind w:firstLine="420"/>
        <w:rPr>
          <w:rFonts w:hint="eastAsia" w:ascii="汉仪书宋二简" w:hAnsiTheme="minorEastAsia"/>
        </w:rPr>
      </w:pPr>
      <w:r>
        <w:rPr>
          <w:rFonts w:hint="eastAsia" w:ascii="汉仪书宋二简" w:hAnsiTheme="minorEastAsia"/>
        </w:rPr>
        <w:t>（</w:t>
      </w:r>
      <w:r>
        <w:rPr>
          <w:rFonts w:hint="eastAsia" w:ascii="汉仪书宋二简"/>
        </w:rPr>
        <w:t>1</w:t>
      </w:r>
      <w:r>
        <w:rPr>
          <w:rFonts w:hint="eastAsia" w:ascii="汉仪书宋二简" w:hAnsiTheme="minorEastAsia"/>
        </w:rPr>
        <w:t>）未划定为公益林的林地和林地上的森林属于商品林。</w:t>
      </w:r>
    </w:p>
    <w:p w14:paraId="7990930A">
      <w:pPr>
        <w:ind w:firstLine="420"/>
        <w:rPr>
          <w:rFonts w:hint="eastAsia" w:ascii="汉仪书宋二简" w:hAnsiTheme="minorEastAsia"/>
        </w:rPr>
      </w:pPr>
      <w:r>
        <w:rPr>
          <w:rFonts w:hint="eastAsia" w:ascii="汉仪书宋二简"/>
          <w:bCs/>
        </w:rPr>
        <w:t>（2）</w:t>
      </w:r>
      <w:r>
        <w:rPr>
          <w:rFonts w:hint="eastAsia" w:ascii="汉仪书宋二简" w:hAnsiTheme="minorEastAsia"/>
        </w:rPr>
        <w:t>国家鼓励发展下列商品林：①用材林；②经济林；③能源林；④其他。</w:t>
      </w:r>
    </w:p>
    <w:p w14:paraId="3A65DD78">
      <w:pPr>
        <w:ind w:firstLine="420"/>
        <w:rPr>
          <w:rFonts w:hint="eastAsia" w:ascii="汉仪书宋二简" w:hAnsiTheme="minorEastAsia"/>
        </w:rPr>
      </w:pPr>
      <w:r>
        <w:rPr>
          <w:rFonts w:hint="eastAsia" w:ascii="汉仪书宋二简" w:hAnsiTheme="minorEastAsia"/>
        </w:rPr>
        <w:t>（</w:t>
      </w:r>
      <w:r>
        <w:rPr>
          <w:rFonts w:hint="eastAsia" w:ascii="汉仪书宋二简"/>
        </w:rPr>
        <w:t>3</w:t>
      </w:r>
      <w:r>
        <w:rPr>
          <w:rFonts w:hint="eastAsia" w:ascii="汉仪书宋二简" w:hAnsiTheme="minorEastAsia"/>
        </w:rPr>
        <w:t>）商品林由林业经营者依法自主经营。</w:t>
      </w:r>
    </w:p>
    <w:p w14:paraId="42D8C591">
      <w:pPr>
        <w:ind w:firstLine="420"/>
        <w:rPr>
          <w:rFonts w:hint="eastAsia" w:ascii="汉仪书宋二简" w:hAnsiTheme="minorEastAsia"/>
        </w:rPr>
      </w:pPr>
    </w:p>
    <w:p w14:paraId="70EE21BA">
      <w:pPr>
        <w:ind w:firstLine="440"/>
        <w:rPr>
          <w:rFonts w:hint="eastAsia" w:ascii="汉仪中黑简" w:eastAsia="汉仪中黑简"/>
          <w:sz w:val="22"/>
          <w:szCs w:val="22"/>
        </w:rPr>
      </w:pPr>
      <w:r>
        <w:rPr>
          <w:rFonts w:hint="eastAsia" w:ascii="汉仪中黑简" w:eastAsia="汉仪中黑简"/>
          <w:sz w:val="22"/>
          <w:szCs w:val="22"/>
        </w:rPr>
        <w:t>5．林木采伐</w:t>
      </w:r>
    </w:p>
    <w:p w14:paraId="7A90D44D">
      <w:pPr>
        <w:ind w:firstLine="420"/>
        <w:rPr>
          <w:rFonts w:hint="eastAsia" w:ascii="汉仪书宋二简" w:hAnsiTheme="minorEastAsia"/>
        </w:rPr>
      </w:pPr>
      <w:r>
        <w:rPr>
          <w:rFonts w:hint="eastAsia" w:ascii="汉仪书宋二简" w:hAnsiTheme="minorEastAsia"/>
        </w:rPr>
        <w:t>（</w:t>
      </w:r>
      <w:r>
        <w:rPr>
          <w:rFonts w:hint="eastAsia" w:ascii="汉仪书宋二简"/>
        </w:rPr>
        <w:t>1</w:t>
      </w:r>
      <w:r>
        <w:rPr>
          <w:rFonts w:hint="eastAsia" w:ascii="汉仪书宋二简" w:hAnsiTheme="minorEastAsia"/>
        </w:rPr>
        <w:t>）采伐限额：省级政府林业主管部门根据消耗量低于生长量和森林分类经营管理的原则，编制本行政区域的年采伐限额，经征求国务院林业主管部门意见，报本级人民政府批准后公布实施，并报国务院备案。</w:t>
      </w:r>
    </w:p>
    <w:p w14:paraId="212D985E">
      <w:pPr>
        <w:ind w:firstLine="420"/>
        <w:rPr>
          <w:rFonts w:hint="eastAsia" w:ascii="汉仪书宋二简" w:hAnsiTheme="minorEastAsia"/>
        </w:rPr>
      </w:pPr>
      <w:r>
        <w:rPr>
          <w:rFonts w:hint="eastAsia" w:ascii="汉仪书宋二简" w:hAnsiTheme="minorEastAsia"/>
        </w:rPr>
        <w:t>（</w:t>
      </w:r>
      <w:r>
        <w:rPr>
          <w:rFonts w:hint="eastAsia" w:ascii="汉仪书宋二简"/>
        </w:rPr>
        <w:t>2</w:t>
      </w:r>
      <w:r>
        <w:rPr>
          <w:rFonts w:hint="eastAsia" w:ascii="汉仪书宋二简" w:hAnsiTheme="minorEastAsia"/>
        </w:rPr>
        <w:t>）采伐要求：①</w:t>
      </w:r>
      <w:r>
        <w:rPr>
          <w:rFonts w:hint="eastAsia" w:ascii="汉仪书宋二简" w:hAnsiTheme="minorEastAsia"/>
          <w:color w:val="0000FF"/>
        </w:rPr>
        <w:t>公益林只能进行抚育、更新和低质低效林改造性质的采伐。</w:t>
      </w:r>
      <w:r>
        <w:rPr>
          <w:rFonts w:hint="eastAsia" w:ascii="汉仪书宋二简" w:hAnsiTheme="minorEastAsia"/>
        </w:rPr>
        <w:t>但是，因科研或者实验、防治林业有害生物、建设护林防火设施、营造生物防火隔离带、遭受自然灾害等需要采伐的除外。②商品林应当根据不同情况，采取不同采伐方式，严格控制采伐面积，伐育同步规划实施。③自然保护区的林木，禁止采伐。但是，因防治林业有害生物、森林防火、维护主要保护对象生存环境、遭受自然灾害等特殊情况必须采伐的和实验区的竹林除外。</w:t>
      </w:r>
    </w:p>
    <w:p w14:paraId="6D3B1481">
      <w:pPr>
        <w:ind w:firstLine="420"/>
        <w:rPr>
          <w:rFonts w:hint="default" w:ascii="汉仪书宋二简" w:eastAsia="汉仪书宋二简" w:hAnsiTheme="minorEastAsia"/>
          <w:color w:val="0000FF"/>
          <w:lang w:val="en-US" w:eastAsia="zh-CN"/>
        </w:rPr>
      </w:pPr>
      <w:r>
        <w:rPr>
          <w:rFonts w:hint="eastAsia" w:ascii="汉仪书宋二简" w:hAnsiTheme="minorEastAsia"/>
        </w:rPr>
        <w:t>（</w:t>
      </w:r>
      <w:r>
        <w:rPr>
          <w:rFonts w:hint="eastAsia" w:ascii="汉仪书宋二简"/>
        </w:rPr>
        <w:t>3</w:t>
      </w:r>
      <w:r>
        <w:rPr>
          <w:rFonts w:hint="eastAsia" w:ascii="汉仪书宋二简" w:hAnsiTheme="minorEastAsia"/>
        </w:rPr>
        <w:t>）采伐许可：采伐自然保护区以外的竹林，农村居民采伐自留地和房前屋后个人所有的零星林木，不需要申请采伐许可证。其他的采伐需要许可。采伐许可证一般由县级以上政府林业主管部门核发，但农村居民采伐自留山和个人承包集体林地上的林木，由县级政府林业主管部门或其委托的乡镇政府核发。</w:t>
      </w:r>
      <w:r>
        <w:rPr>
          <w:rFonts w:hint="eastAsia" w:ascii="汉仪书宋二简" w:hAnsiTheme="minorEastAsia"/>
          <w:color w:val="0000FF"/>
          <w:lang w:val="en-US" w:eastAsia="zh-CN"/>
        </w:rPr>
        <w:t>自留山的需要许可</w:t>
      </w:r>
    </w:p>
    <w:p w14:paraId="0E8E8836">
      <w:pPr>
        <w:ind w:firstLine="420"/>
        <w:rPr>
          <w:rFonts w:hint="eastAsia" w:ascii="汉仪书宋二简" w:hAnsiTheme="minorEastAsia"/>
        </w:rPr>
      </w:pPr>
      <w:r>
        <w:rPr>
          <w:rFonts w:hint="eastAsia" w:ascii="汉仪书宋二简" w:hAnsiTheme="minorEastAsia"/>
        </w:rPr>
        <w:t>（</w:t>
      </w:r>
      <w:r>
        <w:rPr>
          <w:rFonts w:hint="eastAsia" w:ascii="汉仪书宋二简"/>
        </w:rPr>
        <w:t>4</w:t>
      </w:r>
      <w:r>
        <w:rPr>
          <w:rFonts w:hint="eastAsia" w:ascii="汉仪书宋二简" w:hAnsiTheme="minorEastAsia"/>
        </w:rPr>
        <w:t>）更新造林：采伐林木的组织和个人应当按照有关规定完成更新造林，更新造林的面积不得少于采伐的面积。</w:t>
      </w:r>
    </w:p>
    <w:p w14:paraId="5941C173">
      <w:pPr>
        <w:ind w:left="0" w:leftChars="0" w:firstLine="0" w:firstLineChars="0"/>
        <w:rPr>
          <w:rFonts w:hint="eastAsia" w:ascii="汉仪书宋二简" w:hAnsiTheme="minorEastAsia"/>
          <w:b/>
          <w:bCs/>
        </w:rPr>
      </w:pPr>
    </w:p>
    <w:p w14:paraId="4AA73E9B">
      <w:pPr>
        <w:pStyle w:val="3"/>
        <w:rPr>
          <w:rFonts w:hint="eastAsia"/>
        </w:rPr>
      </w:pPr>
      <w:r>
        <w:rPr>
          <w:rFonts w:hint="eastAsia"/>
        </w:rPr>
        <w:t>二、矿产资源</w:t>
      </w:r>
    </w:p>
    <w:p w14:paraId="0D199462">
      <w:pPr>
        <w:ind w:firstLine="440"/>
        <w:rPr>
          <w:rFonts w:hint="eastAsia" w:ascii="汉仪中黑简" w:eastAsia="汉仪中黑简"/>
          <w:sz w:val="22"/>
          <w:szCs w:val="22"/>
        </w:rPr>
      </w:pPr>
      <w:r>
        <w:rPr>
          <w:rFonts w:hint="eastAsia" w:ascii="汉仪中黑简" w:eastAsia="汉仪中黑简"/>
          <w:sz w:val="22"/>
          <w:szCs w:val="22"/>
        </w:rPr>
        <w:t>1．矿产资源归属</w:t>
      </w:r>
    </w:p>
    <w:p w14:paraId="295E1F70">
      <w:pPr>
        <w:ind w:firstLine="420"/>
        <w:rPr>
          <w:rFonts w:hint="eastAsia" w:ascii="汉仪书宋二简" w:hAnsiTheme="minorEastAsia"/>
          <w:kern w:val="0"/>
        </w:rPr>
      </w:pPr>
      <w:r>
        <w:rPr>
          <w:rFonts w:hint="eastAsia" w:ascii="汉仪书宋二简" w:hAnsiTheme="minorEastAsia"/>
          <w:bCs/>
          <w:kern w:val="0"/>
        </w:rPr>
        <w:t>（</w:t>
      </w:r>
      <w:r>
        <w:rPr>
          <w:rFonts w:hint="eastAsia" w:ascii="汉仪书宋二简"/>
          <w:bCs/>
          <w:kern w:val="0"/>
        </w:rPr>
        <w:t>1</w:t>
      </w:r>
      <w:r>
        <w:rPr>
          <w:rFonts w:hint="eastAsia" w:ascii="汉仪书宋二简" w:hAnsiTheme="minorEastAsia"/>
          <w:bCs/>
          <w:kern w:val="0"/>
        </w:rPr>
        <w:t>）</w:t>
      </w:r>
      <w:r>
        <w:rPr>
          <w:rFonts w:hint="eastAsia" w:ascii="汉仪书宋二简" w:hAnsiTheme="minorEastAsia"/>
          <w:kern w:val="0"/>
        </w:rPr>
        <w:t>矿产资源属于国家所有，由国务院行使国家对矿产资源的所有权。</w:t>
      </w:r>
    </w:p>
    <w:p w14:paraId="1AE8C922">
      <w:pPr>
        <w:ind w:firstLine="420"/>
        <w:rPr>
          <w:rFonts w:hint="eastAsia" w:ascii="汉仪书宋二简" w:hAnsiTheme="minorEastAsia"/>
          <w:kern w:val="0"/>
        </w:rPr>
      </w:pPr>
      <w:r>
        <w:rPr>
          <w:rFonts w:hint="eastAsia" w:ascii="汉仪书宋二简" w:hAnsiTheme="minorEastAsia"/>
          <w:kern w:val="0"/>
        </w:rPr>
        <w:t>（</w:t>
      </w:r>
      <w:r>
        <w:rPr>
          <w:rFonts w:hint="eastAsia" w:ascii="汉仪书宋二简"/>
          <w:kern w:val="0"/>
        </w:rPr>
        <w:t>2</w:t>
      </w:r>
      <w:r>
        <w:rPr>
          <w:rFonts w:hint="eastAsia" w:ascii="汉仪书宋二简" w:hAnsiTheme="minorEastAsia"/>
          <w:kern w:val="0"/>
        </w:rPr>
        <w:t>）矿产资源的国家所有权，</w:t>
      </w:r>
      <w:r>
        <w:rPr>
          <w:rFonts w:hint="eastAsia" w:ascii="汉仪书宋二简" w:hAnsi="楷体" w:eastAsia="汉仪中黑简" w:cs="楷体"/>
          <w:color w:val="FF0000"/>
          <w:kern w:val="0"/>
        </w:rPr>
        <w:t>不因其所依附的土地的所有权或使用权的不同而改变</w:t>
      </w:r>
      <w:r>
        <w:rPr>
          <w:rFonts w:hint="eastAsia" w:ascii="汉仪书宋二简" w:hAnsiTheme="minorEastAsia"/>
          <w:kern w:val="0"/>
        </w:rPr>
        <w:t>。</w:t>
      </w:r>
    </w:p>
    <w:p w14:paraId="6F78CEBA">
      <w:pPr>
        <w:ind w:firstLine="420"/>
        <w:rPr>
          <w:rFonts w:hint="eastAsia" w:ascii="汉仪书宋二简" w:hAnsiTheme="minorEastAsia"/>
          <w:bCs/>
          <w:kern w:val="0"/>
        </w:rPr>
      </w:pPr>
      <w:r>
        <w:rPr>
          <w:rFonts w:hint="eastAsia" w:ascii="汉仪书宋二简" w:hAnsiTheme="minorEastAsia"/>
          <w:bCs/>
          <w:kern w:val="0"/>
        </w:rPr>
        <w:t>（3）</w:t>
      </w:r>
      <w:r>
        <w:rPr>
          <w:rFonts w:hint="eastAsia" w:ascii="汉仪书宋二简" w:hAnsiTheme="minorEastAsia"/>
          <w:kern w:val="0"/>
        </w:rPr>
        <w:t>矿产资源规划：全国矿产资源规划（国务院自然资源主管部门会同国务院有关部门，依据国家发展规划、全国国土空间规划、地质调查成果等，编制全国矿产资源规划，报国务院或者其授权的部门批准后实施），地方矿产资源规划（省、地级市、县人民政府自然资源主管部门会同有关部门编制本行政区域矿产资源规划，经本级人民政府同意后，报上一级人民政府自然资源主管部门批准后实施）。</w:t>
      </w:r>
    </w:p>
    <w:p w14:paraId="089FAA50">
      <w:pPr>
        <w:ind w:firstLine="440"/>
        <w:rPr>
          <w:rFonts w:hint="eastAsia" w:ascii="汉仪中黑简" w:eastAsia="汉仪中黑简"/>
          <w:sz w:val="22"/>
          <w:szCs w:val="22"/>
        </w:rPr>
      </w:pPr>
      <w:r>
        <w:rPr>
          <w:rFonts w:hint="eastAsia" w:ascii="汉仪中黑简" w:eastAsia="汉仪中黑简"/>
          <w:sz w:val="22"/>
          <w:szCs w:val="22"/>
        </w:rPr>
        <w:t>2．矿业权</w:t>
      </w:r>
    </w:p>
    <w:p w14:paraId="70557289">
      <w:pPr>
        <w:ind w:firstLine="420"/>
        <w:rPr>
          <w:rFonts w:hint="eastAsia" w:ascii="汉仪书宋二简" w:hAnsiTheme="minorEastAsia"/>
          <w:bCs/>
          <w:kern w:val="0"/>
        </w:rPr>
      </w:pPr>
      <w:r>
        <w:rPr>
          <w:rFonts w:hint="eastAsia" w:ascii="汉仪书宋二简" w:hAnsiTheme="minorEastAsia"/>
          <w:bCs/>
          <w:kern w:val="0"/>
        </w:rPr>
        <w:t>（1）矿业权包括探矿权和采矿权，性质为用益物权。</w:t>
      </w:r>
    </w:p>
    <w:p w14:paraId="1917E9CF">
      <w:pPr>
        <w:ind w:firstLine="420"/>
        <w:rPr>
          <w:rFonts w:hint="eastAsia" w:ascii="汉仪书宋二简" w:hAnsiTheme="minorEastAsia"/>
          <w:bCs/>
          <w:kern w:val="0"/>
        </w:rPr>
      </w:pPr>
      <w:r>
        <w:rPr>
          <w:rFonts w:hint="eastAsia" w:ascii="汉仪书宋二简" w:hAnsiTheme="minorEastAsia"/>
          <w:bCs/>
          <w:kern w:val="0"/>
        </w:rPr>
        <w:t>（2）矿业权的取得：有偿取得。矿业权应当通过招标、拍卖、挂牌等</w:t>
      </w:r>
      <w:r>
        <w:rPr>
          <w:rFonts w:hint="eastAsia" w:ascii="汉仪书宋二简" w:hAnsi="楷体" w:eastAsia="汉仪中黑简" w:cs="楷体"/>
          <w:color w:val="FF0000"/>
          <w:kern w:val="0"/>
        </w:rPr>
        <w:t>竞争性方式</w:t>
      </w:r>
      <w:r>
        <w:rPr>
          <w:rFonts w:hint="eastAsia" w:ascii="汉仪书宋二简" w:hAnsiTheme="minorEastAsia"/>
          <w:bCs/>
          <w:kern w:val="0"/>
        </w:rPr>
        <w:t>出让，法律、行政法规或者国务院规定可以通过协议出让或者其他方式设立的除外。</w:t>
      </w:r>
      <w:r>
        <w:rPr>
          <w:rFonts w:hint="eastAsia" w:ascii="汉仪书宋二简" w:hAnsiTheme="minorEastAsia"/>
          <w:bCs/>
          <w:color w:val="0000FF"/>
          <w:kern w:val="0"/>
        </w:rPr>
        <w:t>出让矿业权的，矿业权出让部门应当与依法确定的受让人以书面形式签订矿业权出让合同</w:t>
      </w:r>
      <w:r>
        <w:rPr>
          <w:rFonts w:hint="eastAsia" w:ascii="汉仪书宋二简" w:hAnsiTheme="minorEastAsia"/>
          <w:bCs/>
          <w:kern w:val="0"/>
        </w:rPr>
        <w:t>。</w:t>
      </w:r>
    </w:p>
    <w:p w14:paraId="45715D60">
      <w:pPr>
        <w:ind w:firstLine="420"/>
        <w:rPr>
          <w:rFonts w:hint="default" w:ascii="汉仪书宋二简" w:eastAsia="汉仪书宋二简" w:hAnsiTheme="minorEastAsia"/>
          <w:bCs/>
          <w:color w:val="0000FF"/>
          <w:kern w:val="0"/>
          <w:lang w:val="en-US" w:eastAsia="zh-CN"/>
        </w:rPr>
      </w:pPr>
      <w:r>
        <w:rPr>
          <w:rFonts w:hint="eastAsia" w:ascii="汉仪书宋二简" w:hAnsiTheme="minorEastAsia"/>
          <w:bCs/>
          <w:kern w:val="0"/>
        </w:rPr>
        <w:t>（3）矿业权登记：</w:t>
      </w:r>
      <w:r>
        <w:rPr>
          <w:rFonts w:hint="eastAsia" w:ascii="汉仪书宋二简" w:hAnsi="楷体" w:eastAsia="汉仪中黑简" w:cs="楷体"/>
          <w:color w:val="FF0000"/>
          <w:kern w:val="0"/>
        </w:rPr>
        <w:t>登记要件主义</w:t>
      </w:r>
      <w:r>
        <w:rPr>
          <w:rFonts w:hint="eastAsia" w:ascii="汉仪书宋二简" w:hAnsiTheme="minorEastAsia"/>
          <w:bCs/>
          <w:kern w:val="0"/>
        </w:rPr>
        <w:t>。矿业权的设立、变更、转让、抵押和消灭的，应当依法办理登记。</w:t>
      </w:r>
      <w:r>
        <w:rPr>
          <w:rFonts w:hint="eastAsia" w:ascii="汉仪书宋二简" w:hAnsiTheme="minorEastAsia"/>
          <w:bCs/>
          <w:color w:val="0000FF"/>
          <w:kern w:val="0"/>
          <w:lang w:val="en-US" w:eastAsia="zh-CN"/>
        </w:rPr>
        <w:t>登记时取得矿业权</w:t>
      </w:r>
    </w:p>
    <w:p w14:paraId="2918080A">
      <w:pPr>
        <w:ind w:firstLine="420"/>
        <w:rPr>
          <w:rFonts w:hint="eastAsia" w:ascii="汉仪书宋二简" w:hAnsiTheme="minorEastAsia"/>
          <w:bCs/>
          <w:kern w:val="0"/>
        </w:rPr>
      </w:pPr>
      <w:r>
        <w:rPr>
          <w:rFonts w:hint="eastAsia" w:ascii="汉仪书宋二简" w:hAnsiTheme="minorEastAsia"/>
          <w:bCs/>
          <w:kern w:val="0"/>
        </w:rPr>
        <w:t>（4）矿业权的内容：探矿权人在登记的勘查区域内，享有勘查有关矿产资源并依法取得采矿权的权利。采矿权人在登记的开采区域内，享有开采有关矿产资源并获得采出的矿产品的权利。矿业权人有权依法</w:t>
      </w:r>
      <w:r>
        <w:rPr>
          <w:rFonts w:hint="eastAsia" w:ascii="汉仪书宋二简" w:hAnsi="楷体" w:eastAsia="汉仪中黑简" w:cs="楷体"/>
          <w:color w:val="FF0000"/>
          <w:kern w:val="0"/>
        </w:rPr>
        <w:t>优先取得</w:t>
      </w:r>
      <w:r>
        <w:rPr>
          <w:rFonts w:hint="eastAsia" w:ascii="汉仪书宋二简" w:hAnsiTheme="minorEastAsia"/>
          <w:bCs/>
          <w:kern w:val="0"/>
        </w:rPr>
        <w:t>登记的勘查、开采区域内新发现的其他矿产资源的矿业权。在已经登记的勘查、开采区域内，不得设立其他矿业权，根据规定可以按照不同矿种分别设立矿业权的除外。</w:t>
      </w:r>
    </w:p>
    <w:p w14:paraId="19F92B25">
      <w:pPr>
        <w:ind w:firstLine="420"/>
        <w:rPr>
          <w:rFonts w:hint="eastAsia" w:ascii="汉仪书宋二简" w:hAnsiTheme="minorEastAsia"/>
          <w:bCs/>
          <w:kern w:val="0"/>
        </w:rPr>
      </w:pPr>
      <w:r>
        <w:rPr>
          <w:rFonts w:hint="eastAsia" w:ascii="汉仪书宋二简" w:hAnsiTheme="minorEastAsia"/>
          <w:bCs/>
          <w:kern w:val="0"/>
        </w:rPr>
        <w:t>（5）矿业权的期限：探矿权5年*4期。采矿权的期限最长不超过30年，期满后登记的开采区域内仍有可供开采的矿产资源的，可以续期。</w:t>
      </w:r>
    </w:p>
    <w:p w14:paraId="06F8F72C">
      <w:pPr>
        <w:ind w:firstLine="420"/>
        <w:rPr>
          <w:rFonts w:hint="eastAsia" w:ascii="汉仪书宋二简" w:eastAsia="汉仪书宋二简" w:hAnsiTheme="minorEastAsia"/>
          <w:bCs/>
          <w:color w:val="0000FF"/>
          <w:kern w:val="0"/>
          <w:lang w:eastAsia="zh-CN"/>
        </w:rPr>
      </w:pPr>
      <w:r>
        <w:rPr>
          <w:rFonts w:hint="eastAsia" w:ascii="汉仪书宋二简" w:hAnsiTheme="minorEastAsia"/>
          <w:bCs/>
          <w:kern w:val="0"/>
        </w:rPr>
        <w:t>（6）探矿采矿直通车：探矿权人</w:t>
      </w:r>
      <w:r>
        <w:rPr>
          <w:rFonts w:hint="eastAsia" w:ascii="汉仪书宋二简" w:hAnsi="楷体" w:eastAsia="汉仪中黑简" w:cs="楷体"/>
          <w:color w:val="FF0000"/>
          <w:kern w:val="0"/>
        </w:rPr>
        <w:t>探明可供开采的矿产资源后</w:t>
      </w:r>
      <w:r>
        <w:rPr>
          <w:rFonts w:hint="eastAsia" w:ascii="汉仪书宋二简" w:hAnsiTheme="minorEastAsia"/>
          <w:bCs/>
          <w:kern w:val="0"/>
        </w:rPr>
        <w:t>可以在探矿权期限内申请</w:t>
      </w:r>
      <w:r>
        <w:rPr>
          <w:rFonts w:hint="eastAsia" w:ascii="汉仪书宋二简" w:hAnsiTheme="minorEastAsia"/>
          <w:bCs/>
          <w:color w:val="0000FF"/>
          <w:kern w:val="0"/>
        </w:rPr>
        <w:t>将其探矿权转为采矿权；</w:t>
      </w:r>
      <w:r>
        <w:rPr>
          <w:rFonts w:hint="eastAsia" w:ascii="汉仪书宋二简" w:hAnsiTheme="minorEastAsia"/>
          <w:bCs/>
          <w:kern w:val="0"/>
        </w:rPr>
        <w:t>法律、行政法规另有规定的除外。原矿业权出让部门应当与该探矿权人签订采矿权出让合同，设立采矿权。为了公共利益的需要，或者因不可抗力或者其他特殊情形，探矿权暂时不能转为采矿权的，探矿权人可以申请办理</w:t>
      </w:r>
      <w:r>
        <w:rPr>
          <w:rFonts w:hint="eastAsia" w:ascii="汉仪书宋二简" w:hAnsi="楷体" w:eastAsia="汉仪中黑简" w:cs="楷体"/>
          <w:color w:val="FF0000"/>
          <w:kern w:val="0"/>
        </w:rPr>
        <w:t>探矿权保留</w:t>
      </w:r>
      <w:r>
        <w:rPr>
          <w:rFonts w:hint="eastAsia" w:ascii="汉仪书宋二简" w:hAnsiTheme="minorEastAsia"/>
          <w:bCs/>
          <w:kern w:val="0"/>
        </w:rPr>
        <w:t>，原矿业权出让部门应当为其办理。探矿权保留期间，探矿权期限中止计算。</w:t>
      </w:r>
      <w:r>
        <w:rPr>
          <w:rFonts w:hint="eastAsia" w:ascii="汉仪书宋二简" w:hAnsiTheme="minorEastAsia"/>
          <w:bCs/>
          <w:color w:val="0000FF"/>
          <w:kern w:val="0"/>
          <w:lang w:eastAsia="zh-CN"/>
        </w:rPr>
        <w:t>（</w:t>
      </w:r>
      <w:r>
        <w:rPr>
          <w:rFonts w:hint="eastAsia" w:ascii="汉仪书宋二简" w:hAnsiTheme="minorEastAsia"/>
          <w:bCs/>
          <w:color w:val="0000FF"/>
          <w:kern w:val="0"/>
          <w:lang w:val="en-US" w:eastAsia="zh-CN"/>
        </w:rPr>
        <w:t>可以转，需要两个手续</w:t>
      </w:r>
      <w:r>
        <w:rPr>
          <w:rFonts w:hint="eastAsia" w:ascii="汉仪书宋二简" w:hAnsiTheme="minorEastAsia"/>
          <w:bCs/>
          <w:color w:val="0000FF"/>
          <w:kern w:val="0"/>
          <w:lang w:eastAsia="zh-CN"/>
        </w:rPr>
        <w:t>）</w:t>
      </w:r>
    </w:p>
    <w:p w14:paraId="182F0676">
      <w:pPr>
        <w:ind w:firstLine="420"/>
        <w:rPr>
          <w:rFonts w:hint="eastAsia" w:ascii="汉仪书宋二简" w:hAnsiTheme="minorEastAsia"/>
          <w:bCs/>
          <w:kern w:val="0"/>
        </w:rPr>
      </w:pPr>
      <w:r>
        <w:rPr>
          <w:rFonts w:hint="eastAsia" w:ascii="汉仪书宋二简" w:hAnsiTheme="minorEastAsia"/>
          <w:bCs/>
          <w:kern w:val="0"/>
        </w:rPr>
        <w:t>（7）矿业权回收补偿：矿业权期限届满前，为了公共利益的需要，原矿业权出让部门可以依法收回矿业权；矿业权被收回的，应当依法给予公平、合理的补偿。</w:t>
      </w:r>
    </w:p>
    <w:p w14:paraId="5F17AE8A">
      <w:pPr>
        <w:ind w:firstLine="420"/>
        <w:rPr>
          <w:rFonts w:hint="eastAsia" w:ascii="汉仪书宋二简" w:hAnsiTheme="minorEastAsia"/>
          <w:bCs/>
          <w:kern w:val="0"/>
        </w:rPr>
      </w:pPr>
      <w:r>
        <w:rPr>
          <w:rFonts w:hint="eastAsia" w:ascii="汉仪书宋二简" w:hAnsiTheme="minorEastAsia"/>
          <w:bCs/>
          <w:kern w:val="0"/>
        </w:rPr>
        <w:t>（8）矿业权转让：矿业权可以依法转让或者出资、抵押等；矿业权转让的，矿业权出让合同和矿业权登记簿所载明的权利、义务随之转移，国家另有规定或者矿业权出让、转让合同另有约定的除外。</w:t>
      </w:r>
    </w:p>
    <w:p w14:paraId="2A8FBD86">
      <w:pPr>
        <w:ind w:firstLine="420"/>
        <w:rPr>
          <w:rFonts w:hint="eastAsia" w:ascii="汉仪书宋二简" w:hAnsiTheme="minorEastAsia"/>
          <w:bCs/>
          <w:kern w:val="0"/>
        </w:rPr>
      </w:pPr>
      <w:r>
        <w:rPr>
          <w:rFonts w:hint="eastAsia" w:ascii="汉仪书宋二简" w:hAnsiTheme="minorEastAsia"/>
          <w:bCs/>
          <w:kern w:val="0"/>
        </w:rPr>
        <w:t>（9）无须取得矿业权：无需取得探矿权的3种情形包括</w:t>
      </w:r>
      <w:r>
        <w:rPr>
          <w:rFonts w:hint="eastAsia" w:ascii="汉仪书宋二简" w:hAnsiTheme="minorEastAsia"/>
          <w:bCs/>
          <w:color w:val="0000FF"/>
          <w:kern w:val="0"/>
        </w:rPr>
        <w:t>国家出资勘查矿产资源；采矿权人在登记的开采区域内为开采活动需要进行勘查；其他情形</w:t>
      </w:r>
      <w:r>
        <w:rPr>
          <w:rFonts w:hint="eastAsia" w:ascii="汉仪书宋二简" w:hAnsiTheme="minorEastAsia"/>
          <w:bCs/>
          <w:kern w:val="0"/>
        </w:rPr>
        <w:t>。无需取得采矿权的3种情形包括个人为生活自用采挖只能用作普通建筑材料的砂、石、黏土；建设项目施工单位在批准的作业区域和建设工期内，因施工需要采挖只能用作普通建筑材料的砂、石、黏土；其他情形。</w:t>
      </w:r>
    </w:p>
    <w:p w14:paraId="67668BE7">
      <w:pPr>
        <w:ind w:firstLine="440"/>
        <w:rPr>
          <w:rFonts w:hint="eastAsia" w:ascii="汉仪中黑简" w:eastAsia="汉仪中黑简"/>
          <w:sz w:val="22"/>
          <w:szCs w:val="22"/>
        </w:rPr>
      </w:pPr>
      <w:r>
        <w:rPr>
          <w:rFonts w:hint="eastAsia" w:ascii="汉仪中黑简" w:eastAsia="汉仪中黑简"/>
          <w:sz w:val="22"/>
          <w:szCs w:val="22"/>
        </w:rPr>
        <w:t>3．矿产资源勘查与开采</w:t>
      </w:r>
    </w:p>
    <w:p w14:paraId="64120F08">
      <w:pPr>
        <w:ind w:firstLine="420"/>
        <w:rPr>
          <w:rFonts w:hint="eastAsia" w:ascii="汉仪书宋二简" w:hAnsiTheme="minorEastAsia"/>
          <w:bCs/>
          <w:kern w:val="0"/>
        </w:rPr>
      </w:pPr>
      <w:r>
        <w:rPr>
          <w:rFonts w:hint="eastAsia" w:ascii="汉仪书宋二简" w:hAnsiTheme="minorEastAsia"/>
          <w:bCs/>
          <w:kern w:val="0"/>
        </w:rPr>
        <w:t>（1）两证分离：</w:t>
      </w:r>
      <w:r>
        <w:rPr>
          <w:rFonts w:hint="eastAsia" w:ascii="汉仪书宋二简" w:hAnsiTheme="minorEastAsia"/>
          <w:bCs/>
          <w:color w:val="0000FF"/>
          <w:kern w:val="0"/>
        </w:rPr>
        <w:t>矿业权证+勘查许可证、采矿许可证。</w:t>
      </w:r>
      <w:r>
        <w:rPr>
          <w:rFonts w:hint="eastAsia" w:ascii="汉仪书宋二简" w:hAnsiTheme="minorEastAsia"/>
          <w:bCs/>
          <w:kern w:val="0"/>
        </w:rPr>
        <w:t>矿业权人应当按照经批准的勘查方案、开采方案进行勘查、开采作业；勘查方案、开采方案需要作重大调整的，应当按照规定报原矿业权出让部门批准。</w:t>
      </w:r>
    </w:p>
    <w:p w14:paraId="23D79840">
      <w:pPr>
        <w:ind w:firstLine="420"/>
        <w:rPr>
          <w:rFonts w:hint="eastAsia" w:ascii="汉仪书宋二简" w:hAnsiTheme="minorEastAsia"/>
          <w:bCs/>
          <w:kern w:val="0"/>
        </w:rPr>
      </w:pPr>
      <w:r>
        <w:rPr>
          <w:rFonts w:hint="eastAsia" w:ascii="汉仪书宋二简" w:hAnsiTheme="minorEastAsia"/>
          <w:bCs/>
          <w:kern w:val="0"/>
        </w:rPr>
        <w:t>（2）矿业用地：自然资源主管部门可以通过出让、租赁、作价出资等多种方式供应矿业用地。开采战略性矿产确需使用农民集体所有土地的，可以依法实施征收。露天开采战略性矿产资源占用土地，报省级以上人民政府自然资源主管部门批准后，可以临时使用土地。矿业用地的使用期限最长不超过矿业权期限。</w:t>
      </w:r>
    </w:p>
    <w:p w14:paraId="245D3B95">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二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中黑简">
    <w:altName w:val="微软雅黑"/>
    <w:panose1 w:val="00000000000000000000"/>
    <w:charset w:val="86"/>
    <w:family w:val="modern"/>
    <w:pitch w:val="default"/>
    <w:sig w:usb0="00000000" w:usb1="00000000" w:usb2="00000012" w:usb3="00000000" w:csb0="00040000" w:csb1="00000000"/>
  </w:font>
  <w:font w:name="汉仪书宋一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大黑简">
    <w:altName w:val="微软雅黑"/>
    <w:panose1 w:val="00000000000000000000"/>
    <w:charset w:val="86"/>
    <w:family w:val="modern"/>
    <w:pitch w:val="default"/>
    <w:sig w:usb0="00000000" w:usb1="00000000" w:usb2="00000012" w:usb3="00000000" w:csb0="00040000" w:csb1="00000000"/>
  </w:font>
  <w:font w:name="汉仪粗黑简">
    <w:altName w:val="微软雅黑"/>
    <w:panose1 w:val="00000000000000000000"/>
    <w:charset w:val="86"/>
    <w:family w:val="modern"/>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粗宋简">
    <w:altName w:val="微软雅黑"/>
    <w:panose1 w:val="00000000000000000000"/>
    <w:charset w:val="86"/>
    <w:family w:val="modern"/>
    <w:pitch w:val="default"/>
    <w:sig w:usb0="00000000" w:usb1="00000000" w:usb2="00000012" w:usb3="00000000" w:csb0="00040000" w:csb1="00000000"/>
  </w:font>
  <w:font w:name="汉仪书宋二简">
    <w:altName w:val="宋体"/>
    <w:panose1 w:val="00000000000000000000"/>
    <w:charset w:val="00"/>
    <w:family w:val="auto"/>
    <w:pitch w:val="default"/>
    <w:sig w:usb0="00000000" w:usb1="00000000" w:usb2="00000000" w:usb3="00000000" w:csb0="00000000" w:csb1="00000000"/>
  </w:font>
  <w:font w:name="汉仪中黑简">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41AD0"/>
    <w:rsid w:val="4FE8484E"/>
    <w:rsid w:val="511E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3"/>
    <w:basedOn w:val="1"/>
    <w:next w:val="1"/>
    <w:unhideWhenUsed/>
    <w:qFormat/>
    <w:uiPriority w:val="9"/>
    <w:pPr>
      <w:keepNext/>
      <w:keepLines/>
      <w:ind w:firstLine="0" w:firstLineChars="0"/>
      <w:jc w:val="left"/>
      <w:outlineLvl w:val="2"/>
    </w:pPr>
    <w:rPr>
      <w:rFonts w:eastAsia="汉仪大宋简"/>
      <w:sz w:val="26"/>
    </w:rPr>
  </w:style>
  <w:style w:type="paragraph" w:styleId="4">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note text"/>
    <w:basedOn w:val="1"/>
    <w:unhideWhenUsed/>
    <w:qFormat/>
    <w:uiPriority w:val="0"/>
    <w:pPr>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2025-05-29T14:20:25Z</dcterms:created>
  <dc:creator>cuplh</dc:creator>
  <cp:lastModifiedBy>韩富鹏</cp:lastModifiedBy>
  <dcterms:modified xsi:type="dcterms:W3CDTF">2025-05-29T14:32:48Z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07AE3AA44D5B4FCDAFEB0C08608F7388_12</vt:lpwstr>
  </property>
</Properties>
</file>