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2D37B">
      <w:pPr>
        <w:pStyle w:val="2"/>
        <w:spacing w:before="0" w:line="480" w:lineRule="exact"/>
        <w:rPr>
          <w:rFonts w:hint="default"/>
          <w:lang w:val="en-US"/>
        </w:rPr>
      </w:pPr>
      <w:r>
        <w:rPr>
          <w:rFonts w:hint="eastAsia"/>
          <w:color w:val="FF0000"/>
        </w:rPr>
        <w:t xml:space="preserve"> </w:t>
      </w:r>
      <w:r>
        <w:rPr>
          <w:rFonts w:hint="eastAsia"/>
          <w:color w:val="FF0000"/>
          <w:lang w:val="en-US" w:eastAsia="zh-CN"/>
        </w:rPr>
        <w:t>考点5  土地和房地产法</w:t>
      </w:r>
    </w:p>
    <w:p w14:paraId="3BAFAB26">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五、</w:t>
      </w:r>
      <w:r>
        <w:rPr>
          <w:rFonts w:hint="eastAsia" w:ascii="汉仪粗宋简" w:hAnsi="Times New Roman" w:eastAsia="汉仪大宋简" w:cs="汉仪粗宋简"/>
          <w:color w:val="000000"/>
          <w:kern w:val="0"/>
          <w:position w:val="4"/>
          <w:sz w:val="26"/>
          <w:szCs w:val="26"/>
          <w:lang w:val="zh-CN"/>
        </w:rPr>
        <w:t>房地产交易</w:t>
      </w:r>
    </w:p>
    <w:p w14:paraId="0A51E9AE">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752"/>
        <w:gridCol w:w="779"/>
        <w:gridCol w:w="3175"/>
        <w:gridCol w:w="3799"/>
      </w:tblGrid>
      <w:tr w14:paraId="4C592E4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900" w:type="pct"/>
            <w:gridSpan w:val="2"/>
            <w:shd w:val="clear" w:color="auto" w:fill="auto"/>
            <w:vAlign w:val="center"/>
          </w:tcPr>
          <w:p w14:paraId="5D45A6BF">
            <w:pPr>
              <w:spacing w:before="31" w:beforeLines="10" w:after="62" w:afterLines="20" w:line="280" w:lineRule="exact"/>
              <w:ind w:firstLine="0" w:firstLineChars="0"/>
              <w:rPr>
                <w:rFonts w:hint="eastAsia" w:ascii="汉仪书宋一简" w:eastAsia="汉仪书宋一简"/>
                <w:b/>
                <w:kern w:val="0"/>
                <w:sz w:val="20"/>
              </w:rPr>
            </w:pPr>
          </w:p>
        </w:tc>
        <w:tc>
          <w:tcPr>
            <w:tcW w:w="1866" w:type="pct"/>
            <w:shd w:val="clear" w:color="auto" w:fill="auto"/>
            <w:vAlign w:val="center"/>
          </w:tcPr>
          <w:p w14:paraId="541AD456">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出让土地</w:t>
            </w:r>
          </w:p>
        </w:tc>
        <w:tc>
          <w:tcPr>
            <w:tcW w:w="2233" w:type="pct"/>
            <w:shd w:val="clear" w:color="auto" w:fill="auto"/>
            <w:vAlign w:val="center"/>
          </w:tcPr>
          <w:p w14:paraId="2450D71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划拨土地</w:t>
            </w:r>
          </w:p>
        </w:tc>
      </w:tr>
      <w:tr w14:paraId="00A0F7F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42" w:type="pct"/>
            <w:vMerge w:val="restart"/>
            <w:shd w:val="clear" w:color="auto" w:fill="auto"/>
            <w:vAlign w:val="center"/>
          </w:tcPr>
          <w:p w14:paraId="1451433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转让</w:t>
            </w:r>
          </w:p>
        </w:tc>
        <w:tc>
          <w:tcPr>
            <w:tcW w:w="457" w:type="pct"/>
            <w:shd w:val="clear" w:color="auto" w:fill="auto"/>
            <w:vAlign w:val="center"/>
          </w:tcPr>
          <w:p w14:paraId="0C8C84A1">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原理</w:t>
            </w:r>
          </w:p>
        </w:tc>
        <w:tc>
          <w:tcPr>
            <w:tcW w:w="4099" w:type="pct"/>
            <w:gridSpan w:val="2"/>
            <w:shd w:val="clear" w:color="auto" w:fill="auto"/>
            <w:vAlign w:val="center"/>
          </w:tcPr>
          <w:p w14:paraId="05C8BA55">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hAnsi="ˎ̥" w:eastAsia="汉仪书宋一简"/>
                <w:kern w:val="0"/>
                <w:sz w:val="20"/>
              </w:rPr>
              <w:t>买卖、赠与或者其他合法方式将其房地产转移给他人；房屋所有权与土地使用权一并转让</w:t>
            </w:r>
          </w:p>
        </w:tc>
      </w:tr>
      <w:tr w14:paraId="7D8EEC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42" w:type="pct"/>
            <w:vMerge w:val="continue"/>
            <w:shd w:val="clear" w:color="auto" w:fill="auto"/>
            <w:vAlign w:val="center"/>
          </w:tcPr>
          <w:p w14:paraId="3A54A0B5">
            <w:pPr>
              <w:spacing w:before="31" w:beforeLines="10" w:after="31" w:afterLines="10" w:line="280" w:lineRule="exact"/>
              <w:ind w:firstLine="0" w:firstLineChars="0"/>
              <w:jc w:val="center"/>
              <w:rPr>
                <w:rFonts w:hint="eastAsia" w:ascii="汉仪中黑简" w:eastAsia="汉仪中黑简"/>
                <w:bCs/>
                <w:kern w:val="0"/>
                <w:sz w:val="20"/>
              </w:rPr>
            </w:pPr>
          </w:p>
        </w:tc>
        <w:tc>
          <w:tcPr>
            <w:tcW w:w="457" w:type="pct"/>
            <w:shd w:val="clear" w:color="auto" w:fill="auto"/>
            <w:vAlign w:val="center"/>
          </w:tcPr>
          <w:p w14:paraId="5BA61685">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条件</w:t>
            </w:r>
          </w:p>
        </w:tc>
        <w:tc>
          <w:tcPr>
            <w:tcW w:w="1866" w:type="pct"/>
            <w:shd w:val="clear" w:color="auto" w:fill="auto"/>
            <w:vAlign w:val="center"/>
          </w:tcPr>
          <w:p w14:paraId="0DBADEA9">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hAnsi="ˎ̥" w:eastAsia="汉仪书宋一简"/>
                <w:kern w:val="0"/>
                <w:sz w:val="20"/>
              </w:rPr>
              <w:t>（</w:t>
            </w:r>
            <w:r>
              <w:rPr>
                <w:rFonts w:hint="eastAsia" w:ascii="汉仪书宋一简" w:eastAsia="汉仪书宋一简"/>
                <w:kern w:val="0"/>
                <w:sz w:val="20"/>
              </w:rPr>
              <w:t>1</w:t>
            </w:r>
            <w:r>
              <w:rPr>
                <w:rFonts w:hint="eastAsia" w:ascii="汉仪书宋一简" w:hAnsi="ˎ̥" w:eastAsia="汉仪书宋一简"/>
                <w:kern w:val="0"/>
                <w:sz w:val="20"/>
              </w:rPr>
              <w:t>）按照出让合同约定已经支付全部土地使用权出让金，并取得土地使用权证书；（</w:t>
            </w:r>
            <w:r>
              <w:rPr>
                <w:rFonts w:hint="eastAsia" w:ascii="汉仪书宋一简" w:eastAsia="汉仪书宋一简"/>
                <w:kern w:val="0"/>
                <w:sz w:val="20"/>
              </w:rPr>
              <w:t>2</w:t>
            </w:r>
            <w:r>
              <w:rPr>
                <w:rFonts w:hint="eastAsia" w:ascii="汉仪书宋一简" w:hAnsi="ˎ̥" w:eastAsia="汉仪书宋一简"/>
                <w:kern w:val="0"/>
                <w:sz w:val="20"/>
              </w:rPr>
              <w:t>）按照出让合同约定进行投资开发，属于房屋建设工程的，</w:t>
            </w:r>
            <w:r>
              <w:rPr>
                <w:rFonts w:hint="eastAsia" w:ascii="汉仪书宋一简" w:hAnsi="ˎ̥" w:eastAsia="汉仪书宋一简"/>
                <w:color w:val="0000FF"/>
                <w:kern w:val="0"/>
                <w:sz w:val="20"/>
              </w:rPr>
              <w:t>完成开发投资总额的</w:t>
            </w:r>
            <w:r>
              <w:rPr>
                <w:rFonts w:hint="eastAsia" w:ascii="汉仪书宋一简" w:eastAsia="汉仪书宋一简"/>
                <w:color w:val="0000FF"/>
                <w:kern w:val="0"/>
                <w:sz w:val="20"/>
              </w:rPr>
              <w:t>25</w:t>
            </w:r>
            <w:r>
              <w:rPr>
                <w:rFonts w:hint="eastAsia" w:ascii="汉仪书宋一简" w:hAnsi="ˎ̥" w:eastAsia="汉仪书宋一简"/>
                <w:color w:val="0000FF"/>
                <w:kern w:val="0"/>
                <w:sz w:val="20"/>
              </w:rPr>
              <w:t>%以上</w:t>
            </w:r>
            <w:r>
              <w:rPr>
                <w:rFonts w:hint="eastAsia" w:ascii="汉仪书宋一简" w:hAnsi="ˎ̥" w:eastAsia="汉仪书宋一简"/>
                <w:kern w:val="0"/>
                <w:sz w:val="20"/>
              </w:rPr>
              <w:t>，属于成片开发土地的，形成工业用地或者其他建设用地条件</w:t>
            </w:r>
          </w:p>
        </w:tc>
        <w:tc>
          <w:tcPr>
            <w:tcW w:w="2233" w:type="pct"/>
            <w:shd w:val="clear" w:color="auto" w:fill="auto"/>
            <w:vAlign w:val="center"/>
          </w:tcPr>
          <w:p w14:paraId="54FCB3EA">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hAnsi="ˎ̥" w:eastAsia="汉仪书宋一简"/>
                <w:kern w:val="0"/>
                <w:sz w:val="20"/>
              </w:rPr>
              <w:t>应报政府审批，</w:t>
            </w:r>
            <w:r>
              <w:rPr>
                <w:rFonts w:hint="eastAsia" w:ascii="汉仪书宋一简" w:hAnsi="ˎ̥" w:eastAsia="汉仪书宋一简"/>
                <w:color w:val="0000FF"/>
                <w:kern w:val="0"/>
                <w:sz w:val="20"/>
              </w:rPr>
              <w:t>并由受让方办理土地使用权出让手续、缴纳土地使用权出让金</w:t>
            </w:r>
            <w:r>
              <w:rPr>
                <w:rFonts w:hint="eastAsia" w:ascii="汉仪书宋一简" w:hAnsi="ˎ̥" w:eastAsia="汉仪书宋一简"/>
                <w:color w:val="0000FF"/>
                <w:kern w:val="0"/>
                <w:sz w:val="20"/>
                <w:lang w:eastAsia="zh-CN"/>
              </w:rPr>
              <w:t>（</w:t>
            </w:r>
            <w:r>
              <w:rPr>
                <w:rFonts w:hint="eastAsia" w:ascii="汉仪书宋一简" w:hAnsi="ˎ̥" w:eastAsia="汉仪书宋一简"/>
                <w:color w:val="0000FF"/>
                <w:kern w:val="0"/>
                <w:sz w:val="20"/>
                <w:lang w:val="en-US" w:eastAsia="zh-CN"/>
              </w:rPr>
              <w:t>转为出让地</w:t>
            </w:r>
            <w:r>
              <w:rPr>
                <w:rFonts w:hint="eastAsia" w:ascii="汉仪书宋一简" w:hAnsi="ˎ̥" w:eastAsia="汉仪书宋一简"/>
                <w:color w:val="0000FF"/>
                <w:kern w:val="0"/>
                <w:sz w:val="20"/>
                <w:lang w:eastAsia="zh-CN"/>
              </w:rPr>
              <w:t>）</w:t>
            </w:r>
            <w:r>
              <w:rPr>
                <w:rFonts w:hint="eastAsia" w:ascii="汉仪书宋一简" w:hAnsi="ˎ̥" w:eastAsia="汉仪书宋一简"/>
                <w:kern w:val="0"/>
                <w:sz w:val="20"/>
              </w:rPr>
              <w:t>。政府也可以决定不办理土地使用权出让手续，将该划拨土地使用权直接划拨给受让方使用，由转让方将所获收益中的土地收益上缴国家或者作其他处理</w:t>
            </w:r>
          </w:p>
        </w:tc>
      </w:tr>
      <w:tr w14:paraId="6C0162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42" w:type="pct"/>
            <w:vMerge w:val="continue"/>
            <w:shd w:val="clear" w:color="auto" w:fill="auto"/>
            <w:vAlign w:val="center"/>
          </w:tcPr>
          <w:p w14:paraId="6F14CCAF">
            <w:pPr>
              <w:spacing w:before="31" w:beforeLines="10" w:after="31" w:afterLines="10" w:line="280" w:lineRule="exact"/>
              <w:ind w:firstLine="0" w:firstLineChars="0"/>
              <w:jc w:val="center"/>
              <w:rPr>
                <w:rFonts w:hint="eastAsia" w:ascii="汉仪中黑简" w:eastAsia="汉仪中黑简"/>
                <w:bCs/>
                <w:kern w:val="0"/>
                <w:sz w:val="20"/>
              </w:rPr>
            </w:pPr>
          </w:p>
        </w:tc>
        <w:tc>
          <w:tcPr>
            <w:tcW w:w="457" w:type="pct"/>
            <w:shd w:val="clear" w:color="auto" w:fill="auto"/>
            <w:vAlign w:val="center"/>
          </w:tcPr>
          <w:p w14:paraId="0BFD471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年限</w:t>
            </w:r>
          </w:p>
        </w:tc>
        <w:tc>
          <w:tcPr>
            <w:tcW w:w="1866" w:type="pct"/>
            <w:shd w:val="clear" w:color="auto" w:fill="auto"/>
            <w:vAlign w:val="center"/>
          </w:tcPr>
          <w:p w14:paraId="0E9D1E64">
            <w:pPr>
              <w:spacing w:before="31" w:beforeLines="10" w:after="62" w:afterLines="20" w:line="280" w:lineRule="exact"/>
              <w:ind w:firstLine="0" w:firstLineChars="0"/>
              <w:rPr>
                <w:rFonts w:hint="eastAsia" w:ascii="汉仪书宋一简" w:hAnsi="ˎ̥" w:eastAsia="汉仪书宋一简"/>
                <w:kern w:val="0"/>
                <w:sz w:val="20"/>
                <w:lang w:eastAsia="zh-CN"/>
              </w:rPr>
            </w:pPr>
            <w:r>
              <w:rPr>
                <w:rFonts w:hint="eastAsia" w:ascii="汉仪书宋一简" w:hAnsi="ˎ̥" w:eastAsia="汉仪书宋一简"/>
                <w:kern w:val="0"/>
                <w:sz w:val="20"/>
              </w:rPr>
              <w:t>受让方土地使用权的使用年限为剩余年限</w:t>
            </w:r>
            <w:r>
              <w:rPr>
                <w:rFonts w:hint="eastAsia" w:ascii="汉仪书宋一简" w:hAnsi="ˎ̥" w:eastAsia="汉仪书宋一简"/>
                <w:kern w:val="0"/>
                <w:sz w:val="20"/>
                <w:lang w:eastAsia="zh-CN"/>
              </w:rPr>
              <w:t>（</w:t>
            </w:r>
            <w:r>
              <w:rPr>
                <w:rFonts w:hint="eastAsia" w:ascii="汉仪书宋一简" w:hAnsi="ˎ̥" w:eastAsia="汉仪书宋一简"/>
                <w:color w:val="0000FF"/>
                <w:kern w:val="0"/>
                <w:sz w:val="20"/>
                <w:lang w:val="en-US" w:eastAsia="zh-CN"/>
              </w:rPr>
              <w:t>变更用途按后面用途期限减去已经使用的部分</w:t>
            </w:r>
            <w:r>
              <w:rPr>
                <w:rFonts w:hint="eastAsia" w:ascii="汉仪书宋一简" w:hAnsi="ˎ̥" w:eastAsia="汉仪书宋一简"/>
                <w:kern w:val="0"/>
                <w:sz w:val="20"/>
                <w:lang w:eastAsia="zh-CN"/>
              </w:rPr>
              <w:t>）</w:t>
            </w:r>
          </w:p>
        </w:tc>
        <w:tc>
          <w:tcPr>
            <w:tcW w:w="2233" w:type="pct"/>
            <w:shd w:val="clear" w:color="auto" w:fill="auto"/>
            <w:vAlign w:val="center"/>
          </w:tcPr>
          <w:p w14:paraId="3CA39E6C">
            <w:pPr>
              <w:spacing w:before="31" w:beforeLines="10" w:after="62" w:afterLines="20" w:line="280" w:lineRule="exact"/>
              <w:ind w:firstLine="0" w:firstLineChars="0"/>
              <w:rPr>
                <w:rFonts w:hint="eastAsia" w:ascii="汉仪书宋一简" w:hAnsi="ˎ̥" w:eastAsia="汉仪书宋一简"/>
                <w:kern w:val="0"/>
                <w:sz w:val="20"/>
              </w:rPr>
            </w:pPr>
            <w:r>
              <w:rPr>
                <w:rFonts w:hint="eastAsia" w:ascii="汉仪书宋一简" w:hAnsi="ˎ̥" w:eastAsia="汉仪书宋一简"/>
                <w:kern w:val="0"/>
                <w:sz w:val="20"/>
              </w:rPr>
              <w:t>办理出让手续的，由出让合同约定。不办出让手续的，无使用年限限制</w:t>
            </w:r>
          </w:p>
        </w:tc>
      </w:tr>
      <w:tr w14:paraId="48C4FB1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42" w:type="pct"/>
            <w:vMerge w:val="restart"/>
            <w:shd w:val="clear" w:color="auto" w:fill="auto"/>
            <w:vAlign w:val="center"/>
          </w:tcPr>
          <w:p w14:paraId="0C31D30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抵押</w:t>
            </w:r>
          </w:p>
        </w:tc>
        <w:tc>
          <w:tcPr>
            <w:tcW w:w="457" w:type="pct"/>
            <w:shd w:val="clear" w:color="auto" w:fill="auto"/>
            <w:vAlign w:val="center"/>
          </w:tcPr>
          <w:p w14:paraId="6E7A1FF0">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原理</w:t>
            </w:r>
          </w:p>
        </w:tc>
        <w:tc>
          <w:tcPr>
            <w:tcW w:w="4099" w:type="pct"/>
            <w:gridSpan w:val="2"/>
            <w:shd w:val="clear" w:color="auto" w:fill="auto"/>
            <w:vAlign w:val="center"/>
          </w:tcPr>
          <w:p w14:paraId="5E283D4F">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房屋所有权与土地使用</w:t>
            </w:r>
            <w:r>
              <w:rPr>
                <w:rFonts w:hint="eastAsia" w:ascii="汉仪书宋一简" w:eastAsia="汉仪书宋一简" w:hAnsiTheme="minorEastAsia"/>
                <w:color w:val="0000FF"/>
                <w:kern w:val="0"/>
                <w:sz w:val="20"/>
              </w:rPr>
              <w:t>权一并抵押</w:t>
            </w:r>
            <w:r>
              <w:rPr>
                <w:rFonts w:hint="eastAsia" w:ascii="汉仪书宋一简" w:eastAsia="汉仪书宋一简" w:hAnsiTheme="minorEastAsia"/>
                <w:kern w:val="0"/>
                <w:sz w:val="20"/>
              </w:rPr>
              <w:t>；</w:t>
            </w:r>
            <w:r>
              <w:rPr>
                <w:rFonts w:hint="eastAsia" w:ascii="汉仪书宋一简" w:hAnsi="ˎ̥" w:eastAsia="汉仪书宋一简"/>
                <w:kern w:val="0"/>
                <w:sz w:val="20"/>
              </w:rPr>
              <w:t>房地产抵押合同签订后，土地上新增的房屋不属于抵押财产</w:t>
            </w:r>
          </w:p>
        </w:tc>
      </w:tr>
      <w:tr w14:paraId="641BC7D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42" w:type="pct"/>
            <w:vMerge w:val="continue"/>
            <w:shd w:val="clear" w:color="auto" w:fill="auto"/>
            <w:vAlign w:val="center"/>
          </w:tcPr>
          <w:p w14:paraId="47E21ADE">
            <w:pPr>
              <w:spacing w:before="31" w:beforeLines="10" w:after="31" w:afterLines="10" w:line="280" w:lineRule="exact"/>
              <w:ind w:firstLine="0" w:firstLineChars="0"/>
              <w:jc w:val="center"/>
              <w:rPr>
                <w:rFonts w:hint="eastAsia" w:ascii="汉仪中黑简" w:eastAsia="汉仪中黑简"/>
                <w:bCs/>
                <w:kern w:val="0"/>
                <w:sz w:val="20"/>
              </w:rPr>
            </w:pPr>
          </w:p>
        </w:tc>
        <w:tc>
          <w:tcPr>
            <w:tcW w:w="457" w:type="pct"/>
            <w:shd w:val="clear" w:color="auto" w:fill="auto"/>
            <w:vAlign w:val="center"/>
          </w:tcPr>
          <w:p w14:paraId="482D8B3E">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范围</w:t>
            </w:r>
          </w:p>
        </w:tc>
        <w:tc>
          <w:tcPr>
            <w:tcW w:w="1866" w:type="pct"/>
            <w:shd w:val="clear" w:color="auto" w:fill="auto"/>
            <w:vAlign w:val="center"/>
          </w:tcPr>
          <w:p w14:paraId="1643A623">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hAnsi="ˎ̥" w:eastAsia="汉仪书宋一简"/>
                <w:kern w:val="0"/>
                <w:sz w:val="20"/>
              </w:rPr>
              <w:t>以出让方式取得的无地上建筑物的土地使用权，可以设定抵押权</w:t>
            </w:r>
          </w:p>
        </w:tc>
        <w:tc>
          <w:tcPr>
            <w:tcW w:w="2233" w:type="pct"/>
            <w:shd w:val="clear" w:color="auto" w:fill="auto"/>
            <w:vAlign w:val="center"/>
          </w:tcPr>
          <w:p w14:paraId="3C4953AC">
            <w:pPr>
              <w:spacing w:before="31" w:beforeLines="10" w:after="62" w:afterLines="20" w:line="280" w:lineRule="exact"/>
              <w:ind w:firstLine="0" w:firstLineChars="0"/>
              <w:rPr>
                <w:rFonts w:hint="eastAsia" w:ascii="汉仪书宋一简" w:eastAsia="汉仪书宋一简" w:hAnsiTheme="minorEastAsia"/>
                <w:kern w:val="0"/>
                <w:sz w:val="20"/>
                <w:lang w:eastAsia="zh-CN"/>
              </w:rPr>
            </w:pPr>
            <w:r>
              <w:rPr>
                <w:rFonts w:hint="eastAsia" w:ascii="汉仪书宋一简" w:hAnsi="ˎ̥" w:eastAsia="汉仪书宋一简"/>
                <w:kern w:val="0"/>
                <w:sz w:val="20"/>
              </w:rPr>
              <w:t>以划拨方式取得的无地上建筑物的土地使用权，不得设定抵押权</w:t>
            </w:r>
            <w:r>
              <w:rPr>
                <w:rFonts w:hint="eastAsia" w:ascii="汉仪书宋一简" w:hAnsi="ˎ̥" w:eastAsia="汉仪书宋一简"/>
                <w:kern w:val="0"/>
                <w:sz w:val="20"/>
                <w:lang w:eastAsia="zh-CN"/>
              </w:rPr>
              <w:t>（</w:t>
            </w:r>
            <w:r>
              <w:rPr>
                <w:rFonts w:hint="eastAsia" w:ascii="汉仪书宋一简" w:hAnsi="ˎ̥" w:eastAsia="汉仪书宋一简"/>
                <w:color w:val="0000FF"/>
                <w:kern w:val="0"/>
                <w:sz w:val="20"/>
                <w:lang w:val="en-US" w:eastAsia="zh-CN"/>
              </w:rPr>
              <w:t>不得单独抵押</w:t>
            </w:r>
            <w:r>
              <w:rPr>
                <w:rFonts w:hint="eastAsia" w:ascii="汉仪书宋一简" w:hAnsi="ˎ̥" w:eastAsia="汉仪书宋一简"/>
                <w:kern w:val="0"/>
                <w:sz w:val="20"/>
                <w:lang w:eastAsia="zh-CN"/>
              </w:rPr>
              <w:t>）</w:t>
            </w:r>
          </w:p>
        </w:tc>
      </w:tr>
      <w:tr w14:paraId="79AA453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42" w:type="pct"/>
            <w:vMerge w:val="continue"/>
            <w:shd w:val="clear" w:color="auto" w:fill="auto"/>
            <w:vAlign w:val="center"/>
          </w:tcPr>
          <w:p w14:paraId="18CEABEC">
            <w:pPr>
              <w:spacing w:before="31" w:beforeLines="10" w:after="31" w:afterLines="10" w:line="280" w:lineRule="exact"/>
              <w:ind w:firstLine="0" w:firstLineChars="0"/>
              <w:jc w:val="center"/>
              <w:rPr>
                <w:rFonts w:hint="eastAsia" w:ascii="汉仪中黑简" w:eastAsia="汉仪中黑简"/>
                <w:bCs/>
                <w:kern w:val="0"/>
                <w:sz w:val="20"/>
              </w:rPr>
            </w:pPr>
          </w:p>
        </w:tc>
        <w:tc>
          <w:tcPr>
            <w:tcW w:w="457" w:type="pct"/>
            <w:shd w:val="clear" w:color="auto" w:fill="auto"/>
            <w:vAlign w:val="center"/>
          </w:tcPr>
          <w:p w14:paraId="4BA63947">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条件</w:t>
            </w:r>
          </w:p>
        </w:tc>
        <w:tc>
          <w:tcPr>
            <w:tcW w:w="1866" w:type="pct"/>
            <w:shd w:val="clear" w:color="auto" w:fill="auto"/>
            <w:vAlign w:val="center"/>
          </w:tcPr>
          <w:p w14:paraId="42F029A4">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不必经政府批准</w:t>
            </w:r>
          </w:p>
        </w:tc>
        <w:tc>
          <w:tcPr>
            <w:tcW w:w="2233" w:type="pct"/>
            <w:shd w:val="clear" w:color="auto" w:fill="auto"/>
            <w:vAlign w:val="center"/>
          </w:tcPr>
          <w:p w14:paraId="127A520C">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必须经政府批准</w:t>
            </w:r>
          </w:p>
        </w:tc>
      </w:tr>
      <w:tr w14:paraId="0AEB43E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42" w:type="pct"/>
            <w:vMerge w:val="continue"/>
            <w:shd w:val="clear" w:color="auto" w:fill="auto"/>
            <w:vAlign w:val="center"/>
          </w:tcPr>
          <w:p w14:paraId="142D306F">
            <w:pPr>
              <w:spacing w:before="31" w:beforeLines="10" w:after="31" w:afterLines="10" w:line="280" w:lineRule="exact"/>
              <w:ind w:firstLine="0" w:firstLineChars="0"/>
              <w:jc w:val="center"/>
              <w:rPr>
                <w:rFonts w:hint="eastAsia" w:ascii="汉仪中黑简" w:eastAsia="汉仪中黑简"/>
                <w:bCs/>
                <w:kern w:val="0"/>
                <w:sz w:val="20"/>
              </w:rPr>
            </w:pPr>
          </w:p>
        </w:tc>
        <w:tc>
          <w:tcPr>
            <w:tcW w:w="457" w:type="pct"/>
            <w:shd w:val="clear" w:color="auto" w:fill="auto"/>
            <w:vAlign w:val="center"/>
          </w:tcPr>
          <w:p w14:paraId="24A7DEAE">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效力</w:t>
            </w:r>
          </w:p>
        </w:tc>
        <w:tc>
          <w:tcPr>
            <w:tcW w:w="1866" w:type="pct"/>
            <w:shd w:val="clear" w:color="auto" w:fill="auto"/>
            <w:vAlign w:val="center"/>
          </w:tcPr>
          <w:p w14:paraId="57167035">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抵押权人可就房屋和土地使用权价值优先受偿</w:t>
            </w:r>
          </w:p>
        </w:tc>
        <w:tc>
          <w:tcPr>
            <w:tcW w:w="2233" w:type="pct"/>
            <w:shd w:val="clear" w:color="auto" w:fill="auto"/>
            <w:vAlign w:val="center"/>
          </w:tcPr>
          <w:p w14:paraId="12DB8789">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hAnsi="ˎ̥" w:eastAsia="汉仪书宋一简"/>
                <w:kern w:val="0"/>
                <w:sz w:val="20"/>
              </w:rPr>
              <w:t>应当从拍卖所得的价款中缴纳相当于土地使用权出让金的款额后，抵押权人方可优先受偿</w:t>
            </w:r>
          </w:p>
        </w:tc>
      </w:tr>
      <w:tr w14:paraId="3597AC6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900" w:type="pct"/>
            <w:gridSpan w:val="2"/>
            <w:shd w:val="clear" w:color="auto" w:fill="auto"/>
            <w:vAlign w:val="center"/>
          </w:tcPr>
          <w:p w14:paraId="7E999490">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租赁</w:t>
            </w:r>
          </w:p>
        </w:tc>
        <w:tc>
          <w:tcPr>
            <w:tcW w:w="1866" w:type="pct"/>
            <w:shd w:val="clear" w:color="auto" w:fill="auto"/>
            <w:vAlign w:val="center"/>
          </w:tcPr>
          <w:p w14:paraId="64E564BA">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无特别限制</w:t>
            </w:r>
          </w:p>
        </w:tc>
        <w:tc>
          <w:tcPr>
            <w:tcW w:w="2233" w:type="pct"/>
            <w:shd w:val="clear" w:color="auto" w:fill="auto"/>
            <w:vAlign w:val="center"/>
          </w:tcPr>
          <w:p w14:paraId="4F561CB2">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hAnsi="ˎ̥" w:eastAsia="汉仪书宋一简"/>
                <w:kern w:val="0"/>
                <w:sz w:val="20"/>
              </w:rPr>
              <w:t>以营利为目的，将划拨土地上建成的房屋出租的，应当将租金中所含土地收益上缴国家</w:t>
            </w:r>
          </w:p>
        </w:tc>
      </w:tr>
      <w:tr w14:paraId="06C61FB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900" w:type="pct"/>
            <w:gridSpan w:val="2"/>
            <w:vMerge w:val="restart"/>
            <w:shd w:val="clear" w:color="auto" w:fill="auto"/>
            <w:vAlign w:val="center"/>
          </w:tcPr>
          <w:p w14:paraId="16BEFB0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商品房预售</w:t>
            </w:r>
          </w:p>
        </w:tc>
        <w:tc>
          <w:tcPr>
            <w:tcW w:w="4099" w:type="pct"/>
            <w:gridSpan w:val="2"/>
            <w:shd w:val="clear" w:color="auto" w:fill="auto"/>
            <w:vAlign w:val="center"/>
          </w:tcPr>
          <w:p w14:paraId="37B07004">
            <w:pPr>
              <w:spacing w:before="31" w:beforeLines="10" w:after="62" w:afterLines="20" w:line="280" w:lineRule="exact"/>
              <w:ind w:firstLine="0" w:firstLineChars="0"/>
              <w:rPr>
                <w:rFonts w:hint="eastAsia" w:ascii="汉仪书宋一简" w:hAnsi="ˎ̥" w:eastAsia="汉仪书宋一简"/>
                <w:kern w:val="0"/>
                <w:sz w:val="20"/>
              </w:rPr>
            </w:pPr>
            <w:r>
              <w:rPr>
                <w:rFonts w:hint="eastAsia" w:ascii="汉仪书宋一简" w:hAnsi="ˎ̥" w:eastAsia="汉仪书宋一简"/>
                <w:kern w:val="0"/>
                <w:sz w:val="20"/>
              </w:rPr>
              <w:t>应当符合下列条件：（</w:t>
            </w:r>
            <w:r>
              <w:rPr>
                <w:rFonts w:hint="eastAsia" w:ascii="汉仪书宋一简" w:eastAsia="汉仪书宋一简"/>
                <w:kern w:val="0"/>
                <w:sz w:val="20"/>
              </w:rPr>
              <w:t>1</w:t>
            </w:r>
            <w:r>
              <w:rPr>
                <w:rFonts w:hint="eastAsia" w:ascii="汉仪书宋一简" w:hAnsi="ˎ̥" w:eastAsia="汉仪书宋一简"/>
                <w:kern w:val="0"/>
                <w:sz w:val="20"/>
              </w:rPr>
              <w:t>）已交付全部土地使用权出让金，取得土地使用权证书；（</w:t>
            </w:r>
            <w:r>
              <w:rPr>
                <w:rFonts w:hint="eastAsia" w:ascii="汉仪书宋一简" w:eastAsia="汉仪书宋一简"/>
                <w:kern w:val="0"/>
                <w:sz w:val="20"/>
              </w:rPr>
              <w:t>2</w:t>
            </w:r>
            <w:r>
              <w:rPr>
                <w:rFonts w:hint="eastAsia" w:ascii="汉仪书宋一简" w:hAnsi="ˎ̥" w:eastAsia="汉仪书宋一简"/>
                <w:kern w:val="0"/>
                <w:sz w:val="20"/>
              </w:rPr>
              <w:t>）持有建设工程规划许可证；（</w:t>
            </w:r>
            <w:r>
              <w:rPr>
                <w:rFonts w:hint="eastAsia" w:ascii="汉仪书宋一简" w:eastAsia="汉仪书宋一简"/>
                <w:kern w:val="0"/>
                <w:sz w:val="20"/>
              </w:rPr>
              <w:t>3</w:t>
            </w:r>
            <w:r>
              <w:rPr>
                <w:rFonts w:hint="eastAsia" w:ascii="汉仪书宋一简" w:hAnsi="ˎ̥" w:eastAsia="汉仪书宋一简"/>
                <w:kern w:val="0"/>
                <w:sz w:val="20"/>
              </w:rPr>
              <w:t>）</w:t>
            </w:r>
            <w:r>
              <w:rPr>
                <w:rFonts w:hint="eastAsia" w:ascii="汉仪书宋一简" w:hAnsi="ˎ̥" w:eastAsia="汉仪书宋一简"/>
                <w:color w:val="0000FF"/>
                <w:kern w:val="0"/>
                <w:sz w:val="20"/>
              </w:rPr>
              <w:t>按提供预售的商品房计算，投入开发建设的资金达到工程建设总投资的</w:t>
            </w:r>
            <w:r>
              <w:rPr>
                <w:rFonts w:hint="eastAsia" w:ascii="汉仪书宋一简" w:eastAsia="汉仪书宋一简"/>
                <w:color w:val="0000FF"/>
                <w:kern w:val="0"/>
                <w:sz w:val="20"/>
              </w:rPr>
              <w:t>25%</w:t>
            </w:r>
            <w:r>
              <w:rPr>
                <w:rFonts w:hint="eastAsia" w:ascii="汉仪书宋一简" w:hAnsi="ˎ̥" w:eastAsia="汉仪书宋一简"/>
                <w:color w:val="0000FF"/>
                <w:kern w:val="0"/>
                <w:sz w:val="20"/>
              </w:rPr>
              <w:t>以上，并已经确定施工进度和竣工交付日</w:t>
            </w:r>
            <w:r>
              <w:rPr>
                <w:rFonts w:hint="eastAsia" w:ascii="汉仪书宋一简" w:hAnsi="ˎ̥" w:eastAsia="汉仪书宋一简"/>
                <w:kern w:val="0"/>
                <w:sz w:val="20"/>
              </w:rPr>
              <w:t>期；（</w:t>
            </w:r>
            <w:r>
              <w:rPr>
                <w:rFonts w:hint="eastAsia" w:ascii="汉仪书宋一简" w:eastAsia="汉仪书宋一简"/>
                <w:kern w:val="0"/>
                <w:sz w:val="20"/>
              </w:rPr>
              <w:t>4</w:t>
            </w:r>
            <w:r>
              <w:rPr>
                <w:rFonts w:hint="eastAsia" w:ascii="汉仪书宋一简" w:hAnsi="ˎ̥" w:eastAsia="汉仪书宋一简"/>
                <w:kern w:val="0"/>
                <w:sz w:val="20"/>
              </w:rPr>
              <w:t>）向房产管理部门办理预售登记，取得商品房预售许可证明。无证预售的，预售合同无效，但起诉前取得预售许可证的，可以认定有效</w:t>
            </w:r>
          </w:p>
          <w:p w14:paraId="59BC9427">
            <w:pPr>
              <w:spacing w:before="31" w:beforeLines="10" w:after="62" w:afterLines="20" w:line="280" w:lineRule="exact"/>
              <w:ind w:firstLine="0" w:firstLineChars="0"/>
              <w:rPr>
                <w:rFonts w:hint="default" w:ascii="汉仪书宋一简" w:hAnsi="ˎ̥" w:eastAsia="汉仪书宋一简"/>
                <w:kern w:val="0"/>
                <w:sz w:val="20"/>
                <w:lang w:val="en-US" w:eastAsia="zh-CN"/>
              </w:rPr>
            </w:pPr>
            <w:r>
              <w:rPr>
                <w:rFonts w:hint="eastAsia" w:ascii="汉仪书宋一简" w:hAnsi="ˎ̥" w:eastAsia="汉仪书宋一简"/>
                <w:color w:val="0000FF"/>
                <w:kern w:val="0"/>
                <w:sz w:val="20"/>
                <w:lang w:val="en-US" w:eastAsia="zh-CN"/>
              </w:rPr>
              <w:t>禁止违反诚信原则主张合同无效</w:t>
            </w:r>
          </w:p>
        </w:tc>
      </w:tr>
      <w:tr w14:paraId="40207A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900" w:type="pct"/>
            <w:gridSpan w:val="2"/>
            <w:vMerge w:val="continue"/>
            <w:shd w:val="clear" w:color="auto" w:fill="auto"/>
            <w:vAlign w:val="center"/>
          </w:tcPr>
          <w:p w14:paraId="79BACC1F">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4099" w:type="pct"/>
            <w:gridSpan w:val="2"/>
            <w:shd w:val="clear" w:color="auto" w:fill="auto"/>
            <w:vAlign w:val="center"/>
          </w:tcPr>
          <w:p w14:paraId="0E35C703">
            <w:pPr>
              <w:spacing w:before="31" w:beforeLines="10" w:after="62" w:afterLines="20" w:line="280" w:lineRule="exact"/>
              <w:ind w:firstLine="0" w:firstLineChars="0"/>
              <w:rPr>
                <w:rFonts w:hint="eastAsia" w:ascii="汉仪书宋一简" w:hAnsi="ˎ̥" w:eastAsia="汉仪书宋一简"/>
                <w:kern w:val="0"/>
                <w:sz w:val="20"/>
              </w:rPr>
            </w:pPr>
            <w:r>
              <w:rPr>
                <w:rFonts w:hint="eastAsia" w:ascii="汉仪书宋一简" w:hAnsi="ˎ̥" w:eastAsia="汉仪书宋一简"/>
                <w:kern w:val="0"/>
                <w:sz w:val="20"/>
              </w:rPr>
              <w:t>商品房预售人应当将预售合同报房产管理部门和土地管理部门登记备案。未备案不影响合同效力</w:t>
            </w:r>
          </w:p>
        </w:tc>
      </w:tr>
    </w:tbl>
    <w:p w14:paraId="7E10370D">
      <w:pPr>
        <w:ind w:firstLine="420"/>
        <w:rPr>
          <w:rFonts w:hint="eastAsia" w:ascii="汉仪书宋二简" w:hAnsiTheme="minorEastAsia"/>
          <w:b/>
        </w:rPr>
      </w:pPr>
    </w:p>
    <w:p w14:paraId="678254A1">
      <w:pPr>
        <w:pStyle w:val="3"/>
        <w:rPr>
          <w:rFonts w:hint="eastAsia"/>
        </w:rPr>
      </w:pPr>
      <w:r>
        <w:rPr>
          <w:rFonts w:hint="eastAsia"/>
        </w:rPr>
        <w:t>五、城乡规划的制定</w:t>
      </w:r>
    </w:p>
    <w:p w14:paraId="386788A9">
      <w:pPr>
        <w:ind w:firstLine="440"/>
        <w:rPr>
          <w:rFonts w:hint="eastAsia" w:ascii="汉仪中黑简" w:hAnsi="汉仪书宋二简" w:eastAsia="汉仪中黑简" w:cs="汉仪书宋二简"/>
          <w:bCs/>
          <w:kern w:val="0"/>
          <w:sz w:val="22"/>
          <w:szCs w:val="22"/>
        </w:rPr>
      </w:pPr>
    </w:p>
    <w:p w14:paraId="0DF58A78">
      <w:pPr>
        <w:pStyle w:val="4"/>
        <w:ind w:firstLine="288" w:firstLineChars="120"/>
        <w:jc w:val="both"/>
        <w:rPr>
          <w:rFonts w:hint="eastAsia"/>
        </w:rPr>
      </w:pPr>
      <w:r>
        <w:rPr>
          <w:rFonts w:hint="eastAsia"/>
        </w:rPr>
        <w:t>（一）制定和审批程序</w:t>
      </w:r>
    </w:p>
    <w:p w14:paraId="693E8392">
      <w:pPr>
        <w:ind w:firstLine="420"/>
        <w:rPr>
          <w:rFonts w:hint="eastAsia" w:ascii="汉仪书宋二简"/>
          <w:b/>
          <w:bCs/>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6"/>
        <w:gridCol w:w="905"/>
        <w:gridCol w:w="1645"/>
        <w:gridCol w:w="3486"/>
        <w:gridCol w:w="1343"/>
      </w:tblGrid>
      <w:tr w14:paraId="7436377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shd w:val="clear" w:color="auto" w:fill="auto"/>
            <w:vAlign w:val="center"/>
          </w:tcPr>
          <w:p w14:paraId="1FCDD93D">
            <w:pPr>
              <w:spacing w:before="31" w:beforeLines="10" w:after="62" w:afterLines="20" w:line="280" w:lineRule="exact"/>
              <w:ind w:firstLine="0" w:firstLineChars="0"/>
              <w:rPr>
                <w:rFonts w:hint="eastAsia" w:ascii="汉仪书宋一简" w:eastAsia="汉仪书宋一简"/>
                <w:sz w:val="20"/>
              </w:rPr>
            </w:pPr>
          </w:p>
        </w:tc>
        <w:tc>
          <w:tcPr>
            <w:tcW w:w="905" w:type="dxa"/>
            <w:shd w:val="clear" w:color="auto" w:fill="auto"/>
            <w:vAlign w:val="center"/>
          </w:tcPr>
          <w:p w14:paraId="3713C31E">
            <w:pPr>
              <w:spacing w:before="31" w:beforeLines="10" w:after="62" w:afterLines="20" w:line="280" w:lineRule="exact"/>
              <w:ind w:firstLine="0" w:firstLineChars="0"/>
              <w:rPr>
                <w:rFonts w:hint="eastAsia" w:ascii="汉仪书宋一简" w:eastAsia="汉仪书宋一简"/>
                <w:sz w:val="20"/>
              </w:rPr>
            </w:pPr>
          </w:p>
        </w:tc>
        <w:tc>
          <w:tcPr>
            <w:tcW w:w="1645" w:type="dxa"/>
            <w:shd w:val="clear" w:color="auto" w:fill="auto"/>
            <w:vAlign w:val="center"/>
          </w:tcPr>
          <w:p w14:paraId="0C311418">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编制</w:t>
            </w:r>
          </w:p>
        </w:tc>
        <w:tc>
          <w:tcPr>
            <w:tcW w:w="3486" w:type="dxa"/>
            <w:shd w:val="clear" w:color="auto" w:fill="auto"/>
            <w:vAlign w:val="center"/>
          </w:tcPr>
          <w:p w14:paraId="51DC870D">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审批</w:t>
            </w:r>
          </w:p>
        </w:tc>
        <w:tc>
          <w:tcPr>
            <w:tcW w:w="1343" w:type="dxa"/>
            <w:shd w:val="clear" w:color="auto" w:fill="auto"/>
            <w:vAlign w:val="center"/>
          </w:tcPr>
          <w:p w14:paraId="1435EF9E">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人大审议</w:t>
            </w:r>
          </w:p>
        </w:tc>
      </w:tr>
      <w:tr w14:paraId="23C9CF4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vMerge w:val="restart"/>
            <w:shd w:val="clear" w:color="auto" w:fill="auto"/>
            <w:vAlign w:val="center"/>
          </w:tcPr>
          <w:p w14:paraId="5EFAE3D6">
            <w:pPr>
              <w:spacing w:before="31" w:beforeLines="10" w:after="31" w:afterLines="10" w:line="280" w:lineRule="exact"/>
              <w:ind w:firstLine="0" w:firstLineChars="0"/>
              <w:jc w:val="center"/>
              <w:rPr>
                <w:rFonts w:hint="eastAsia" w:ascii="汉仪中黑简" w:eastAsia="汉仪中黑简"/>
                <w:bCs/>
                <w:color w:val="0000FF"/>
                <w:kern w:val="0"/>
                <w:sz w:val="20"/>
              </w:rPr>
            </w:pPr>
            <w:r>
              <w:rPr>
                <w:rFonts w:hint="eastAsia" w:ascii="汉仪中黑简" w:eastAsia="汉仪中黑简"/>
                <w:bCs/>
                <w:color w:val="0000FF"/>
                <w:kern w:val="0"/>
                <w:sz w:val="20"/>
              </w:rPr>
              <w:t>总体规划</w:t>
            </w:r>
          </w:p>
          <w:p w14:paraId="6B777078">
            <w:pPr>
              <w:spacing w:before="31" w:beforeLines="10" w:after="31" w:afterLines="10" w:line="280" w:lineRule="exact"/>
              <w:ind w:firstLine="0" w:firstLineChars="0"/>
              <w:jc w:val="center"/>
              <w:rPr>
                <w:rFonts w:hint="default" w:ascii="汉仪中黑简" w:eastAsia="汉仪中黑简"/>
                <w:bCs/>
                <w:color w:val="0000FF"/>
                <w:kern w:val="0"/>
                <w:sz w:val="20"/>
                <w:lang w:val="en-US" w:eastAsia="zh-CN"/>
              </w:rPr>
            </w:pPr>
            <w:r>
              <w:rPr>
                <w:rFonts w:hint="eastAsia" w:ascii="汉仪中黑简" w:eastAsia="汉仪中黑简"/>
                <w:bCs/>
                <w:color w:val="0000FF"/>
                <w:kern w:val="0"/>
                <w:sz w:val="20"/>
                <w:lang w:val="en-US" w:eastAsia="zh-CN"/>
              </w:rPr>
              <w:t>20年</w:t>
            </w:r>
          </w:p>
        </w:tc>
        <w:tc>
          <w:tcPr>
            <w:tcW w:w="905" w:type="dxa"/>
            <w:shd w:val="clear" w:color="auto" w:fill="auto"/>
            <w:vAlign w:val="center"/>
          </w:tcPr>
          <w:p w14:paraId="5A0382A6">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城市</w:t>
            </w:r>
          </w:p>
        </w:tc>
        <w:tc>
          <w:tcPr>
            <w:tcW w:w="1645" w:type="dxa"/>
            <w:shd w:val="clear" w:color="auto" w:fill="auto"/>
            <w:vAlign w:val="center"/>
          </w:tcPr>
          <w:p w14:paraId="53B80873">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城市人民政府</w:t>
            </w:r>
          </w:p>
        </w:tc>
        <w:tc>
          <w:tcPr>
            <w:tcW w:w="3486" w:type="dxa"/>
            <w:shd w:val="clear" w:color="auto" w:fill="auto"/>
            <w:vAlign w:val="center"/>
          </w:tcPr>
          <w:p w14:paraId="5628FE11">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直辖市由国务院审批，省会市和较大市由省级政府审查同意后报国务院审批，其他市由省级政府审批</w:t>
            </w:r>
          </w:p>
        </w:tc>
        <w:tc>
          <w:tcPr>
            <w:tcW w:w="1343" w:type="dxa"/>
            <w:vMerge w:val="restart"/>
            <w:shd w:val="clear" w:color="auto" w:fill="auto"/>
            <w:vAlign w:val="center"/>
          </w:tcPr>
          <w:p w14:paraId="7DA7A74A">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在报上一级人民政府审批前，应当先经本级人大常委会审议</w:t>
            </w:r>
          </w:p>
        </w:tc>
      </w:tr>
      <w:tr w14:paraId="4A97A46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vMerge w:val="continue"/>
            <w:shd w:val="clear" w:color="auto" w:fill="auto"/>
            <w:vAlign w:val="center"/>
          </w:tcPr>
          <w:p w14:paraId="102180FB">
            <w:pPr>
              <w:spacing w:before="31" w:beforeLines="10" w:after="31" w:afterLines="10" w:line="280" w:lineRule="exact"/>
              <w:ind w:firstLine="0" w:firstLineChars="0"/>
              <w:jc w:val="center"/>
              <w:rPr>
                <w:rFonts w:hint="eastAsia" w:ascii="汉仪中黑简" w:eastAsia="汉仪中黑简"/>
                <w:bCs/>
                <w:kern w:val="0"/>
                <w:sz w:val="20"/>
              </w:rPr>
            </w:pPr>
          </w:p>
        </w:tc>
        <w:tc>
          <w:tcPr>
            <w:tcW w:w="905" w:type="dxa"/>
            <w:shd w:val="clear" w:color="auto" w:fill="auto"/>
            <w:vAlign w:val="center"/>
          </w:tcPr>
          <w:p w14:paraId="705DDAC6">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县府镇</w:t>
            </w:r>
          </w:p>
        </w:tc>
        <w:tc>
          <w:tcPr>
            <w:tcW w:w="1645" w:type="dxa"/>
            <w:shd w:val="clear" w:color="auto" w:fill="auto"/>
            <w:vAlign w:val="center"/>
          </w:tcPr>
          <w:p w14:paraId="5B9EC39B">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县人民政府</w:t>
            </w:r>
          </w:p>
        </w:tc>
        <w:tc>
          <w:tcPr>
            <w:tcW w:w="3486" w:type="dxa"/>
            <w:shd w:val="clear" w:color="auto" w:fill="auto"/>
            <w:vAlign w:val="center"/>
          </w:tcPr>
          <w:p w14:paraId="74C2FDE0">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报上一级人民政府审批</w:t>
            </w:r>
          </w:p>
        </w:tc>
        <w:tc>
          <w:tcPr>
            <w:tcW w:w="1343" w:type="dxa"/>
            <w:vMerge w:val="continue"/>
            <w:shd w:val="clear" w:color="auto" w:fill="auto"/>
            <w:vAlign w:val="center"/>
          </w:tcPr>
          <w:p w14:paraId="77928224">
            <w:pPr>
              <w:spacing w:before="31" w:beforeLines="10" w:after="62" w:afterLines="20" w:line="280" w:lineRule="exact"/>
              <w:ind w:firstLine="0" w:firstLineChars="0"/>
              <w:rPr>
                <w:rFonts w:hint="eastAsia" w:ascii="汉仪书宋一简" w:eastAsia="汉仪书宋一简"/>
                <w:sz w:val="20"/>
              </w:rPr>
            </w:pPr>
          </w:p>
        </w:tc>
      </w:tr>
      <w:tr w14:paraId="405D63B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vMerge w:val="continue"/>
            <w:shd w:val="clear" w:color="auto" w:fill="auto"/>
            <w:vAlign w:val="center"/>
          </w:tcPr>
          <w:p w14:paraId="3689D61C">
            <w:pPr>
              <w:spacing w:before="31" w:beforeLines="10" w:after="31" w:afterLines="10" w:line="280" w:lineRule="exact"/>
              <w:ind w:firstLine="0" w:firstLineChars="0"/>
              <w:jc w:val="center"/>
              <w:rPr>
                <w:rFonts w:hint="eastAsia" w:ascii="汉仪中黑简" w:eastAsia="汉仪中黑简"/>
                <w:bCs/>
                <w:kern w:val="0"/>
                <w:sz w:val="20"/>
              </w:rPr>
            </w:pPr>
          </w:p>
        </w:tc>
        <w:tc>
          <w:tcPr>
            <w:tcW w:w="905" w:type="dxa"/>
            <w:shd w:val="clear" w:color="auto" w:fill="auto"/>
            <w:vAlign w:val="center"/>
          </w:tcPr>
          <w:p w14:paraId="60E7C4D7">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普通镇</w:t>
            </w:r>
          </w:p>
        </w:tc>
        <w:tc>
          <w:tcPr>
            <w:tcW w:w="1645" w:type="dxa"/>
            <w:shd w:val="clear" w:color="auto" w:fill="auto"/>
            <w:vAlign w:val="center"/>
          </w:tcPr>
          <w:p w14:paraId="36774FB0">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镇人民政府</w:t>
            </w:r>
          </w:p>
        </w:tc>
        <w:tc>
          <w:tcPr>
            <w:tcW w:w="3486" w:type="dxa"/>
            <w:shd w:val="clear" w:color="auto" w:fill="auto"/>
            <w:vAlign w:val="center"/>
          </w:tcPr>
          <w:p w14:paraId="1A38D5C7">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报上一级人民政府审批</w:t>
            </w:r>
          </w:p>
        </w:tc>
        <w:tc>
          <w:tcPr>
            <w:tcW w:w="1343" w:type="dxa"/>
            <w:shd w:val="clear" w:color="auto" w:fill="auto"/>
            <w:vAlign w:val="center"/>
          </w:tcPr>
          <w:p w14:paraId="116DE7AC">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应当先经镇人大审议</w:t>
            </w:r>
          </w:p>
        </w:tc>
      </w:tr>
      <w:tr w14:paraId="794468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vMerge w:val="restart"/>
            <w:shd w:val="clear" w:color="auto" w:fill="auto"/>
            <w:vAlign w:val="center"/>
          </w:tcPr>
          <w:p w14:paraId="59C6253C">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控规</w:t>
            </w:r>
          </w:p>
        </w:tc>
        <w:tc>
          <w:tcPr>
            <w:tcW w:w="905" w:type="dxa"/>
            <w:shd w:val="clear" w:color="auto" w:fill="auto"/>
            <w:vAlign w:val="center"/>
          </w:tcPr>
          <w:p w14:paraId="218F67E2">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城市</w:t>
            </w:r>
          </w:p>
        </w:tc>
        <w:tc>
          <w:tcPr>
            <w:tcW w:w="6474" w:type="dxa"/>
            <w:gridSpan w:val="3"/>
            <w:shd w:val="clear" w:color="auto" w:fill="auto"/>
            <w:vAlign w:val="center"/>
          </w:tcPr>
          <w:p w14:paraId="159110F6">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城乡规划主管部门组织编制，经本级政府批准后，报本级人大常委会和上一级政府备案。</w:t>
            </w:r>
          </w:p>
        </w:tc>
      </w:tr>
      <w:tr w14:paraId="6997FA7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vMerge w:val="continue"/>
            <w:shd w:val="clear" w:color="auto" w:fill="auto"/>
            <w:vAlign w:val="center"/>
          </w:tcPr>
          <w:p w14:paraId="5060A356">
            <w:pPr>
              <w:spacing w:before="31" w:beforeLines="10" w:after="31" w:afterLines="10" w:line="280" w:lineRule="exact"/>
              <w:ind w:firstLine="0" w:firstLineChars="0"/>
              <w:jc w:val="center"/>
              <w:rPr>
                <w:rFonts w:hint="eastAsia" w:ascii="汉仪中黑简" w:eastAsia="汉仪中黑简"/>
                <w:bCs/>
                <w:kern w:val="0"/>
                <w:sz w:val="20"/>
              </w:rPr>
            </w:pPr>
          </w:p>
        </w:tc>
        <w:tc>
          <w:tcPr>
            <w:tcW w:w="905" w:type="dxa"/>
            <w:shd w:val="clear" w:color="auto" w:fill="auto"/>
            <w:vAlign w:val="center"/>
          </w:tcPr>
          <w:p w14:paraId="266701B8">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县府镇</w:t>
            </w:r>
          </w:p>
        </w:tc>
        <w:tc>
          <w:tcPr>
            <w:tcW w:w="6474" w:type="dxa"/>
            <w:gridSpan w:val="3"/>
            <w:shd w:val="clear" w:color="auto" w:fill="auto"/>
            <w:vAlign w:val="center"/>
          </w:tcPr>
          <w:p w14:paraId="58B9C3C3">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县政府城乡规划主管部门组织编制，经县政府批准后，报本级人大常委会和上一级政府备案。</w:t>
            </w:r>
          </w:p>
        </w:tc>
      </w:tr>
      <w:tr w14:paraId="1DDB8A6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vMerge w:val="continue"/>
            <w:shd w:val="clear" w:color="auto" w:fill="auto"/>
            <w:vAlign w:val="center"/>
          </w:tcPr>
          <w:p w14:paraId="06706CEB">
            <w:pPr>
              <w:spacing w:before="31" w:beforeLines="10" w:after="31" w:afterLines="10" w:line="280" w:lineRule="exact"/>
              <w:ind w:firstLine="0" w:firstLineChars="0"/>
              <w:jc w:val="center"/>
              <w:rPr>
                <w:rFonts w:hint="eastAsia" w:ascii="汉仪中黑简" w:eastAsia="汉仪中黑简"/>
                <w:bCs/>
                <w:kern w:val="0"/>
                <w:sz w:val="20"/>
              </w:rPr>
            </w:pPr>
          </w:p>
        </w:tc>
        <w:tc>
          <w:tcPr>
            <w:tcW w:w="905" w:type="dxa"/>
            <w:shd w:val="clear" w:color="auto" w:fill="auto"/>
            <w:vAlign w:val="center"/>
          </w:tcPr>
          <w:p w14:paraId="220F2400">
            <w:pPr>
              <w:spacing w:before="31" w:beforeLines="10" w:after="62" w:afterLines="20" w:line="280" w:lineRule="exact"/>
              <w:ind w:firstLine="0" w:firstLineChars="0"/>
              <w:jc w:val="center"/>
              <w:rPr>
                <w:rFonts w:hint="eastAsia" w:ascii="汉仪书宋一简" w:eastAsia="汉仪书宋一简"/>
                <w:sz w:val="20"/>
              </w:rPr>
            </w:pPr>
            <w:r>
              <w:rPr>
                <w:rFonts w:hint="eastAsia" w:ascii="汉仪书宋一简" w:eastAsia="汉仪书宋一简"/>
                <w:sz w:val="20"/>
              </w:rPr>
              <w:t>普通镇</w:t>
            </w:r>
          </w:p>
        </w:tc>
        <w:tc>
          <w:tcPr>
            <w:tcW w:w="6474" w:type="dxa"/>
            <w:gridSpan w:val="3"/>
            <w:shd w:val="clear" w:color="auto" w:fill="auto"/>
            <w:vAlign w:val="center"/>
          </w:tcPr>
          <w:p w14:paraId="39E4E96B">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镇政府组织编制，报上一级政府审批。</w:t>
            </w:r>
          </w:p>
        </w:tc>
      </w:tr>
      <w:tr w14:paraId="473A597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1126" w:type="dxa"/>
            <w:shd w:val="clear" w:color="auto" w:fill="auto"/>
            <w:vAlign w:val="center"/>
          </w:tcPr>
          <w:p w14:paraId="0A599E23">
            <w:pPr>
              <w:spacing w:before="31" w:beforeLines="10" w:after="31" w:afterLines="1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乡村规划</w:t>
            </w:r>
          </w:p>
        </w:tc>
        <w:tc>
          <w:tcPr>
            <w:tcW w:w="7379" w:type="dxa"/>
            <w:gridSpan w:val="4"/>
            <w:shd w:val="clear" w:color="auto" w:fill="auto"/>
            <w:vAlign w:val="center"/>
          </w:tcPr>
          <w:p w14:paraId="2B145CD6">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乡、镇政府组织编制乡规划、村庄规划，报上一级政府审批。村庄规划在报送审批前，应当经村民会议或者村民代表会议讨论同意。</w:t>
            </w:r>
          </w:p>
        </w:tc>
      </w:tr>
    </w:tbl>
    <w:p w14:paraId="11659629">
      <w:pPr>
        <w:ind w:firstLine="420"/>
        <w:rPr>
          <w:rFonts w:hint="eastAsia" w:ascii="汉仪书宋二简"/>
          <w:b/>
          <w:bCs/>
        </w:rPr>
      </w:pPr>
    </w:p>
    <w:p w14:paraId="5D149504">
      <w:pPr>
        <w:ind w:firstLine="420"/>
        <w:rPr>
          <w:rFonts w:hint="eastAsia" w:ascii="汉仪书宋二简"/>
        </w:rPr>
      </w:pPr>
    </w:p>
    <w:p w14:paraId="1C8E15EE">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六、城乡规划的实施</w:t>
      </w:r>
    </w:p>
    <w:p w14:paraId="1B5339D3">
      <w:pPr>
        <w:spacing w:line="200" w:lineRule="exact"/>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840"/>
        <w:gridCol w:w="7665"/>
      </w:tblGrid>
      <w:tr w14:paraId="58533FA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shd w:val="clear" w:color="auto" w:fill="auto"/>
            <w:vAlign w:val="center"/>
          </w:tcPr>
          <w:p w14:paraId="11EC1F9C">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近期建设规划</w:t>
            </w:r>
          </w:p>
        </w:tc>
        <w:tc>
          <w:tcPr>
            <w:tcW w:w="4506" w:type="pct"/>
            <w:shd w:val="clear" w:color="auto" w:fill="auto"/>
            <w:vAlign w:val="center"/>
          </w:tcPr>
          <w:p w14:paraId="2421C499">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（1）城市、县、镇政府应当根据城市总体规划、镇总体规划、土地利用总体规划和年度计划以及国民经济和社会发展规划，制定近期建设规划，报总体规划审批机关备案</w:t>
            </w:r>
          </w:p>
          <w:p w14:paraId="4DF45A6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（2）近期建设规划应当以重要基础设施、公共服务设施和中低收入居民住房建设以及生态环境保护为重点内容</w:t>
            </w:r>
          </w:p>
          <w:p w14:paraId="2A85567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（3）近期建设规划的</w:t>
            </w:r>
            <w:r>
              <w:rPr>
                <w:rFonts w:hint="eastAsia" w:ascii="汉仪书宋一简" w:eastAsia="汉仪书宋一简"/>
                <w:color w:val="0000FF"/>
                <w:kern w:val="0"/>
                <w:sz w:val="20"/>
              </w:rPr>
              <w:t>规划期限为5年</w:t>
            </w:r>
          </w:p>
        </w:tc>
      </w:tr>
      <w:tr w14:paraId="49592C6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restart"/>
            <w:shd w:val="clear" w:color="auto" w:fill="auto"/>
            <w:vAlign w:val="center"/>
          </w:tcPr>
          <w:p w14:paraId="0CBD4EB2">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建设</w:t>
            </w:r>
            <w:r>
              <w:rPr>
                <w:rFonts w:hint="eastAsia" w:ascii="汉仪中黑简" w:eastAsia="汉仪中黑简"/>
                <w:bCs/>
                <w:color w:val="0000FF"/>
                <w:kern w:val="0"/>
                <w:sz w:val="20"/>
              </w:rPr>
              <w:t>用地</w:t>
            </w:r>
            <w:r>
              <w:rPr>
                <w:rFonts w:hint="eastAsia" w:ascii="汉仪中黑简" w:eastAsia="汉仪中黑简"/>
                <w:bCs/>
                <w:kern w:val="0"/>
                <w:sz w:val="20"/>
              </w:rPr>
              <w:t>规划许可</w:t>
            </w:r>
          </w:p>
        </w:tc>
        <w:tc>
          <w:tcPr>
            <w:tcW w:w="4506" w:type="pct"/>
            <w:shd w:val="clear" w:color="auto" w:fill="auto"/>
            <w:vAlign w:val="center"/>
          </w:tcPr>
          <w:p w14:paraId="54BA266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划拨地：</w:t>
            </w:r>
          </w:p>
          <w:p w14:paraId="4BFF18F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①选址意见书：以划拨方式提供国有土地使用权的，建设单位在报送有关部门批准或者核准前，应当向城乡规划主管部门申请核发选址意见书。其他的建设项目不需要申请选址意见书</w:t>
            </w:r>
          </w:p>
          <w:p w14:paraId="0AAEB94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②建设用地规划许可：在城市、镇规划区内以划拨方式提供国有土地使用权的建设项目，经有关部门批准、核准、备案后，建设单位应当向城乡规划主管部门提出建设用地规划许可申请核发建设用地规划许可证</w:t>
            </w:r>
          </w:p>
          <w:p w14:paraId="5580CD8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③划拨土地：建设单位在取得建设用地规划许可证后，方可向县级以上地方人民政府土地主管部门申请用地，经县级以上人民政府审批后，由土地主管部门划拨土地</w:t>
            </w:r>
          </w:p>
        </w:tc>
      </w:tr>
      <w:tr w14:paraId="0237F9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7D093106">
            <w:pPr>
              <w:spacing w:before="31" w:beforeLines="10" w:after="62" w:afterLines="2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17BE571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出让地：</w:t>
            </w:r>
          </w:p>
          <w:p w14:paraId="697BC74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①出让前规划部门确定规划条件。未确定规划条件的地块，不得出让国有土地使用权。规划条件未纳入国有土地使用权出让合同的，该国有土地使用权出让合同无效</w:t>
            </w:r>
          </w:p>
          <w:p w14:paraId="64AAA99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②签订国有土地使用权出让合同后，向规划部门领取建设用地规划许可证</w:t>
            </w:r>
          </w:p>
        </w:tc>
      </w:tr>
      <w:tr w14:paraId="66CF115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restart"/>
            <w:shd w:val="clear" w:color="auto" w:fill="auto"/>
            <w:vAlign w:val="center"/>
          </w:tcPr>
          <w:p w14:paraId="38608F25">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建设</w:t>
            </w:r>
            <w:r>
              <w:rPr>
                <w:rFonts w:hint="eastAsia" w:ascii="汉仪中黑简" w:eastAsia="汉仪中黑简"/>
                <w:bCs/>
                <w:color w:val="0000FF"/>
                <w:kern w:val="0"/>
                <w:sz w:val="20"/>
              </w:rPr>
              <w:t>工程</w:t>
            </w:r>
            <w:r>
              <w:rPr>
                <w:rFonts w:hint="eastAsia" w:ascii="汉仪中黑简" w:eastAsia="汉仪中黑简"/>
                <w:bCs/>
                <w:kern w:val="0"/>
                <w:sz w:val="20"/>
              </w:rPr>
              <w:t>规划许可</w:t>
            </w:r>
          </w:p>
        </w:tc>
        <w:tc>
          <w:tcPr>
            <w:tcW w:w="4506" w:type="pct"/>
            <w:shd w:val="clear" w:color="auto" w:fill="auto"/>
            <w:vAlign w:val="center"/>
          </w:tcPr>
          <w:p w14:paraId="6B6041F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在城市、镇规划区内进行工程建设的，建设单位或者个人应当向城市、县规划部门或者省级政府确定的镇政府申请办理建设工程规划许可证</w:t>
            </w:r>
          </w:p>
        </w:tc>
      </w:tr>
      <w:tr w14:paraId="26113DA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30DA3A5C">
            <w:pPr>
              <w:spacing w:before="31" w:beforeLines="10" w:after="62" w:afterLines="20" w:line="280" w:lineRule="exact"/>
              <w:ind w:firstLine="0" w:firstLineChars="0"/>
              <w:jc w:val="center"/>
              <w:rPr>
                <w:rFonts w:hint="eastAsia" w:ascii="汉仪中黑简" w:eastAsia="汉仪中黑简"/>
                <w:bCs/>
                <w:kern w:val="0"/>
                <w:sz w:val="20"/>
              </w:rPr>
            </w:pPr>
          </w:p>
        </w:tc>
        <w:tc>
          <w:tcPr>
            <w:tcW w:w="4506" w:type="pct"/>
            <w:shd w:val="clear" w:color="auto" w:fill="auto"/>
            <w:vAlign w:val="center"/>
          </w:tcPr>
          <w:p w14:paraId="3EFDB4E3">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违法行为，由城乡规划主管部门责令停止建设；尚可采取改正措施消除对规划实施的影响的，限期改正，处罚款；无法采取改正措施消除影响的，限期拆除，不能拆除的，没收实物或者违法收入，可以并处罚款</w:t>
            </w:r>
          </w:p>
        </w:tc>
      </w:tr>
      <w:tr w14:paraId="121F0AA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restart"/>
            <w:shd w:val="clear" w:color="auto" w:fill="auto"/>
            <w:vAlign w:val="center"/>
          </w:tcPr>
          <w:p w14:paraId="7E774406">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乡村建设规划许可</w:t>
            </w:r>
          </w:p>
        </w:tc>
        <w:tc>
          <w:tcPr>
            <w:tcW w:w="4506" w:type="pct"/>
            <w:shd w:val="clear" w:color="auto" w:fill="auto"/>
            <w:vAlign w:val="center"/>
          </w:tcPr>
          <w:p w14:paraId="40798CE5">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在乡、村庄规划区内进行乡镇企业、乡村公共设施和公益事业建设的，建设单位或者个人应当向乡、镇政府提出申请，由乡、镇政府报城市、县规划部门核发乡村建设规划许可证。乡村建设规划违法行为，也主要由乡、镇政府处理</w:t>
            </w:r>
          </w:p>
        </w:tc>
      </w:tr>
      <w:tr w14:paraId="382DA87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4BE7895F">
            <w:pPr>
              <w:spacing w:before="31" w:beforeLines="10" w:after="62" w:afterLines="20" w:line="280" w:lineRule="exact"/>
              <w:ind w:firstLine="0" w:firstLineChars="0"/>
              <w:rPr>
                <w:rFonts w:hint="eastAsia" w:ascii="汉仪书宋一简" w:eastAsia="汉仪书宋一简"/>
                <w:b/>
                <w:kern w:val="0"/>
                <w:sz w:val="20"/>
              </w:rPr>
            </w:pPr>
          </w:p>
        </w:tc>
        <w:tc>
          <w:tcPr>
            <w:tcW w:w="4506" w:type="pct"/>
            <w:shd w:val="clear" w:color="auto" w:fill="auto"/>
            <w:vAlign w:val="center"/>
          </w:tcPr>
          <w:p w14:paraId="0C8DD4E9">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确需占用农用地的，先行办理农用地转用手续，后由城市、县规划部门核发乡村建设规划许可证</w:t>
            </w:r>
          </w:p>
        </w:tc>
      </w:tr>
      <w:tr w14:paraId="419D3F7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vMerge w:val="continue"/>
            <w:shd w:val="clear" w:color="auto" w:fill="auto"/>
            <w:vAlign w:val="center"/>
          </w:tcPr>
          <w:p w14:paraId="4AA5A5F1">
            <w:pPr>
              <w:spacing w:before="31" w:beforeLines="10" w:after="62" w:afterLines="20" w:line="280" w:lineRule="exact"/>
              <w:ind w:firstLine="0" w:firstLineChars="0"/>
              <w:rPr>
                <w:rFonts w:hint="eastAsia" w:ascii="汉仪书宋一简" w:eastAsia="汉仪书宋一简"/>
                <w:b/>
                <w:kern w:val="0"/>
                <w:sz w:val="20"/>
              </w:rPr>
            </w:pPr>
          </w:p>
        </w:tc>
        <w:tc>
          <w:tcPr>
            <w:tcW w:w="4506" w:type="pct"/>
            <w:shd w:val="clear" w:color="auto" w:fill="auto"/>
            <w:vAlign w:val="center"/>
          </w:tcPr>
          <w:p w14:paraId="4FDBE2EB">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建设单位或者个人在取得乡村建设规划许可证后，方可办理用地审批手续</w:t>
            </w:r>
          </w:p>
        </w:tc>
      </w:tr>
      <w:tr w14:paraId="07FFDA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shd w:val="clear" w:color="auto" w:fill="auto"/>
            <w:vAlign w:val="center"/>
          </w:tcPr>
          <w:p w14:paraId="4897A55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建设规划变更</w:t>
            </w:r>
          </w:p>
        </w:tc>
        <w:tc>
          <w:tcPr>
            <w:tcW w:w="4506" w:type="pct"/>
            <w:shd w:val="clear" w:color="auto" w:fill="auto"/>
            <w:vAlign w:val="center"/>
          </w:tcPr>
          <w:p w14:paraId="5723F6D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城乡规划主管部门不得在城乡规划确定的建设用地范围以外作出规划许可。</w:t>
            </w:r>
          </w:p>
          <w:p w14:paraId="7EBF28C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（1）建设单位应当按照规划条件进行建设；确需变更的，必须向城市、县乡规划部门提出申请</w:t>
            </w:r>
          </w:p>
          <w:p w14:paraId="313A772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（2）变更内容不符合控制性详细规划的，规划部门不得批准</w:t>
            </w:r>
          </w:p>
          <w:p w14:paraId="7CB006BF">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（3）城市、县规划部门应当及时将依法变更后的规划条件通报同级土地部门并公示。建设单位应当及时将依法变更后的规划条件报有关土地部门备案</w:t>
            </w:r>
          </w:p>
        </w:tc>
      </w:tr>
      <w:tr w14:paraId="6EC59E2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494" w:type="pct"/>
            <w:shd w:val="clear" w:color="auto" w:fill="auto"/>
            <w:vAlign w:val="center"/>
          </w:tcPr>
          <w:p w14:paraId="7D6A758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临时建设规划管理</w:t>
            </w:r>
          </w:p>
        </w:tc>
        <w:tc>
          <w:tcPr>
            <w:tcW w:w="4506" w:type="pct"/>
            <w:shd w:val="clear" w:color="auto" w:fill="auto"/>
            <w:vAlign w:val="center"/>
          </w:tcPr>
          <w:p w14:paraId="1EFDBF4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（1）在城市、镇规划区内进行临时建设的，应当经城市、县规划部门批准</w:t>
            </w:r>
          </w:p>
          <w:p w14:paraId="412286C4">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（2）临时建设影响近期建设规划或者控制性详细规划的实施以及交通、市容、安全等的，不得批准</w:t>
            </w:r>
          </w:p>
          <w:p w14:paraId="0AF7CC5B">
            <w:pPr>
              <w:spacing w:before="31" w:beforeLines="10" w:after="62" w:afterLines="20" w:line="280" w:lineRule="exact"/>
              <w:ind w:firstLine="0" w:firstLineChars="0"/>
              <w:rPr>
                <w:rFonts w:hint="eastAsia" w:ascii="汉仪书宋一简" w:eastAsia="汉仪书宋一简"/>
                <w:color w:val="0000FF"/>
                <w:kern w:val="0"/>
                <w:sz w:val="20"/>
              </w:rPr>
            </w:pPr>
            <w:r>
              <w:rPr>
                <w:rFonts w:hint="eastAsia" w:ascii="汉仪书宋一简" w:eastAsia="汉仪书宋一简"/>
                <w:kern w:val="0"/>
                <w:sz w:val="20"/>
              </w:rPr>
              <w:t>（3）</w:t>
            </w:r>
            <w:r>
              <w:rPr>
                <w:rFonts w:hint="eastAsia" w:ascii="汉仪书宋一简" w:eastAsia="汉仪书宋一简"/>
                <w:color w:val="0000FF"/>
                <w:kern w:val="0"/>
                <w:sz w:val="20"/>
              </w:rPr>
              <w:t>临时建设应当在批准的使用期限内自行拆除</w:t>
            </w:r>
          </w:p>
          <w:p w14:paraId="782CEE79">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（4）临时建设规划违法，城乡规划主管部门责令限期拆除，可以并处罚款</w:t>
            </w:r>
          </w:p>
        </w:tc>
      </w:tr>
    </w:tbl>
    <w:p w14:paraId="435A1453">
      <w:pPr>
        <w:pStyle w:val="2"/>
        <w:spacing w:before="0" w:line="480" w:lineRule="exact"/>
        <w:rPr>
          <w:rFonts w:hint="eastAsia"/>
        </w:rPr>
      </w:pPr>
      <w:bookmarkStart w:id="0" w:name="_Toc1770329086"/>
      <w:bookmarkStart w:id="1" w:name="_Toc193726290"/>
      <w:r>
        <w:rPr>
          <w:rFonts w:hint="eastAsia"/>
          <w:color w:val="FF0000"/>
        </w:rPr>
        <w:t xml:space="preserve"> </w:t>
      </w:r>
      <w:r>
        <w:rPr>
          <w:rFonts w:hint="eastAsia"/>
          <w:color w:val="FF0000"/>
          <w:lang w:val="en-US" w:eastAsia="zh-CN"/>
        </w:rPr>
        <w:t xml:space="preserve">考点6  </w:t>
      </w:r>
      <w:r>
        <w:rPr>
          <w:rFonts w:hint="eastAsia"/>
        </w:rPr>
        <w:t>劳动法</w:t>
      </w:r>
      <w:bookmarkEnd w:id="0"/>
      <w:bookmarkEnd w:id="1"/>
    </w:p>
    <w:p w14:paraId="65FB1CA7">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783E5BFF">
      <w:pPr>
        <w:ind w:firstLine="420"/>
        <w:rPr>
          <w:rFonts w:hint="eastAsia" w:ascii="汉仪书宋二简"/>
        </w:rPr>
      </w:pPr>
    </w:p>
    <w:p w14:paraId="0B5C47DE">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一、劳动合同的种类、订立、效力</w:t>
      </w:r>
    </w:p>
    <w:p w14:paraId="33BA580C">
      <w:pPr>
        <w:ind w:firstLine="420"/>
        <w:rPr>
          <w:rFonts w:hint="eastAsia" w:ascii="汉仪书宋二简"/>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2"/>
        <w:gridCol w:w="7403"/>
      </w:tblGrid>
      <w:tr w14:paraId="7F58DA3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restart"/>
            <w:shd w:val="clear" w:color="auto" w:fill="auto"/>
            <w:vAlign w:val="center"/>
          </w:tcPr>
          <w:p w14:paraId="6E3DB76F">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种类</w:t>
            </w:r>
          </w:p>
        </w:tc>
        <w:tc>
          <w:tcPr>
            <w:tcW w:w="4352" w:type="pct"/>
            <w:shd w:val="clear" w:color="auto" w:fill="auto"/>
            <w:vAlign w:val="center"/>
          </w:tcPr>
          <w:p w14:paraId="50B30879">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固定期限：期满时，若双方无续订的意思表示，劳动合同即终止；协商订立</w:t>
            </w:r>
          </w:p>
        </w:tc>
      </w:tr>
      <w:tr w14:paraId="6FE2B45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0EB7EB57">
            <w:pPr>
              <w:spacing w:before="62" w:beforeLines="20" w:after="93" w:afterLines="30" w:line="280" w:lineRule="exact"/>
              <w:ind w:firstLine="0" w:firstLineChars="0"/>
              <w:jc w:val="center"/>
              <w:rPr>
                <w:rFonts w:hint="eastAsia" w:ascii="汉仪中黑简" w:eastAsia="汉仪中黑简"/>
                <w:bCs/>
                <w:kern w:val="0"/>
                <w:sz w:val="20"/>
              </w:rPr>
            </w:pPr>
          </w:p>
        </w:tc>
        <w:tc>
          <w:tcPr>
            <w:tcW w:w="4352" w:type="pct"/>
            <w:shd w:val="clear" w:color="auto" w:fill="auto"/>
            <w:vAlign w:val="center"/>
          </w:tcPr>
          <w:p w14:paraId="40CC1231">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以完成一定工作任务为期限：该项工作任务完成后，劳动合同即终止；协商订立</w:t>
            </w:r>
          </w:p>
        </w:tc>
      </w:tr>
      <w:tr w14:paraId="4077820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672E80CB">
            <w:pPr>
              <w:spacing w:before="62" w:beforeLines="20" w:after="93" w:afterLines="30" w:line="280" w:lineRule="exact"/>
              <w:ind w:firstLine="0" w:firstLineChars="0"/>
              <w:jc w:val="center"/>
              <w:rPr>
                <w:rFonts w:hint="eastAsia" w:ascii="汉仪中黑简" w:eastAsia="汉仪中黑简"/>
                <w:bCs/>
                <w:kern w:val="0"/>
                <w:sz w:val="20"/>
              </w:rPr>
            </w:pPr>
          </w:p>
        </w:tc>
        <w:tc>
          <w:tcPr>
            <w:tcW w:w="4352" w:type="pct"/>
            <w:shd w:val="clear" w:color="auto" w:fill="auto"/>
            <w:vAlign w:val="center"/>
          </w:tcPr>
          <w:p w14:paraId="7E0FD551">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无固定期限：若未出现法定或约定的解除、终止情形，劳动合同持续至劳动者达法定退休年龄，不会因为期满而终止</w:t>
            </w:r>
          </w:p>
        </w:tc>
      </w:tr>
      <w:tr w14:paraId="6164A3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restart"/>
            <w:shd w:val="clear" w:color="auto" w:fill="auto"/>
            <w:vAlign w:val="center"/>
          </w:tcPr>
          <w:p w14:paraId="43C34AB0">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书面形式</w:t>
            </w:r>
          </w:p>
        </w:tc>
        <w:tc>
          <w:tcPr>
            <w:tcW w:w="4352" w:type="pct"/>
            <w:shd w:val="clear" w:color="auto" w:fill="auto"/>
            <w:vAlign w:val="center"/>
          </w:tcPr>
          <w:p w14:paraId="3615121D">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建立劳动关系，应当同时或者自用工之日起1个月内订立书面劳动合同</w:t>
            </w:r>
          </w:p>
          <w:p w14:paraId="427DBF6B">
            <w:pPr>
              <w:spacing w:before="62" w:beforeLines="20" w:after="93" w:afterLines="3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0000FF"/>
                <w:kern w:val="0"/>
                <w:sz w:val="20"/>
                <w:lang w:val="en-US" w:eastAsia="zh-CN"/>
              </w:rPr>
              <w:t>用工之日就建立劳动关系</w:t>
            </w:r>
          </w:p>
        </w:tc>
      </w:tr>
      <w:tr w14:paraId="731086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6CE6EB39">
            <w:pPr>
              <w:spacing w:before="62" w:beforeLines="20" w:after="93" w:afterLines="30" w:line="280" w:lineRule="exact"/>
              <w:ind w:firstLine="0" w:firstLineChars="0"/>
              <w:rPr>
                <w:rFonts w:hint="eastAsia" w:ascii="汉仪书宋一简" w:eastAsia="汉仪书宋一简"/>
                <w:b/>
                <w:kern w:val="0"/>
                <w:sz w:val="20"/>
              </w:rPr>
            </w:pPr>
          </w:p>
        </w:tc>
        <w:tc>
          <w:tcPr>
            <w:tcW w:w="4352" w:type="pct"/>
            <w:shd w:val="clear" w:color="auto" w:fill="auto"/>
            <w:vAlign w:val="center"/>
          </w:tcPr>
          <w:p w14:paraId="71DAD454">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劳动者不愿订立书面合同：自用工之日起1个月内，经用人单位书面通知后，劳动者不订立书面劳动合同的，</w:t>
            </w:r>
            <w:r>
              <w:rPr>
                <w:rFonts w:hint="eastAsia" w:ascii="汉仪书宋一简" w:eastAsia="汉仪书宋一简"/>
                <w:color w:val="0000FF"/>
                <w:kern w:val="0"/>
                <w:sz w:val="20"/>
              </w:rPr>
              <w:t>用人单位应当书面通知劳动者终止劳动关系，无需向劳动者支付经济补偿，</w:t>
            </w:r>
            <w:r>
              <w:rPr>
                <w:rFonts w:hint="eastAsia" w:ascii="汉仪书宋一简" w:eastAsia="汉仪书宋一简"/>
                <w:kern w:val="0"/>
                <w:sz w:val="20"/>
              </w:rPr>
              <w:t>但是应当依法向劳动者支付其实际工作时间的劳动报酬；超过1个月，劳动者不与用人单位订立书面劳动合同的，用人单位应当书面通知劳动者终止劳动关系，</w:t>
            </w:r>
            <w:r>
              <w:rPr>
                <w:rFonts w:hint="eastAsia" w:ascii="汉仪书宋一简" w:eastAsia="汉仪书宋一简"/>
                <w:color w:val="0000FF"/>
                <w:kern w:val="0"/>
                <w:sz w:val="20"/>
              </w:rPr>
              <w:t>并依法支付经济补偿</w:t>
            </w:r>
          </w:p>
        </w:tc>
      </w:tr>
    </w:tbl>
    <w:p w14:paraId="5041DC03">
      <w:pPr>
        <w:ind w:firstLine="420"/>
        <w:rPr>
          <w:rFonts w:hint="eastAsia"/>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2"/>
        <w:gridCol w:w="7403"/>
      </w:tblGrid>
      <w:tr w14:paraId="2E6D549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restart"/>
            <w:shd w:val="clear" w:color="auto" w:fill="auto"/>
            <w:vAlign w:val="center"/>
          </w:tcPr>
          <w:p w14:paraId="5C09F940">
            <w:pPr>
              <w:spacing w:before="62" w:beforeLines="20" w:after="93" w:afterLines="30" w:line="280" w:lineRule="exact"/>
              <w:ind w:firstLine="0" w:firstLineChars="0"/>
              <w:jc w:val="center"/>
              <w:rPr>
                <w:rFonts w:hint="eastAsia" w:ascii="汉仪书宋一简" w:eastAsia="汉仪书宋一简"/>
                <w:b/>
                <w:kern w:val="0"/>
                <w:sz w:val="20"/>
              </w:rPr>
            </w:pPr>
            <w:r>
              <w:rPr>
                <w:rFonts w:hint="eastAsia" w:ascii="汉仪中黑简" w:eastAsia="汉仪中黑简"/>
                <w:bCs/>
                <w:kern w:val="0"/>
                <w:sz w:val="20"/>
              </w:rPr>
              <w:t>书面形式</w:t>
            </w:r>
          </w:p>
        </w:tc>
        <w:tc>
          <w:tcPr>
            <w:tcW w:w="4352" w:type="pct"/>
            <w:shd w:val="clear" w:color="auto" w:fill="auto"/>
            <w:vAlign w:val="center"/>
          </w:tcPr>
          <w:p w14:paraId="05ABE498">
            <w:pPr>
              <w:spacing w:before="62" w:beforeLines="20" w:after="93" w:afterLines="30" w:line="280" w:lineRule="exact"/>
              <w:ind w:firstLine="0" w:firstLineChars="0"/>
              <w:rPr>
                <w:rFonts w:hint="eastAsia" w:ascii="汉仪书宋一简" w:hAnsi="楷体" w:eastAsia="汉仪中黑简" w:cs="楷体"/>
                <w:color w:val="FF0000"/>
                <w:kern w:val="0"/>
                <w:sz w:val="20"/>
              </w:rPr>
            </w:pPr>
            <w:r>
              <w:rPr>
                <w:rFonts w:hint="eastAsia" w:ascii="汉仪书宋一简" w:eastAsia="汉仪书宋一简"/>
                <w:kern w:val="0"/>
                <w:sz w:val="20"/>
              </w:rPr>
              <w:t>用人单位不愿订立书面合同：用人单位自用工之日起超过1个月不满1年未与劳动者订立书面劳动合同的，应当自满1个月的次日起至订立书面劳动合同前1日向劳动者</w:t>
            </w:r>
            <w:r>
              <w:rPr>
                <w:rFonts w:hint="eastAsia" w:ascii="汉仪书宋一简" w:hAnsi="楷体" w:eastAsia="汉仪中黑简" w:cs="楷体"/>
                <w:color w:val="FF0000"/>
                <w:kern w:val="0"/>
                <w:sz w:val="20"/>
              </w:rPr>
              <w:t>每月支</w:t>
            </w:r>
            <w:r>
              <w:rPr>
                <w:rFonts w:hint="eastAsia" w:ascii="汉仪中黑简" w:hAnsi="楷体" w:eastAsia="汉仪中黑简" w:cs="楷体"/>
                <w:color w:val="FF0000"/>
                <w:kern w:val="0"/>
                <w:sz w:val="20"/>
              </w:rPr>
              <w:t>付2倍</w:t>
            </w:r>
            <w:r>
              <w:rPr>
                <w:rFonts w:hint="eastAsia" w:ascii="汉仪书宋一简" w:hAnsi="楷体" w:eastAsia="汉仪中黑简" w:cs="楷体"/>
                <w:color w:val="FF0000"/>
                <w:kern w:val="0"/>
                <w:sz w:val="20"/>
              </w:rPr>
              <w:t>的工资</w:t>
            </w:r>
            <w:r>
              <w:rPr>
                <w:rFonts w:hint="eastAsia" w:ascii="汉仪书宋一简" w:eastAsia="汉仪书宋一简"/>
                <w:kern w:val="0"/>
                <w:sz w:val="20"/>
              </w:rPr>
              <w:t>，并补订书面劳动合同；自用工之日起满1年不与劳动者订立书面劳动合同的，</w:t>
            </w:r>
            <w:r>
              <w:rPr>
                <w:rFonts w:hint="eastAsia" w:ascii="汉仪书宋一简" w:hAnsi="楷体" w:eastAsia="汉仪中黑简" w:cs="楷体"/>
                <w:color w:val="FF0000"/>
                <w:kern w:val="0"/>
                <w:sz w:val="20"/>
              </w:rPr>
              <w:t>视为已订立无固定期限劳动合同</w:t>
            </w:r>
          </w:p>
          <w:p w14:paraId="54190C86">
            <w:pPr>
              <w:spacing w:before="62" w:beforeLines="20" w:after="93" w:afterLines="30" w:line="280" w:lineRule="exact"/>
              <w:ind w:firstLine="0" w:firstLineChars="0"/>
              <w:rPr>
                <w:rFonts w:hint="default" w:ascii="汉仪书宋一简" w:hAnsi="楷体" w:eastAsia="汉仪中黑简" w:cs="楷体"/>
                <w:color w:val="FF0000"/>
                <w:kern w:val="0"/>
                <w:sz w:val="20"/>
                <w:lang w:val="en-US" w:eastAsia="zh-CN"/>
              </w:rPr>
            </w:pPr>
            <w:r>
              <w:rPr>
                <w:rFonts w:hint="eastAsia" w:ascii="汉仪书宋一简" w:hAnsi="楷体" w:eastAsia="汉仪中黑简" w:cs="楷体"/>
                <w:color w:val="0000FF"/>
                <w:kern w:val="0"/>
                <w:sz w:val="20"/>
                <w:lang w:val="en-US" w:eastAsia="zh-CN"/>
              </w:rPr>
              <w:t>劳动者个人原因不签不能要双倍工资</w:t>
            </w:r>
          </w:p>
        </w:tc>
      </w:tr>
      <w:tr w14:paraId="5D0D95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3353EA1F">
            <w:pPr>
              <w:spacing w:before="62" w:beforeLines="20" w:after="93" w:afterLines="30" w:line="280" w:lineRule="exact"/>
              <w:ind w:firstLine="0" w:firstLineChars="0"/>
              <w:rPr>
                <w:rFonts w:hint="eastAsia" w:ascii="汉仪书宋一简" w:eastAsia="汉仪书宋一简"/>
                <w:b/>
                <w:kern w:val="0"/>
                <w:sz w:val="20"/>
              </w:rPr>
            </w:pPr>
          </w:p>
        </w:tc>
        <w:tc>
          <w:tcPr>
            <w:tcW w:w="4352" w:type="pct"/>
            <w:shd w:val="clear" w:color="auto" w:fill="auto"/>
            <w:vAlign w:val="center"/>
          </w:tcPr>
          <w:p w14:paraId="35496DFF">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劳动关系自用工之日起建立</w:t>
            </w:r>
          </w:p>
        </w:tc>
      </w:tr>
      <w:tr w14:paraId="3A51A3E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restart"/>
            <w:shd w:val="clear" w:color="auto" w:fill="auto"/>
            <w:vAlign w:val="center"/>
          </w:tcPr>
          <w:p w14:paraId="6D1DA22B">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规章制度</w:t>
            </w:r>
          </w:p>
        </w:tc>
        <w:tc>
          <w:tcPr>
            <w:tcW w:w="4352" w:type="pct"/>
            <w:shd w:val="clear" w:color="auto" w:fill="auto"/>
            <w:vAlign w:val="center"/>
          </w:tcPr>
          <w:p w14:paraId="24E32D68">
            <w:pPr>
              <w:spacing w:before="62" w:beforeLines="20" w:after="93" w:afterLines="3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用人单位的内部规章制度与集体合同或劳动合同不一致的</w:t>
            </w:r>
            <w:r>
              <w:rPr>
                <w:rFonts w:hint="eastAsia" w:ascii="汉仪书宋一简" w:eastAsia="汉仪书宋一简"/>
                <w:color w:val="0000FF"/>
                <w:kern w:val="0"/>
                <w:sz w:val="20"/>
              </w:rPr>
              <w:t>，劳动者有权要求优先适用合同约定</w:t>
            </w:r>
          </w:p>
        </w:tc>
      </w:tr>
      <w:tr w14:paraId="5D7DDB5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6909CCCD">
            <w:pPr>
              <w:spacing w:before="62" w:beforeLines="20" w:after="93" w:afterLines="30" w:line="280" w:lineRule="exact"/>
              <w:ind w:firstLine="0" w:firstLineChars="0"/>
              <w:jc w:val="center"/>
              <w:rPr>
                <w:rFonts w:hint="eastAsia" w:ascii="汉仪中黑简" w:eastAsia="汉仪中黑简"/>
                <w:bCs/>
                <w:kern w:val="0"/>
                <w:sz w:val="20"/>
              </w:rPr>
            </w:pPr>
          </w:p>
        </w:tc>
        <w:tc>
          <w:tcPr>
            <w:tcW w:w="4352" w:type="pct"/>
            <w:shd w:val="clear" w:color="auto" w:fill="auto"/>
            <w:vAlign w:val="center"/>
          </w:tcPr>
          <w:p w14:paraId="3802C64A">
            <w:pPr>
              <w:spacing w:before="62" w:beforeLines="20" w:after="93" w:afterLines="3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重大规章制度，应当经职工代表大会或者全体职工讨论，提出方案和意见，与工会或者职工代表平等协商确定。还需要公示，或者告知劳动者</w:t>
            </w:r>
          </w:p>
        </w:tc>
      </w:tr>
      <w:tr w14:paraId="29B4041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4054D6B3">
            <w:pPr>
              <w:spacing w:before="62" w:beforeLines="20" w:after="93" w:afterLines="30" w:line="280" w:lineRule="exact"/>
              <w:ind w:firstLine="0" w:firstLineChars="0"/>
              <w:jc w:val="center"/>
              <w:rPr>
                <w:rFonts w:hint="eastAsia" w:ascii="汉仪中黑简" w:eastAsia="汉仪中黑简"/>
                <w:bCs/>
                <w:kern w:val="0"/>
                <w:sz w:val="20"/>
              </w:rPr>
            </w:pPr>
          </w:p>
        </w:tc>
        <w:tc>
          <w:tcPr>
            <w:tcW w:w="4352" w:type="pct"/>
            <w:shd w:val="clear" w:color="auto" w:fill="auto"/>
            <w:vAlign w:val="center"/>
          </w:tcPr>
          <w:p w14:paraId="11BD640D">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用人单位直接涉及劳动者切身利益的规章制度违反法律、法规规定的，由劳动行政部门责令改正，给予警告；给劳动者造成损害的，应当承担赔偿责任</w:t>
            </w:r>
          </w:p>
        </w:tc>
      </w:tr>
      <w:tr w14:paraId="118B517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restart"/>
            <w:shd w:val="clear" w:color="auto" w:fill="auto"/>
            <w:vAlign w:val="center"/>
          </w:tcPr>
          <w:p w14:paraId="7A0DB720">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效力</w:t>
            </w:r>
          </w:p>
        </w:tc>
        <w:tc>
          <w:tcPr>
            <w:tcW w:w="4352" w:type="pct"/>
            <w:shd w:val="clear" w:color="auto" w:fill="auto"/>
            <w:vAlign w:val="center"/>
          </w:tcPr>
          <w:p w14:paraId="7B373F7B">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生效：劳动合同由用人单位与劳动者协商一致，并经双方在劳动合同文本上签字或者盖章生效</w:t>
            </w:r>
          </w:p>
        </w:tc>
      </w:tr>
      <w:tr w14:paraId="0274B5B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28C003FD">
            <w:pPr>
              <w:spacing w:before="62" w:beforeLines="20" w:after="93" w:afterLines="30" w:line="280" w:lineRule="exact"/>
              <w:ind w:firstLine="0" w:firstLineChars="0"/>
              <w:rPr>
                <w:rFonts w:hint="eastAsia" w:ascii="汉仪书宋一简" w:eastAsia="汉仪书宋一简"/>
                <w:b/>
                <w:kern w:val="0"/>
                <w:sz w:val="20"/>
              </w:rPr>
            </w:pPr>
          </w:p>
        </w:tc>
        <w:tc>
          <w:tcPr>
            <w:tcW w:w="4352" w:type="pct"/>
            <w:shd w:val="clear" w:color="auto" w:fill="auto"/>
            <w:vAlign w:val="center"/>
          </w:tcPr>
          <w:p w14:paraId="6965D3A1">
            <w:pPr>
              <w:spacing w:before="62" w:beforeLines="20" w:after="93" w:afterLines="3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无效：以欺诈、胁迫的手段或者乘人之危，使对方在违背真实意思的情况下订立或者变更劳动合同的；用人单位免除自己的法定责任、排除劳动者权利的；违反法律、行政法规强制性规定的</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劳动者假学历等也属于欺诈</w:t>
            </w:r>
            <w:r>
              <w:rPr>
                <w:rFonts w:hint="eastAsia" w:ascii="汉仪书宋一简" w:eastAsia="汉仪书宋一简"/>
                <w:color w:val="0000FF"/>
                <w:kern w:val="0"/>
                <w:sz w:val="20"/>
                <w:lang w:eastAsia="zh-CN"/>
              </w:rPr>
              <w:t>）</w:t>
            </w:r>
          </w:p>
        </w:tc>
      </w:tr>
      <w:tr w14:paraId="69CF506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8" w:type="pct"/>
            <w:vMerge w:val="continue"/>
            <w:shd w:val="clear" w:color="auto" w:fill="auto"/>
            <w:vAlign w:val="center"/>
          </w:tcPr>
          <w:p w14:paraId="526BC203">
            <w:pPr>
              <w:spacing w:before="62" w:beforeLines="20" w:after="93" w:afterLines="30" w:line="280" w:lineRule="exact"/>
              <w:ind w:firstLine="0" w:firstLineChars="0"/>
              <w:rPr>
                <w:rFonts w:hint="eastAsia" w:ascii="汉仪书宋一简" w:eastAsia="汉仪书宋一简"/>
                <w:b/>
                <w:kern w:val="0"/>
                <w:sz w:val="20"/>
              </w:rPr>
            </w:pPr>
          </w:p>
        </w:tc>
        <w:tc>
          <w:tcPr>
            <w:tcW w:w="4352" w:type="pct"/>
            <w:shd w:val="clear" w:color="auto" w:fill="auto"/>
            <w:vAlign w:val="center"/>
          </w:tcPr>
          <w:p w14:paraId="0AFEBE18">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无效后果：（1）停止履行；（2）支付劳动报酬。劳动合同被确认无效，劳动者已付出劳动的，用人单位应当向劳动者支付劳动报酬。劳</w:t>
            </w:r>
            <w:r>
              <w:rPr>
                <w:rFonts w:hint="eastAsia" w:ascii="汉仪书宋一简" w:eastAsia="汉仪书宋一简"/>
                <w:color w:val="0000FF"/>
                <w:kern w:val="0"/>
                <w:sz w:val="20"/>
              </w:rPr>
              <w:t>动报酬的数额，参照本单位相同或者相近岗位劳动者的劳动报酬确定</w:t>
            </w:r>
            <w:r>
              <w:rPr>
                <w:rFonts w:hint="eastAsia" w:ascii="汉仪书宋一简" w:eastAsia="汉仪书宋一简"/>
                <w:kern w:val="0"/>
                <w:sz w:val="20"/>
              </w:rPr>
              <w:t>；（3）部分无效的，不影响其他部分的效力；（4）赔偿损失。劳动合同依法被确认无效，给对方造成损害的，有过错的一方应当承担赔偿责任；（5）对劳动合同的无效或者部分无效有争议的，由劳动争议仲裁机构或法院确认</w:t>
            </w:r>
          </w:p>
        </w:tc>
      </w:tr>
    </w:tbl>
    <w:p w14:paraId="06C71BDD">
      <w:pPr>
        <w:ind w:firstLine="420"/>
        <w:rPr>
          <w:rFonts w:hint="eastAsia" w:ascii="汉仪书宋二简"/>
          <w:b/>
        </w:rPr>
      </w:pPr>
      <w:r>
        <w:rPr>
          <w:rFonts w:hint="eastAsia" w:ascii="楷体" w:hAnsi="楷体" w:eastAsia="楷体" w:cs="仿宋"/>
          <w:kern w:val="0"/>
        </w:rPr>
        <mc:AlternateContent>
          <mc:Choice Requires="wpg">
            <w:drawing>
              <wp:anchor distT="0" distB="0" distL="114300" distR="114300" simplePos="0" relativeHeight="251659264" behindDoc="1" locked="0" layoutInCell="1" allowOverlap="1">
                <wp:simplePos x="0" y="0"/>
                <wp:positionH relativeFrom="margin">
                  <wp:posOffset>91440</wp:posOffset>
                </wp:positionH>
                <wp:positionV relativeFrom="paragraph">
                  <wp:posOffset>190500</wp:posOffset>
                </wp:positionV>
                <wp:extent cx="5360670" cy="362585"/>
                <wp:effectExtent l="0" t="0" r="11430" b="0"/>
                <wp:wrapNone/>
                <wp:docPr id="690196669" name="组合 6"/>
                <wp:cNvGraphicFramePr/>
                <a:graphic xmlns:a="http://schemas.openxmlformats.org/drawingml/2006/main">
                  <a:graphicData uri="http://schemas.microsoft.com/office/word/2010/wordprocessingGroup">
                    <wpg:wgp>
                      <wpg:cNvGrpSpPr/>
                      <wpg:grpSpPr>
                        <a:xfrm>
                          <a:off x="0" y="0"/>
                          <a:ext cx="5360670" cy="362585"/>
                          <a:chOff x="0" y="0"/>
                          <a:chExt cx="5361050" cy="362971"/>
                        </a:xfrm>
                      </wpg:grpSpPr>
                      <wpg:grpSp>
                        <wpg:cNvPr id="831549312" name="组合 5"/>
                        <wpg:cNvGrpSpPr/>
                        <wpg:grpSpPr>
                          <a:xfrm>
                            <a:off x="38100" y="126073"/>
                            <a:ext cx="5322950" cy="180134"/>
                            <a:chOff x="2321" y="16113"/>
                            <a:chExt cx="5322950" cy="180134"/>
                          </a:xfrm>
                        </wpg:grpSpPr>
                        <wps:wsp>
                          <wps:cNvPr id="361884797"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89073859" name="组合 4"/>
                          <wpg:cNvGrpSpPr/>
                          <wpg:grpSpPr>
                            <a:xfrm>
                              <a:off x="635903" y="30170"/>
                              <a:ext cx="144000" cy="144000"/>
                              <a:chOff x="-62661" y="0"/>
                              <a:chExt cx="144000" cy="144000"/>
                            </a:xfrm>
                          </wpg:grpSpPr>
                          <wps:wsp>
                            <wps:cNvPr id="178085987"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78479039"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159231085"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447277576" name="矩形 1"/>
                        <wps:cNvSpPr/>
                        <wps:spPr>
                          <a:xfrm>
                            <a:off x="0" y="0"/>
                            <a:ext cx="735496" cy="362971"/>
                          </a:xfrm>
                          <a:prstGeom prst="rect">
                            <a:avLst/>
                          </a:prstGeom>
                          <a:noFill/>
                          <a:ln w="12700" cap="flat" cmpd="sng" algn="ctr">
                            <a:noFill/>
                            <a:prstDash val="solid"/>
                            <a:miter lim="800000"/>
                          </a:ln>
                          <a:effectLst/>
                        </wps:spPr>
                        <wps:txbx>
                          <w:txbxContent>
                            <w:p w14:paraId="524F8D0E">
                              <w:pPr>
                                <w:ind w:firstLine="0" w:firstLineChars="0"/>
                                <w:rPr>
                                  <w:rFonts w:hint="eastAsia" w:ascii="汉仪粗黑简" w:eastAsia="汉仪粗黑简"/>
                                  <w:color w:val="FFFFFF"/>
                                </w:rPr>
                              </w:pPr>
                              <w:r>
                                <w:rPr>
                                  <w:rFonts w:hint="eastAsia" w:ascii="汉仪粗黑简" w:eastAsia="汉仪粗黑简"/>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7.2pt;margin-top:15pt;height:28.55pt;width:422.1pt;mso-position-horizontal-relative:margin;z-index:-251657216;mso-width-relative:page;mso-height-relative:page;" coordsize="5361050,362971" o:gfxdata="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tMPGh2AAAAAgBAAAPAAAAAAAAAAEAIAAA&#10;ACIAAABkcnMvZG93bnJldi54bWxQSwECFAAUAAAACACHTuJA4cvjPCoFAABYFgAADgAAAAAAAAAB&#10;ACAAAAAnAQAAZHJzL2Uyb0RvYy54bWxQSwUGAAAAAAYABgBZAQAAwwgAAAAA&#10;">
                <o:lock v:ext="edit" aspectratio="f"/>
                <v:group id="组合 5" o:spid="_x0000_s1026" o:spt="203" style="position:absolute;left:38100;top:126073;height:180134;width:5322950;" coordorigin="2321,16113" coordsize="5322950,180134" o:gfxdata="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mU3bbEAAAA4gAAAA8AAAAAAAAAAQAgAAAAIgAAAGRycy9kb3du&#10;cmV2LnhtbFBLAQIUABQAAAAIAIdO4kAzLwWeOwAAADkAAAAVAAAAAAAAAAEAIAAAABMBAABkcnMv&#10;Z3JvdXBzaGFwZXhtbC54bWxQSwUGAAAAAAYABgBgAQAA0AMAAAAA&#10;">
                  <o:lock v:ext="edit" aspectratio="f"/>
                  <v:rect id="矩形 1" o:spid="_x0000_s1026" o:spt="1" style="position:absolute;left:2321;top:16247;height:180000;width:828000;v-text-anchor:middle;" fillcolor="#FF0000" filled="t" stroked="f" coordsize="21600,21600" o:gfxdata="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CYY&#10;CcEAAADiAAAADwAAAAAAAAABACAAAAAiAAAAZHJzL2Rvd25yZXYueG1sUEsBAhQAFAAAAAgAh07i&#10;QDMvBZ47AAAAOQAAABAAAAAAAAAAAQAgAAAAEAEAAGRycy9zaGFwZXhtbC54bWxQSwUGAAAAAAYA&#10;BgBbAQAAugMAAAAA&#10;">
                    <v:fill on="t" focussize="0,0"/>
                    <v:stroke on="f" weight="1pt" miterlimit="8" joinstyle="miter"/>
                    <v:imagedata o:title=""/>
                    <o:lock v:ext="edit" aspectratio="f"/>
                  </v:rect>
                  <v:group id="组合 4" o:spid="_x0000_s1026" o:spt="203" style="position:absolute;left:635903;top:30170;height:144000;width:144000;" coordorigin="-62661,0" coordsize="144000,144000" o:gfxdata="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Hzqc33EAAAA4gAAAA8AAAAAAAAAAQAgAAAAIgAAAGRycy9kb3du&#10;cmV2LnhtbFBLAQIUABQAAAAIAIdO4kAzLwWeOwAAADkAAAAVAAAAAAAAAAEAIAAAABMBAABkcnMv&#10;Z3JvdXBzaGFwZXhtbC54bWxQSwUGAAAAAAYABgBgAQAA0AMAAAAA&#10;">
                    <o:lock v:ext="edit" aspectratio="f"/>
                    <v:shape id="椭圆 2" o:spid="_x0000_s1026" o:spt="3" type="#_x0000_t3" style="position:absolute;left:-62661;top:0;height:144000;width:144000;v-text-anchor:middle;" fillcolor="#FFFFFF [3212]" filled="t" stroked="f" coordsize="21600,21600" o:gfxdata="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IxmvQAA&#10;AOI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shape id="等腰三角形 3" o:spid="_x0000_s1026" o:spt="5" type="#_x0000_t5" style="position:absolute;left:-19190;top:36509;height:71972;width:83488;rotation:5898240f;v-text-anchor:middle;" fillcolor="#FF0000" filled="t" stroked="f" coordsize="21600,21600" o:gfxdata="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bXpHsQAAADjAAAADwAAAAAAAAABACAAAAAiAAAAZHJzL2Rvd25yZXYueG1sUEsBAhQAFAAAAAgA&#10;h07iQDMvBZ47AAAAOQAAABAAAAAAAAAAAQAgAAAAEwEAAGRycy9zaGFwZXhtbC54bWxQSwUGAAAA&#10;AAYABgBbAQAAvQMAAAAA&#10;" adj="10800">
                      <v:fill on="t" focussize="0,0"/>
                      <v:stroke on="f" weight="1pt" miterlimit="8" joinstyle="miter"/>
                      <v:imagedata o:title=""/>
                      <o:lock v:ext="edit" aspectratio="f"/>
                    </v:shape>
                  </v:group>
                  <v:rect id="矩形 1" o:spid="_x0000_s1026" o:spt="1" style="position:absolute;left:829434;top:16113;height:180000;width:4495837;v-text-anchor:middle;" fillcolor="#FFF9E5 [342]" filled="t" stroked="f" coordsize="21600,21600" o:gfxdata="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sAQcsQAAADjAAAADwAAAAAAAAABACAAAAAiAAAAZHJzL2Rvd25yZXYueG1sUEsBAhQAFAAAAAgA&#10;h07iQDMvBZ47AAAAOQAAABAAAAAAAAAAAQAgAAAAEwEAAGRycy9zaGFwZXhtbC54bWxQSwUGAAAA&#10;AAYABgBbAQAAvQMAAAAA&#10;">
                    <v:fill type="gradient" on="t" color2="#BFBFBF [2412]" colors="0f #FFF9E5;48497f #FEE388;54395f #D9D9D9;65536f #BFBFBF" angle="270" focus="100%" focussize="0,0" rotate="t"/>
                    <v:stroke on="f" weight="1pt" miterlimit="8" joinstyle="miter"/>
                    <v:imagedata o:title=""/>
                    <o:lock v:ext="edit" aspectratio="f"/>
                  </v:rect>
                </v:group>
                <v:rect id="矩形 1" o:spid="_x0000_s1026" o:spt="1" style="position:absolute;left:0;top:0;height:362971;width:735496;v-text-anchor:middle;" filled="f" stroked="f" coordsize="21600,21600" o:gfxdata="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AUK5&#10;wAAAAOMAAAAPAAAAAAAAAAEAIAAAACIAAABkcnMvZG93bnJldi54bWxQSwECFAAUAAAACACHTuJA&#10;My8FnjsAAAA5AAAAEAAAAAAAAAABACAAAAAPAQAAZHJzL3NoYXBleG1sLnhtbFBLBQYAAAAABgAG&#10;AFsBAAC5AwAAAAA=&#10;">
                  <v:fill on="f" focussize="0,0"/>
                  <v:stroke on="f" weight="1pt" miterlimit="8" joinstyle="miter"/>
                  <v:imagedata o:title=""/>
                  <o:lock v:ext="edit" aspectratio="f"/>
                  <v:textbox>
                    <w:txbxContent>
                      <w:p w14:paraId="524F8D0E">
                        <w:pPr>
                          <w:ind w:firstLine="0" w:firstLineChars="0"/>
                          <w:rPr>
                            <w:rFonts w:hint="eastAsia" w:ascii="汉仪粗黑简" w:eastAsia="汉仪粗黑简"/>
                            <w:color w:val="FFFFFF"/>
                          </w:rPr>
                        </w:pPr>
                        <w:r>
                          <w:rPr>
                            <w:rFonts w:hint="eastAsia" w:ascii="汉仪粗黑简" w:eastAsia="汉仪粗黑简"/>
                            <w:color w:val="FFFFFF"/>
                          </w:rPr>
                          <w:t>难点展开</w:t>
                        </w:r>
                      </w:p>
                    </w:txbxContent>
                  </v:textbox>
                </v:rect>
              </v:group>
            </w:pict>
          </mc:Fallback>
        </mc:AlternateContent>
      </w:r>
    </w:p>
    <w:p w14:paraId="514C1CF0">
      <w:pPr>
        <w:spacing w:after="156" w:afterLines="50"/>
        <w:ind w:left="1575" w:leftChars="750" w:firstLine="0" w:firstLineChars="0"/>
        <w:jc w:val="left"/>
        <w:rPr>
          <w:rFonts w:hint="eastAsia" w:ascii="汉仪中黑简" w:hAnsi="汉仪书宋二简" w:eastAsia="汉仪中黑简" w:cs="汉仪书宋二简"/>
          <w:kern w:val="0"/>
        </w:rPr>
      </w:pPr>
      <w:r>
        <w:rPr>
          <w:rFonts w:hint="eastAsia" w:ascii="汉仪中黑简" w:hAnsi="汉仪书宋二简" w:eastAsia="汉仪中黑简" w:cs="汉仪书宋二简"/>
          <w:kern w:val="0"/>
        </w:rPr>
        <w:t>无固定期限合同的订立</w:t>
      </w:r>
    </w:p>
    <w:p w14:paraId="6FFF12C1">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1．用人单位与劳动者协商一致可以订立。</w:t>
      </w:r>
    </w:p>
    <w:p w14:paraId="277F61B6">
      <w:pPr>
        <w:ind w:left="420" w:leftChars="200" w:right="420" w:rightChars="200" w:firstLine="420"/>
        <w:rPr>
          <w:rFonts w:hint="eastAsia" w:ascii="汉仪书宋二简" w:hAnsi="汉仪书宋二简" w:cs="汉仪书宋二简"/>
          <w:color w:val="0000FF"/>
          <w:kern w:val="0"/>
        </w:rPr>
      </w:pPr>
      <w:r>
        <w:rPr>
          <w:rFonts w:hint="eastAsia" w:ascii="汉仪书宋二简" w:hAnsi="汉仪书宋二简" w:cs="汉仪书宋二简"/>
          <w:kern w:val="0"/>
        </w:rPr>
        <w:t>2．有下列情形之一，劳动者提出或者同意续订、订立劳动合同的，除劳动者提出订立固定期限劳动合同外，</w:t>
      </w:r>
      <w:r>
        <w:rPr>
          <w:rFonts w:hint="eastAsia" w:ascii="汉仪书宋二简" w:hAnsi="汉仪书宋二简" w:cs="汉仪书宋二简"/>
          <w:color w:val="0000FF"/>
          <w:kern w:val="0"/>
        </w:rPr>
        <w:t>应当订立无固定期限劳动合同：</w:t>
      </w:r>
    </w:p>
    <w:p w14:paraId="5CD456A9">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（1）劳动者在该用人单位连续工作满10年的；</w:t>
      </w:r>
    </w:p>
    <w:p w14:paraId="590D7F8A">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（2）用人单位初次实行劳动合同制度或者国有企业改制重新订立劳动合同时，劳动者在该用人单位连续工作满10年且距法定退休年龄不足10年的；</w:t>
      </w:r>
    </w:p>
    <w:p w14:paraId="75E2AB6B">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（3）连续订立2次固定期限劳动合同，且劳动者没有劳动合同法第39条规定的过错性辞退和第40条第1、2项规定的非过错性辞退情形，续订劳动合同的。</w:t>
      </w:r>
    </w:p>
    <w:p w14:paraId="13D7235B">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3．用人单位自用工之日起满1年不与劳动者订立书面劳动合同的，视为用人单位与劳动者已订立无固定期限劳动合同。</w:t>
      </w:r>
    </w:p>
    <w:p w14:paraId="68E85ED5">
      <w:pPr>
        <w:ind w:left="420" w:leftChars="200" w:right="420" w:rightChars="200" w:firstLine="420"/>
        <w:rPr>
          <w:rFonts w:hint="default" w:ascii="汉仪书宋二简" w:hAnsi="汉仪书宋二简" w:eastAsia="汉仪书宋二简" w:cs="汉仪书宋二简"/>
          <w:kern w:val="0"/>
          <w:lang w:val="en-US" w:eastAsia="zh-CN"/>
        </w:rPr>
      </w:pPr>
    </w:p>
    <w:p w14:paraId="6431FBAE">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二、劳动合同的内容</w:t>
      </w:r>
    </w:p>
    <w:p w14:paraId="7EE69FCF">
      <w:pPr>
        <w:ind w:firstLine="420"/>
        <w:rPr>
          <w:rFonts w:hint="eastAsia" w:ascii="汉仪书宋二简"/>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7381"/>
      </w:tblGrid>
      <w:tr w14:paraId="7BB98B7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restart"/>
            <w:shd w:val="clear" w:color="auto" w:fill="auto"/>
            <w:vAlign w:val="center"/>
          </w:tcPr>
          <w:p w14:paraId="6C911F32">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试用期</w:t>
            </w:r>
          </w:p>
        </w:tc>
        <w:tc>
          <w:tcPr>
            <w:tcW w:w="4339" w:type="pct"/>
            <w:shd w:val="clear" w:color="auto" w:fill="auto"/>
            <w:vAlign w:val="center"/>
          </w:tcPr>
          <w:p w14:paraId="1FA9A2FE">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期限限制：</w:t>
            </w:r>
          </w:p>
          <w:p w14:paraId="7C0BE3C8">
            <w:pPr>
              <w:spacing w:before="62" w:beforeLines="20" w:after="93" w:afterLines="3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（1）非全日制用工、以完成一定工作任务为期限的劳动合同、劳动合同期限不满3个月的，不得约定试用期</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约定无效</w:t>
            </w:r>
            <w:r>
              <w:rPr>
                <w:rFonts w:hint="eastAsia" w:ascii="汉仪书宋一简" w:eastAsia="汉仪书宋一简"/>
                <w:color w:val="0000FF"/>
                <w:kern w:val="0"/>
                <w:sz w:val="20"/>
                <w:lang w:eastAsia="zh-CN"/>
              </w:rPr>
              <w:t>）</w:t>
            </w:r>
          </w:p>
          <w:p w14:paraId="62442B27">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（2）1年&gt;劳动合同期限≥3个月，试用期不得超过1个月；3年&gt;劳动合同期限≥1年，试用期不得超过2个月；劳动合同期限≥3年，或无固定期限合同，试用期不得超过6个月</w:t>
            </w:r>
          </w:p>
          <w:p w14:paraId="1666AAF7">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（3）同一用人单位与同一劳动者只能约定一次试用期。试用期包含在劳动合同期限内。劳动合同仅约定试用期的，试用期不成立，该期限为劳动合同期限</w:t>
            </w:r>
          </w:p>
        </w:tc>
      </w:tr>
      <w:tr w14:paraId="2EEF32D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1829185F">
            <w:pPr>
              <w:spacing w:before="62" w:beforeLines="20" w:after="93" w:afterLines="3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7B98C5F5">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报酬保护：劳动者在试用期的工资不得低于本单位相同岗位最低档工资的80%或者不得低于劳动合同约定工资的80%，并不得低于用人单位所在地的最低工资标准</w:t>
            </w:r>
          </w:p>
        </w:tc>
      </w:tr>
      <w:tr w14:paraId="618996A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297EAFEF">
            <w:pPr>
              <w:spacing w:before="62" w:beforeLines="20" w:after="93" w:afterLines="3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7C303C63">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解雇权限制：在试用期内，除劳动者有劳动合同法第39条规定的过错性辞退和第40条第1、2项规定的非过错性辞退情形外，用人单位不得解除劳动合同</w:t>
            </w:r>
          </w:p>
        </w:tc>
      </w:tr>
      <w:tr w14:paraId="645E291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76647148">
            <w:pPr>
              <w:spacing w:before="62" w:beforeLines="20" w:after="93" w:afterLines="3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065ACC59">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法律责任：用人单位违反本法规定与劳动者约定试用期的，由劳动行政部门责令改正；</w:t>
            </w:r>
            <w:r>
              <w:rPr>
                <w:rFonts w:hint="eastAsia" w:ascii="汉仪书宋一简" w:eastAsia="汉仪书宋一简"/>
                <w:color w:val="0000FF"/>
                <w:kern w:val="0"/>
                <w:sz w:val="20"/>
              </w:rPr>
              <w:t>违法约定的试用期已经履行的，由用人单位以劳动者试用期满月工资为标准，按已经履行的超过法定试用期的期间向劳动者支付赔偿金</w:t>
            </w:r>
          </w:p>
        </w:tc>
      </w:tr>
      <w:tr w14:paraId="4848799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0B5BC22F">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违约金</w:t>
            </w:r>
          </w:p>
        </w:tc>
        <w:tc>
          <w:tcPr>
            <w:tcW w:w="4339" w:type="pct"/>
            <w:shd w:val="clear" w:color="auto" w:fill="auto"/>
            <w:vAlign w:val="center"/>
          </w:tcPr>
          <w:p w14:paraId="5A354297">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除劳动者违反</w:t>
            </w:r>
            <w:r>
              <w:rPr>
                <w:rFonts w:hint="eastAsia" w:ascii="汉仪书宋一简" w:hAnsi="楷体" w:eastAsia="汉仪中黑简" w:cs="楷体"/>
                <w:color w:val="FF0000"/>
                <w:kern w:val="0"/>
                <w:sz w:val="20"/>
              </w:rPr>
              <w:t>服务期约定和竞业限制条款</w:t>
            </w:r>
            <w:r>
              <w:rPr>
                <w:rFonts w:hint="eastAsia" w:ascii="汉仪书宋一简" w:eastAsia="汉仪书宋一简"/>
                <w:kern w:val="0"/>
                <w:sz w:val="20"/>
              </w:rPr>
              <w:t>外，劳动合同不得约定由劳动者承担违约金</w:t>
            </w:r>
          </w:p>
          <w:p w14:paraId="7788EACE">
            <w:pPr>
              <w:spacing w:before="62" w:beforeLines="20" w:after="93" w:afterLines="3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0000FF"/>
                <w:kern w:val="0"/>
                <w:sz w:val="20"/>
                <w:lang w:val="en-US" w:eastAsia="zh-CN"/>
              </w:rPr>
              <w:t>单位负违约金没有限制</w:t>
            </w:r>
          </w:p>
        </w:tc>
      </w:tr>
      <w:tr w14:paraId="37D8F0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restart"/>
            <w:shd w:val="clear" w:color="auto" w:fill="auto"/>
            <w:vAlign w:val="center"/>
          </w:tcPr>
          <w:p w14:paraId="1F6C79EF">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服务期</w:t>
            </w:r>
          </w:p>
        </w:tc>
        <w:tc>
          <w:tcPr>
            <w:tcW w:w="4339" w:type="pct"/>
            <w:shd w:val="clear" w:color="auto" w:fill="auto"/>
            <w:vAlign w:val="center"/>
          </w:tcPr>
          <w:p w14:paraId="62A96862">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与劳动合同期限的关系：劳动合同期长的，顺其自然</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剩余部分没有服务期了</w:t>
            </w:r>
            <w:r>
              <w:rPr>
                <w:rFonts w:hint="eastAsia" w:ascii="汉仪书宋一简" w:eastAsia="汉仪书宋一简"/>
                <w:kern w:val="0"/>
                <w:sz w:val="20"/>
                <w:lang w:eastAsia="zh-CN"/>
              </w:rPr>
              <w:t>）</w:t>
            </w:r>
            <w:r>
              <w:rPr>
                <w:rFonts w:hint="eastAsia" w:ascii="汉仪书宋一简" w:eastAsia="汉仪书宋一简"/>
                <w:kern w:val="0"/>
                <w:sz w:val="20"/>
              </w:rPr>
              <w:t>。劳动合同短的，除另有约定外，自动顺延至服务期满</w:t>
            </w:r>
          </w:p>
          <w:p w14:paraId="722074CC">
            <w:pPr>
              <w:spacing w:before="62" w:beforeLines="20" w:after="93" w:afterLines="3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0000FF"/>
                <w:kern w:val="0"/>
                <w:sz w:val="20"/>
                <w:lang w:val="en-US" w:eastAsia="zh-CN"/>
              </w:rPr>
              <w:t>服务期约束劳动者的</w:t>
            </w:r>
          </w:p>
        </w:tc>
      </w:tr>
      <w:tr w14:paraId="5275D7A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1885E101">
            <w:pPr>
              <w:spacing w:before="62" w:beforeLines="20" w:after="93" w:afterLines="3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6315B2B6">
            <w:pPr>
              <w:spacing w:before="62" w:beforeLines="20" w:after="93" w:afterLines="3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约定服务期的条件：用人单位为劳动者提供专项培训费用，对其进行专业技术培训的，可以与该劳动者订立协议，约定服务期</w:t>
            </w:r>
            <w:r>
              <w:rPr>
                <w:rFonts w:hint="eastAsia" w:ascii="汉仪书宋一简" w:eastAsia="汉仪书宋一简"/>
                <w:kern w:val="0"/>
                <w:sz w:val="20"/>
                <w:lang w:eastAsia="zh-CN"/>
              </w:rPr>
              <w:t>（</w:t>
            </w:r>
            <w:r>
              <w:rPr>
                <w:rFonts w:hint="eastAsia" w:ascii="汉仪书宋一简" w:eastAsia="汉仪书宋一简"/>
                <w:color w:val="0000FF"/>
                <w:kern w:val="0"/>
                <w:sz w:val="20"/>
                <w:lang w:val="en-US" w:eastAsia="zh-CN"/>
              </w:rPr>
              <w:t>不满足不能约定</w:t>
            </w:r>
            <w:r>
              <w:rPr>
                <w:rFonts w:hint="eastAsia" w:ascii="汉仪书宋一简" w:eastAsia="汉仪书宋一简"/>
                <w:kern w:val="0"/>
                <w:sz w:val="20"/>
                <w:lang w:eastAsia="zh-CN"/>
              </w:rPr>
              <w:t>）</w:t>
            </w:r>
          </w:p>
        </w:tc>
      </w:tr>
      <w:tr w14:paraId="44BDEA7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0DDF9603">
            <w:pPr>
              <w:spacing w:before="62" w:beforeLines="20" w:after="93" w:afterLines="3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558AB13A">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违反服务期的认定：由于劳动者的过错导致用人单位在服务期内提前解除劳动合同，或者劳动者无条件解除劳动合同的，属于劳动者违反服务期约定，应当按照约定向用人单位支付违约金</w:t>
            </w:r>
          </w:p>
        </w:tc>
      </w:tr>
      <w:tr w14:paraId="11892D7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44D9B73E">
            <w:pPr>
              <w:spacing w:before="62" w:beforeLines="20" w:after="93" w:afterLines="30" w:line="280" w:lineRule="exact"/>
              <w:ind w:firstLine="0" w:firstLineChars="0"/>
              <w:jc w:val="center"/>
              <w:rPr>
                <w:rFonts w:hint="eastAsia" w:ascii="汉仪中黑简" w:eastAsia="汉仪中黑简"/>
                <w:bCs/>
                <w:kern w:val="0"/>
                <w:sz w:val="20"/>
              </w:rPr>
            </w:pPr>
          </w:p>
        </w:tc>
        <w:tc>
          <w:tcPr>
            <w:tcW w:w="4339" w:type="pct"/>
            <w:shd w:val="clear" w:color="auto" w:fill="auto"/>
            <w:vAlign w:val="center"/>
          </w:tcPr>
          <w:p w14:paraId="6F57ACB2">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违约金的数额：约定的违约金数额不得超过用人单位提供的培训费用，用人单位要求劳动者支付的违约金数额不得超过服务期尚未履行部分所应分摊的培训费用</w:t>
            </w:r>
          </w:p>
        </w:tc>
      </w:tr>
      <w:tr w14:paraId="0FD34F8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restart"/>
            <w:shd w:val="clear" w:color="auto" w:fill="auto"/>
            <w:vAlign w:val="center"/>
          </w:tcPr>
          <w:p w14:paraId="781AC482">
            <w:pPr>
              <w:spacing w:before="62" w:beforeLines="20" w:after="93" w:afterLines="3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竞业限制</w:t>
            </w:r>
          </w:p>
        </w:tc>
        <w:tc>
          <w:tcPr>
            <w:tcW w:w="4339" w:type="pct"/>
            <w:shd w:val="clear" w:color="auto" w:fill="auto"/>
            <w:vAlign w:val="center"/>
          </w:tcPr>
          <w:p w14:paraId="35F1944E">
            <w:pPr>
              <w:spacing w:before="62" w:beforeLines="20" w:after="93" w:afterLines="30" w:line="280" w:lineRule="exact"/>
              <w:ind w:firstLine="0" w:firstLineChars="0"/>
              <w:rPr>
                <w:rFonts w:hint="eastAsia" w:ascii="汉仪书宋一简" w:eastAsia="汉仪书宋一简"/>
                <w:color w:val="0000FF"/>
                <w:kern w:val="0"/>
                <w:sz w:val="20"/>
              </w:rPr>
            </w:pPr>
            <w:r>
              <w:rPr>
                <w:rFonts w:hint="eastAsia" w:ascii="汉仪书宋一简" w:eastAsia="汉仪书宋一简"/>
                <w:kern w:val="0"/>
                <w:sz w:val="20"/>
              </w:rPr>
              <w:t>适用对象：</w:t>
            </w:r>
            <w:r>
              <w:rPr>
                <w:rFonts w:hint="eastAsia" w:ascii="汉仪书宋一简" w:eastAsia="汉仪书宋一简"/>
                <w:color w:val="0000FF"/>
                <w:kern w:val="0"/>
                <w:sz w:val="20"/>
              </w:rPr>
              <w:t>高级管理人员、高级技术人员和其他负有保密义务的人员</w:t>
            </w:r>
          </w:p>
          <w:p w14:paraId="07D5576E">
            <w:pPr>
              <w:spacing w:before="62" w:beforeLines="20" w:after="93" w:afterLines="30" w:line="280" w:lineRule="exact"/>
              <w:ind w:firstLine="0" w:firstLineChars="0"/>
              <w:rPr>
                <w:rFonts w:hint="default" w:ascii="汉仪书宋一简" w:eastAsia="汉仪书宋一简"/>
                <w:color w:val="0000FF"/>
                <w:kern w:val="0"/>
                <w:sz w:val="20"/>
                <w:lang w:val="en-US" w:eastAsia="zh-CN"/>
              </w:rPr>
            </w:pPr>
            <w:r>
              <w:rPr>
                <w:rFonts w:hint="eastAsia" w:ascii="汉仪书宋一简" w:eastAsia="汉仪书宋一简"/>
                <w:color w:val="0000FF"/>
                <w:kern w:val="0"/>
                <w:sz w:val="20"/>
                <w:lang w:val="en-US" w:eastAsia="zh-CN"/>
              </w:rPr>
              <w:t xml:space="preserve">其余人员不能约定  </w:t>
            </w:r>
          </w:p>
        </w:tc>
      </w:tr>
      <w:tr w14:paraId="00D58E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389EA3B1">
            <w:pPr>
              <w:spacing w:before="62" w:beforeLines="20" w:after="93" w:afterLines="30" w:line="280" w:lineRule="exact"/>
              <w:ind w:firstLine="0" w:firstLineChars="0"/>
              <w:rPr>
                <w:rFonts w:hint="eastAsia" w:ascii="汉仪书宋一简" w:eastAsia="汉仪书宋一简"/>
                <w:b/>
                <w:kern w:val="0"/>
                <w:sz w:val="20"/>
              </w:rPr>
            </w:pPr>
          </w:p>
        </w:tc>
        <w:tc>
          <w:tcPr>
            <w:tcW w:w="4339" w:type="pct"/>
            <w:shd w:val="clear" w:color="auto" w:fill="auto"/>
            <w:vAlign w:val="center"/>
          </w:tcPr>
          <w:p w14:paraId="38FA993D">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期限：最长为劳动合同解除或者终止后2年</w:t>
            </w:r>
          </w:p>
        </w:tc>
      </w:tr>
      <w:tr w14:paraId="07D0C8E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1BBA6115">
            <w:pPr>
              <w:spacing w:before="62" w:beforeLines="20" w:after="93" w:afterLines="30" w:line="280" w:lineRule="exact"/>
              <w:ind w:firstLine="0" w:firstLineChars="0"/>
              <w:rPr>
                <w:rFonts w:hint="eastAsia" w:ascii="汉仪书宋一简" w:eastAsia="汉仪书宋一简"/>
                <w:b/>
                <w:kern w:val="0"/>
                <w:sz w:val="20"/>
              </w:rPr>
            </w:pPr>
          </w:p>
        </w:tc>
        <w:tc>
          <w:tcPr>
            <w:tcW w:w="4339" w:type="pct"/>
            <w:shd w:val="clear" w:color="auto" w:fill="auto"/>
            <w:vAlign w:val="center"/>
          </w:tcPr>
          <w:p w14:paraId="582B14FB">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内容：竞业限制期内，劳动者不得到与本单位生产或者经营同类产品、从事同类业务的有竞争关系的其他用人单位，也不得自己开业生产或者经营同类产品、从事同类业务；用人单位应当按照约定在竞业限制期限内按月给予劳动者经济补偿</w:t>
            </w:r>
          </w:p>
          <w:p w14:paraId="70A024EC">
            <w:pPr>
              <w:spacing w:before="62" w:beforeLines="20" w:after="93" w:afterLines="3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0000FF"/>
                <w:kern w:val="0"/>
                <w:sz w:val="20"/>
                <w:lang w:val="en-US" w:eastAsia="zh-CN"/>
              </w:rPr>
              <w:t>配偶也不能开竞争性公司</w:t>
            </w:r>
          </w:p>
        </w:tc>
      </w:tr>
      <w:tr w14:paraId="583EE55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6FB8DEE5">
            <w:pPr>
              <w:spacing w:before="62" w:beforeLines="20" w:after="93" w:afterLines="30" w:line="280" w:lineRule="exact"/>
              <w:ind w:firstLine="0" w:firstLineChars="0"/>
              <w:rPr>
                <w:rFonts w:hint="eastAsia" w:ascii="汉仪书宋一简" w:eastAsia="汉仪书宋一简"/>
                <w:b/>
                <w:kern w:val="0"/>
                <w:sz w:val="20"/>
              </w:rPr>
            </w:pPr>
          </w:p>
        </w:tc>
        <w:tc>
          <w:tcPr>
            <w:tcW w:w="4339" w:type="pct"/>
            <w:shd w:val="clear" w:color="auto" w:fill="auto"/>
            <w:vAlign w:val="center"/>
          </w:tcPr>
          <w:p w14:paraId="224BFD3E">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后果：劳动者违反竞业限制约定的，应当按照约定向用人单位支付违约金</w:t>
            </w:r>
          </w:p>
        </w:tc>
      </w:tr>
      <w:tr w14:paraId="5050DA3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7FF17F83">
            <w:pPr>
              <w:spacing w:before="62" w:beforeLines="20" w:after="93" w:afterLines="30" w:line="280" w:lineRule="exact"/>
              <w:ind w:firstLine="0" w:firstLineChars="0"/>
              <w:rPr>
                <w:rFonts w:hint="eastAsia" w:ascii="汉仪书宋一简" w:eastAsia="汉仪书宋一简"/>
                <w:b/>
                <w:kern w:val="0"/>
                <w:sz w:val="20"/>
              </w:rPr>
            </w:pPr>
          </w:p>
        </w:tc>
        <w:tc>
          <w:tcPr>
            <w:tcW w:w="4339" w:type="pct"/>
            <w:shd w:val="clear" w:color="auto" w:fill="auto"/>
            <w:vAlign w:val="center"/>
          </w:tcPr>
          <w:p w14:paraId="6EB5D247">
            <w:pPr>
              <w:spacing w:before="62" w:beforeLines="20" w:after="93" w:afterLines="3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形式：用人单位可以在劳动合同或者保密协议中与劳动者约定竞业限制条款</w:t>
            </w:r>
          </w:p>
        </w:tc>
      </w:tr>
    </w:tbl>
    <w:p w14:paraId="73F0A9D7">
      <w:pPr>
        <w:autoSpaceDE w:val="0"/>
        <w:autoSpaceDN w:val="0"/>
        <w:adjustRightInd w:val="0"/>
        <w:ind w:firstLine="420"/>
        <w:rPr>
          <w:rFonts w:hint="eastAsia" w:ascii="汉仪书宋二简"/>
        </w:rPr>
      </w:pPr>
    </w:p>
    <w:p w14:paraId="1FA3E15C">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三、劳动合同的解除、终止和经济补偿</w:t>
      </w:r>
    </w:p>
    <w:p w14:paraId="6EA4EAD0">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094"/>
        <w:gridCol w:w="1671"/>
        <w:gridCol w:w="2452"/>
        <w:gridCol w:w="1867"/>
        <w:gridCol w:w="1421"/>
      </w:tblGrid>
      <w:tr w14:paraId="7FB2603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shd w:val="clear" w:color="auto" w:fill="auto"/>
            <w:vAlign w:val="center"/>
          </w:tcPr>
          <w:p w14:paraId="6D0951A6">
            <w:pPr>
              <w:spacing w:before="31" w:beforeLines="10" w:after="62" w:afterLines="20" w:line="280" w:lineRule="exact"/>
              <w:ind w:firstLine="0" w:firstLineChars="0"/>
              <w:rPr>
                <w:rFonts w:hint="eastAsia" w:ascii="汉仪书宋一简" w:eastAsia="汉仪书宋一简"/>
                <w:b/>
                <w:kern w:val="0"/>
                <w:sz w:val="20"/>
              </w:rPr>
            </w:pPr>
          </w:p>
        </w:tc>
        <w:tc>
          <w:tcPr>
            <w:tcW w:w="982" w:type="pct"/>
            <w:shd w:val="clear" w:color="auto" w:fill="auto"/>
            <w:vAlign w:val="center"/>
          </w:tcPr>
          <w:p w14:paraId="198E353C">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条件</w:t>
            </w:r>
          </w:p>
        </w:tc>
        <w:tc>
          <w:tcPr>
            <w:tcW w:w="1441" w:type="pct"/>
            <w:shd w:val="clear" w:color="auto" w:fill="auto"/>
            <w:vAlign w:val="center"/>
          </w:tcPr>
          <w:p w14:paraId="7F9CEFDF">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程序</w:t>
            </w:r>
          </w:p>
        </w:tc>
        <w:tc>
          <w:tcPr>
            <w:tcW w:w="1097" w:type="pct"/>
            <w:shd w:val="clear" w:color="auto" w:fill="auto"/>
            <w:vAlign w:val="center"/>
          </w:tcPr>
          <w:p w14:paraId="42AB3D3D">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是否有经济补偿</w:t>
            </w:r>
          </w:p>
        </w:tc>
        <w:tc>
          <w:tcPr>
            <w:tcW w:w="835" w:type="pct"/>
            <w:shd w:val="clear" w:color="auto" w:fill="auto"/>
            <w:vAlign w:val="center"/>
          </w:tcPr>
          <w:p w14:paraId="3E59377C">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解除限制</w:t>
            </w:r>
          </w:p>
        </w:tc>
      </w:tr>
      <w:tr w14:paraId="05AF231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20" w:hRule="atLeast"/>
          <w:jc w:val="center"/>
        </w:trPr>
        <w:tc>
          <w:tcPr>
            <w:tcW w:w="643" w:type="pct"/>
            <w:shd w:val="clear" w:color="auto" w:fill="auto"/>
            <w:vAlign w:val="center"/>
          </w:tcPr>
          <w:p w14:paraId="79222BD1">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协商解除</w:t>
            </w:r>
          </w:p>
        </w:tc>
        <w:tc>
          <w:tcPr>
            <w:tcW w:w="982" w:type="pct"/>
            <w:shd w:val="clear" w:color="auto" w:fill="auto"/>
            <w:vAlign w:val="center"/>
          </w:tcPr>
          <w:p w14:paraId="2EF7EB49">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无条件</w:t>
            </w:r>
          </w:p>
        </w:tc>
        <w:tc>
          <w:tcPr>
            <w:tcW w:w="1441" w:type="pct"/>
            <w:shd w:val="clear" w:color="auto" w:fill="auto"/>
            <w:vAlign w:val="center"/>
          </w:tcPr>
          <w:p w14:paraId="780A1AD2">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协商</w:t>
            </w:r>
          </w:p>
        </w:tc>
        <w:tc>
          <w:tcPr>
            <w:tcW w:w="1097" w:type="pct"/>
            <w:shd w:val="clear" w:color="auto" w:fill="auto"/>
            <w:vAlign w:val="center"/>
          </w:tcPr>
          <w:p w14:paraId="36B3D92F">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单位提出解除有补偿，</w:t>
            </w:r>
            <w:r>
              <w:rPr>
                <w:rFonts w:hint="eastAsia" w:ascii="汉仪书宋一简" w:eastAsia="汉仪书宋一简"/>
                <w:kern w:val="0"/>
                <w:sz w:val="20"/>
              </w:rPr>
              <w:t>劳动者提出解除无补偿</w:t>
            </w:r>
          </w:p>
        </w:tc>
        <w:tc>
          <w:tcPr>
            <w:tcW w:w="835" w:type="pct"/>
            <w:vMerge w:val="restart"/>
            <w:shd w:val="clear" w:color="auto" w:fill="auto"/>
            <w:vAlign w:val="center"/>
          </w:tcPr>
          <w:p w14:paraId="2C9FB352">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无“特别限制”</w:t>
            </w:r>
          </w:p>
        </w:tc>
      </w:tr>
      <w:tr w14:paraId="017EC2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restart"/>
            <w:shd w:val="clear" w:color="auto" w:fill="auto"/>
            <w:vAlign w:val="center"/>
          </w:tcPr>
          <w:p w14:paraId="2AE0E139">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劳动者</w:t>
            </w:r>
          </w:p>
          <w:p w14:paraId="102D1B55">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单方解除</w:t>
            </w:r>
          </w:p>
        </w:tc>
        <w:tc>
          <w:tcPr>
            <w:tcW w:w="982" w:type="pct"/>
            <w:shd w:val="clear" w:color="auto" w:fill="auto"/>
            <w:vAlign w:val="center"/>
          </w:tcPr>
          <w:p w14:paraId="2D7E3444">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无条件</w:t>
            </w:r>
          </w:p>
        </w:tc>
        <w:tc>
          <w:tcPr>
            <w:tcW w:w="1441" w:type="pct"/>
            <w:shd w:val="clear" w:color="auto" w:fill="auto"/>
            <w:vAlign w:val="center"/>
          </w:tcPr>
          <w:p w14:paraId="5DA7EAD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提前30日书面通知</w:t>
            </w:r>
          </w:p>
          <w:p w14:paraId="0DEA4282">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试用期内提前3天通知</w:t>
            </w:r>
          </w:p>
        </w:tc>
        <w:tc>
          <w:tcPr>
            <w:tcW w:w="1097" w:type="pct"/>
            <w:shd w:val="clear" w:color="auto" w:fill="auto"/>
            <w:vAlign w:val="center"/>
          </w:tcPr>
          <w:p w14:paraId="6F06325E">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kern w:val="0"/>
                <w:sz w:val="20"/>
              </w:rPr>
              <w:t>无</w:t>
            </w:r>
          </w:p>
        </w:tc>
        <w:tc>
          <w:tcPr>
            <w:tcW w:w="835" w:type="pct"/>
            <w:vMerge w:val="continue"/>
            <w:shd w:val="clear" w:color="auto" w:fill="auto"/>
            <w:vAlign w:val="center"/>
          </w:tcPr>
          <w:p w14:paraId="5BC72261">
            <w:pPr>
              <w:spacing w:before="31" w:beforeLines="10" w:after="62" w:afterLines="20" w:line="280" w:lineRule="exact"/>
              <w:ind w:firstLine="0" w:firstLineChars="0"/>
              <w:rPr>
                <w:rFonts w:hint="eastAsia" w:ascii="汉仪书宋一简" w:eastAsia="汉仪书宋一简" w:hAnsiTheme="minorEastAsia"/>
                <w:kern w:val="0"/>
                <w:sz w:val="20"/>
              </w:rPr>
            </w:pPr>
          </w:p>
        </w:tc>
      </w:tr>
      <w:tr w14:paraId="26EF59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continue"/>
            <w:shd w:val="clear" w:color="auto" w:fill="auto"/>
            <w:vAlign w:val="center"/>
          </w:tcPr>
          <w:p w14:paraId="76EBF124">
            <w:pPr>
              <w:spacing w:before="31" w:beforeLines="10" w:after="62" w:afterLines="20" w:line="280" w:lineRule="exact"/>
              <w:ind w:firstLine="0" w:firstLineChars="0"/>
              <w:jc w:val="center"/>
              <w:rPr>
                <w:rFonts w:hint="eastAsia" w:ascii="汉仪中黑简" w:eastAsia="汉仪中黑简" w:hAnsiTheme="minorEastAsia"/>
                <w:kern w:val="0"/>
                <w:sz w:val="20"/>
              </w:rPr>
            </w:pPr>
          </w:p>
        </w:tc>
        <w:tc>
          <w:tcPr>
            <w:tcW w:w="982" w:type="pct"/>
            <w:shd w:val="clear" w:color="auto" w:fill="auto"/>
            <w:vAlign w:val="center"/>
          </w:tcPr>
          <w:p w14:paraId="548EE624">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单位过错</w:t>
            </w:r>
          </w:p>
        </w:tc>
        <w:tc>
          <w:tcPr>
            <w:tcW w:w="1441" w:type="pct"/>
            <w:shd w:val="clear" w:color="auto" w:fill="auto"/>
            <w:vAlign w:val="center"/>
          </w:tcPr>
          <w:p w14:paraId="091FE665">
            <w:pPr>
              <w:spacing w:before="31" w:beforeLines="10" w:after="62" w:afterLines="20" w:line="280" w:lineRule="exact"/>
              <w:ind w:firstLine="0" w:firstLineChars="0"/>
              <w:rPr>
                <w:rFonts w:hint="eastAsia" w:ascii="汉仪书宋一简" w:eastAsia="汉仪书宋一简" w:hAnsiTheme="minorEastAsia"/>
                <w:kern w:val="0"/>
                <w:sz w:val="20"/>
                <w:lang w:eastAsia="zh-CN"/>
              </w:rPr>
            </w:pPr>
            <w:r>
              <w:rPr>
                <w:rFonts w:hint="eastAsia" w:ascii="汉仪书宋一简" w:eastAsia="汉仪书宋一简" w:hAnsiTheme="minorEastAsia"/>
                <w:kern w:val="0"/>
                <w:sz w:val="20"/>
              </w:rPr>
              <w:t>通知解除或立即解除</w:t>
            </w:r>
            <w:r>
              <w:rPr>
                <w:rFonts w:hint="eastAsia" w:ascii="汉仪书宋一简" w:eastAsia="汉仪书宋一简" w:hAnsiTheme="minorEastAsia"/>
                <w:kern w:val="0"/>
                <w:sz w:val="20"/>
                <w:lang w:eastAsia="zh-CN"/>
              </w:rPr>
              <w:t>（</w:t>
            </w:r>
            <w:r>
              <w:rPr>
                <w:rFonts w:hint="eastAsia" w:ascii="汉仪书宋二简" w:hAnsi="汉仪书宋二简" w:cs="汉仪书宋二简"/>
                <w:color w:val="0000FF"/>
                <w:kern w:val="0"/>
              </w:rPr>
              <w:t>人单位以暴力、威胁或者非法限制人身自由的手段强迫劳动者劳动的，或者用人单位违章指挥、强令冒险作业危及劳动者人身安全的，劳动者可以立即解除劳动合同，不需事先告知用人单位。</w:t>
            </w:r>
            <w:r>
              <w:rPr>
                <w:rFonts w:hint="eastAsia" w:ascii="汉仪书宋一简" w:eastAsia="汉仪书宋一简" w:hAnsiTheme="minorEastAsia"/>
                <w:kern w:val="0"/>
                <w:sz w:val="20"/>
                <w:lang w:eastAsia="zh-CN"/>
              </w:rPr>
              <w:t>）</w:t>
            </w:r>
          </w:p>
        </w:tc>
        <w:tc>
          <w:tcPr>
            <w:tcW w:w="1097" w:type="pct"/>
            <w:shd w:val="clear" w:color="auto" w:fill="auto"/>
            <w:vAlign w:val="center"/>
          </w:tcPr>
          <w:p w14:paraId="27D67913">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color w:val="0000FF"/>
                <w:kern w:val="0"/>
                <w:sz w:val="20"/>
              </w:rPr>
              <w:t>有</w:t>
            </w:r>
          </w:p>
        </w:tc>
        <w:tc>
          <w:tcPr>
            <w:tcW w:w="835" w:type="pct"/>
            <w:vMerge w:val="continue"/>
            <w:shd w:val="clear" w:color="auto" w:fill="auto"/>
            <w:vAlign w:val="center"/>
          </w:tcPr>
          <w:p w14:paraId="69EF9335">
            <w:pPr>
              <w:spacing w:before="31" w:beforeLines="10" w:after="62" w:afterLines="20" w:line="280" w:lineRule="exact"/>
              <w:ind w:firstLine="0" w:firstLineChars="0"/>
              <w:rPr>
                <w:rFonts w:hint="eastAsia" w:ascii="汉仪书宋一简" w:eastAsia="汉仪书宋一简" w:hAnsiTheme="minorEastAsia"/>
                <w:kern w:val="0"/>
                <w:sz w:val="20"/>
              </w:rPr>
            </w:pPr>
          </w:p>
        </w:tc>
      </w:tr>
      <w:tr w14:paraId="02EB9E5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restart"/>
            <w:shd w:val="clear" w:color="auto" w:fill="auto"/>
            <w:vAlign w:val="center"/>
          </w:tcPr>
          <w:p w14:paraId="473B3103">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用人单位</w:t>
            </w:r>
          </w:p>
          <w:p w14:paraId="44D41AC1">
            <w:pPr>
              <w:spacing w:before="31" w:beforeLines="10" w:after="62" w:afterLines="20" w:line="280" w:lineRule="exact"/>
              <w:ind w:firstLine="0" w:firstLineChars="0"/>
              <w:jc w:val="center"/>
              <w:rPr>
                <w:rFonts w:hint="eastAsia" w:ascii="汉仪中黑简" w:eastAsia="汉仪中黑简" w:hAnsiTheme="minorEastAsia"/>
                <w:kern w:val="0"/>
                <w:sz w:val="20"/>
                <w:lang w:eastAsia="zh-CN"/>
              </w:rPr>
            </w:pPr>
            <w:r>
              <w:rPr>
                <w:rFonts w:hint="eastAsia" w:ascii="汉仪中黑简" w:eastAsia="汉仪中黑简" w:hAnsiTheme="minorEastAsia"/>
                <w:kern w:val="0"/>
                <w:sz w:val="20"/>
              </w:rPr>
              <w:t>单方解除</w:t>
            </w:r>
            <w:r>
              <w:rPr>
                <w:rFonts w:hint="eastAsia" w:ascii="汉仪中黑简" w:eastAsia="汉仪中黑简" w:hAnsiTheme="minorEastAsia"/>
                <w:kern w:val="0"/>
                <w:sz w:val="20"/>
                <w:lang w:eastAsia="zh-CN"/>
              </w:rPr>
              <w:t>（</w:t>
            </w:r>
            <w:r>
              <w:rPr>
                <w:rFonts w:hint="eastAsia" w:ascii="汉仪中黑简" w:eastAsia="汉仪中黑简" w:hAnsiTheme="minorEastAsia"/>
                <w:kern w:val="0"/>
                <w:sz w:val="20"/>
                <w:lang w:val="en-US" w:eastAsia="zh-CN"/>
              </w:rPr>
              <w:t>重点</w:t>
            </w:r>
            <w:r>
              <w:rPr>
                <w:rFonts w:hint="eastAsia" w:ascii="汉仪中黑简" w:eastAsia="汉仪中黑简" w:hAnsiTheme="minorEastAsia"/>
                <w:kern w:val="0"/>
                <w:sz w:val="20"/>
                <w:lang w:eastAsia="zh-CN"/>
              </w:rPr>
              <w:t>）</w:t>
            </w:r>
          </w:p>
        </w:tc>
        <w:tc>
          <w:tcPr>
            <w:tcW w:w="982" w:type="pct"/>
            <w:shd w:val="clear" w:color="auto" w:fill="auto"/>
            <w:vAlign w:val="center"/>
          </w:tcPr>
          <w:p w14:paraId="18132FB7">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劳动者在试用期被证明不符合录用条件</w:t>
            </w:r>
          </w:p>
        </w:tc>
        <w:tc>
          <w:tcPr>
            <w:tcW w:w="1441" w:type="pct"/>
            <w:vMerge w:val="restart"/>
            <w:shd w:val="clear" w:color="auto" w:fill="auto"/>
            <w:vAlign w:val="center"/>
          </w:tcPr>
          <w:p w14:paraId="331A2B8A">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事先通知工会，通知解除</w:t>
            </w:r>
          </w:p>
        </w:tc>
        <w:tc>
          <w:tcPr>
            <w:tcW w:w="1097" w:type="pct"/>
            <w:vMerge w:val="restart"/>
            <w:shd w:val="clear" w:color="auto" w:fill="auto"/>
            <w:vAlign w:val="center"/>
          </w:tcPr>
          <w:p w14:paraId="0E051F7B">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无</w:t>
            </w:r>
          </w:p>
        </w:tc>
        <w:tc>
          <w:tcPr>
            <w:tcW w:w="835" w:type="pct"/>
            <w:vMerge w:val="continue"/>
            <w:shd w:val="clear" w:color="auto" w:fill="auto"/>
            <w:vAlign w:val="center"/>
          </w:tcPr>
          <w:p w14:paraId="75957D0F">
            <w:pPr>
              <w:spacing w:before="31" w:beforeLines="10" w:after="62" w:afterLines="20" w:line="280" w:lineRule="exact"/>
              <w:ind w:firstLine="0" w:firstLineChars="0"/>
              <w:rPr>
                <w:rFonts w:hint="eastAsia" w:ascii="汉仪书宋一简" w:eastAsia="汉仪书宋一简" w:hAnsiTheme="minorEastAsia"/>
                <w:kern w:val="0"/>
                <w:sz w:val="20"/>
              </w:rPr>
            </w:pPr>
          </w:p>
        </w:tc>
      </w:tr>
      <w:tr w14:paraId="045EEC4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continue"/>
            <w:shd w:val="clear" w:color="auto" w:fill="auto"/>
            <w:vAlign w:val="center"/>
          </w:tcPr>
          <w:p w14:paraId="24253244">
            <w:pPr>
              <w:spacing w:before="31" w:beforeLines="10" w:after="62" w:afterLines="20" w:line="280" w:lineRule="exact"/>
              <w:ind w:firstLine="0" w:firstLineChars="0"/>
              <w:jc w:val="center"/>
              <w:rPr>
                <w:rFonts w:hint="eastAsia" w:ascii="汉仪中黑简" w:eastAsia="汉仪中黑简" w:hAnsiTheme="minorEastAsia"/>
                <w:kern w:val="0"/>
                <w:sz w:val="20"/>
              </w:rPr>
            </w:pPr>
          </w:p>
        </w:tc>
        <w:tc>
          <w:tcPr>
            <w:tcW w:w="982" w:type="pct"/>
            <w:shd w:val="clear" w:color="auto" w:fill="auto"/>
            <w:vAlign w:val="center"/>
          </w:tcPr>
          <w:p w14:paraId="42060DF5">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劳动者过错</w:t>
            </w:r>
          </w:p>
        </w:tc>
        <w:tc>
          <w:tcPr>
            <w:tcW w:w="1441" w:type="pct"/>
            <w:vMerge w:val="continue"/>
            <w:shd w:val="clear" w:color="auto" w:fill="auto"/>
            <w:vAlign w:val="center"/>
          </w:tcPr>
          <w:p w14:paraId="7D5243C5">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1097" w:type="pct"/>
            <w:vMerge w:val="continue"/>
            <w:shd w:val="clear" w:color="auto" w:fill="auto"/>
            <w:vAlign w:val="center"/>
          </w:tcPr>
          <w:p w14:paraId="57FEDF9D">
            <w:pPr>
              <w:spacing w:before="31" w:beforeLines="10" w:after="62" w:afterLines="20" w:line="280" w:lineRule="exact"/>
              <w:ind w:firstLine="0" w:firstLineChars="0"/>
              <w:jc w:val="center"/>
              <w:rPr>
                <w:rFonts w:hint="eastAsia" w:ascii="汉仪书宋一简" w:eastAsia="汉仪书宋一简" w:hAnsiTheme="minorEastAsia"/>
                <w:kern w:val="0"/>
                <w:sz w:val="20"/>
              </w:rPr>
            </w:pPr>
          </w:p>
        </w:tc>
        <w:tc>
          <w:tcPr>
            <w:tcW w:w="835" w:type="pct"/>
            <w:vMerge w:val="continue"/>
            <w:shd w:val="clear" w:color="auto" w:fill="auto"/>
            <w:vAlign w:val="center"/>
          </w:tcPr>
          <w:p w14:paraId="67D57E66">
            <w:pPr>
              <w:spacing w:before="31" w:beforeLines="10" w:after="62" w:afterLines="20" w:line="280" w:lineRule="exact"/>
              <w:ind w:firstLine="0" w:firstLineChars="0"/>
              <w:rPr>
                <w:rFonts w:hint="eastAsia" w:ascii="汉仪书宋一简" w:eastAsia="汉仪书宋一简" w:hAnsiTheme="minorEastAsia"/>
                <w:kern w:val="0"/>
                <w:sz w:val="20"/>
              </w:rPr>
            </w:pPr>
          </w:p>
        </w:tc>
      </w:tr>
      <w:tr w14:paraId="4237077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20" w:hRule="atLeast"/>
          <w:jc w:val="center"/>
        </w:trPr>
        <w:tc>
          <w:tcPr>
            <w:tcW w:w="643" w:type="pct"/>
            <w:vMerge w:val="continue"/>
            <w:shd w:val="clear" w:color="auto" w:fill="auto"/>
            <w:vAlign w:val="center"/>
          </w:tcPr>
          <w:p w14:paraId="489AC50B">
            <w:pPr>
              <w:spacing w:before="31" w:beforeLines="10" w:after="62" w:afterLines="20" w:line="280" w:lineRule="exact"/>
              <w:ind w:firstLine="0" w:firstLineChars="0"/>
              <w:jc w:val="center"/>
              <w:rPr>
                <w:rFonts w:hint="eastAsia" w:ascii="汉仪中黑简" w:eastAsia="汉仪中黑简" w:hAnsiTheme="minorEastAsia"/>
                <w:kern w:val="0"/>
                <w:sz w:val="20"/>
              </w:rPr>
            </w:pPr>
          </w:p>
        </w:tc>
        <w:tc>
          <w:tcPr>
            <w:tcW w:w="982" w:type="pct"/>
            <w:shd w:val="clear" w:color="auto" w:fill="auto"/>
            <w:vAlign w:val="center"/>
          </w:tcPr>
          <w:p w14:paraId="748616C0">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客观原因</w:t>
            </w:r>
          </w:p>
        </w:tc>
        <w:tc>
          <w:tcPr>
            <w:tcW w:w="1441" w:type="pct"/>
            <w:shd w:val="clear" w:color="auto" w:fill="auto"/>
            <w:vAlign w:val="center"/>
          </w:tcPr>
          <w:p w14:paraId="5723C932">
            <w:pPr>
              <w:spacing w:before="31" w:beforeLines="10" w:after="62" w:afterLines="20" w:line="280" w:lineRule="exact"/>
              <w:ind w:firstLine="0" w:firstLineChars="0"/>
              <w:rPr>
                <w:rFonts w:hint="default" w:ascii="汉仪书宋一简" w:eastAsia="汉仪书宋一简" w:hAnsiTheme="minorEastAsia"/>
                <w:kern w:val="0"/>
                <w:sz w:val="20"/>
                <w:lang w:val="en-US" w:eastAsia="zh-CN"/>
              </w:rPr>
            </w:pPr>
            <w:r>
              <w:rPr>
                <w:rFonts w:hint="eastAsia" w:ascii="汉仪书宋一简" w:eastAsia="汉仪书宋一简" w:hAnsiTheme="minorEastAsia"/>
                <w:kern w:val="0"/>
                <w:sz w:val="20"/>
              </w:rPr>
              <w:t>事先通知工会，并且提前</w:t>
            </w:r>
            <w:r>
              <w:rPr>
                <w:rFonts w:hint="eastAsia" w:ascii="汉仪书宋一简" w:eastAsia="汉仪书宋一简"/>
                <w:kern w:val="0"/>
                <w:sz w:val="20"/>
              </w:rPr>
              <w:t>30</w:t>
            </w:r>
            <w:r>
              <w:rPr>
                <w:rFonts w:hint="eastAsia" w:ascii="汉仪书宋一简" w:eastAsia="汉仪书宋一简" w:hAnsiTheme="minorEastAsia"/>
                <w:kern w:val="0"/>
                <w:sz w:val="20"/>
              </w:rPr>
              <w:t>天书面通知劳动者或额外支付</w:t>
            </w:r>
            <w:r>
              <w:rPr>
                <w:rFonts w:hint="eastAsia" w:ascii="汉仪书宋一简" w:eastAsia="汉仪书宋一简"/>
                <w:kern w:val="0"/>
                <w:sz w:val="20"/>
              </w:rPr>
              <w:t>1</w:t>
            </w:r>
            <w:r>
              <w:rPr>
                <w:rFonts w:hint="eastAsia" w:ascii="汉仪书宋一简" w:eastAsia="汉仪书宋一简" w:hAnsiTheme="minorEastAsia"/>
                <w:kern w:val="0"/>
                <w:sz w:val="20"/>
              </w:rPr>
              <w:t>个月工资</w:t>
            </w:r>
            <w:r>
              <w:rPr>
                <w:rFonts w:hint="eastAsia" w:ascii="汉仪书宋一简" w:eastAsia="汉仪书宋一简" w:hAnsiTheme="minorEastAsia"/>
                <w:color w:val="0000FF"/>
                <w:kern w:val="0"/>
                <w:sz w:val="20"/>
                <w:lang w:eastAsia="zh-CN"/>
              </w:rPr>
              <w:t>（</w:t>
            </w:r>
            <w:r>
              <w:rPr>
                <w:rFonts w:hint="eastAsia" w:ascii="汉仪书宋一简" w:eastAsia="汉仪书宋一简" w:hAnsiTheme="minorEastAsia"/>
                <w:color w:val="0000FF"/>
                <w:kern w:val="0"/>
                <w:sz w:val="20"/>
                <w:lang w:val="en-US" w:eastAsia="zh-CN"/>
              </w:rPr>
              <w:t>N+1</w:t>
            </w:r>
            <w:r>
              <w:rPr>
                <w:rFonts w:hint="eastAsia" w:ascii="汉仪书宋一简" w:eastAsia="汉仪书宋一简" w:hAnsiTheme="minorEastAsia"/>
                <w:color w:val="0000FF"/>
                <w:kern w:val="0"/>
                <w:sz w:val="20"/>
                <w:lang w:eastAsia="zh-CN"/>
              </w:rPr>
              <w:t>）</w:t>
            </w:r>
            <w:r>
              <w:rPr>
                <w:rFonts w:hint="eastAsia" w:ascii="汉仪书宋一简" w:eastAsia="汉仪书宋一简" w:hAnsiTheme="minorEastAsia"/>
                <w:color w:val="0000FF"/>
                <w:kern w:val="0"/>
                <w:sz w:val="20"/>
                <w:lang w:val="en-US" w:eastAsia="zh-CN"/>
              </w:rPr>
              <w:t xml:space="preserve"> 只有这种加1  其余不加1  N</w:t>
            </w:r>
          </w:p>
        </w:tc>
        <w:tc>
          <w:tcPr>
            <w:tcW w:w="1097" w:type="pct"/>
            <w:vMerge w:val="restart"/>
            <w:shd w:val="clear" w:color="auto" w:fill="auto"/>
            <w:vAlign w:val="center"/>
          </w:tcPr>
          <w:p w14:paraId="12EA7056">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有</w:t>
            </w:r>
          </w:p>
        </w:tc>
        <w:tc>
          <w:tcPr>
            <w:tcW w:w="835" w:type="pct"/>
            <w:vMerge w:val="restart"/>
            <w:shd w:val="clear" w:color="auto" w:fill="auto"/>
            <w:vAlign w:val="center"/>
          </w:tcPr>
          <w:p w14:paraId="46E45FAB">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有“特别限制”</w:t>
            </w:r>
          </w:p>
        </w:tc>
      </w:tr>
      <w:tr w14:paraId="13E391C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continue"/>
            <w:shd w:val="clear" w:color="auto" w:fill="auto"/>
            <w:vAlign w:val="center"/>
          </w:tcPr>
          <w:p w14:paraId="5425A8EF">
            <w:pPr>
              <w:spacing w:before="31" w:beforeLines="10" w:after="62" w:afterLines="20" w:line="280" w:lineRule="exact"/>
              <w:ind w:firstLine="0" w:firstLineChars="0"/>
              <w:jc w:val="center"/>
              <w:rPr>
                <w:rFonts w:hint="eastAsia" w:ascii="汉仪中黑简" w:eastAsia="汉仪中黑简" w:hAnsiTheme="minorEastAsia"/>
                <w:kern w:val="0"/>
                <w:sz w:val="20"/>
              </w:rPr>
            </w:pPr>
          </w:p>
        </w:tc>
        <w:tc>
          <w:tcPr>
            <w:tcW w:w="982" w:type="pct"/>
            <w:shd w:val="clear" w:color="auto" w:fill="auto"/>
            <w:vAlign w:val="center"/>
          </w:tcPr>
          <w:p w14:paraId="43CEB0B7">
            <w:pPr>
              <w:spacing w:before="31" w:beforeLines="10" w:after="62" w:afterLines="20" w:line="280" w:lineRule="exact"/>
              <w:ind w:firstLine="0" w:firstLineChars="0"/>
              <w:jc w:val="center"/>
              <w:rPr>
                <w:rFonts w:hint="eastAsia" w:ascii="汉仪书宋一简" w:eastAsia="汉仪书宋一简" w:hAnsiTheme="minorEastAsia"/>
                <w:kern w:val="0"/>
                <w:sz w:val="20"/>
                <w:lang w:eastAsia="zh-CN"/>
              </w:rPr>
            </w:pPr>
            <w:r>
              <w:rPr>
                <w:rFonts w:hint="eastAsia" w:ascii="汉仪书宋一简" w:eastAsia="汉仪书宋一简" w:hAnsiTheme="minorEastAsia"/>
                <w:kern w:val="0"/>
                <w:sz w:val="20"/>
              </w:rPr>
              <w:t>经济性裁员</w:t>
            </w:r>
            <w:r>
              <w:rPr>
                <w:rFonts w:hint="eastAsia" w:ascii="汉仪书宋一简" w:eastAsia="汉仪书宋一简" w:hAnsiTheme="minorEastAsia"/>
                <w:color w:val="0000FF"/>
                <w:kern w:val="0"/>
                <w:sz w:val="20"/>
                <w:lang w:eastAsia="zh-CN"/>
              </w:rPr>
              <w:t>（</w:t>
            </w:r>
            <w:r>
              <w:rPr>
                <w:rFonts w:hint="eastAsia" w:ascii="汉仪书宋一简" w:eastAsia="汉仪书宋一简" w:hAnsiTheme="minorEastAsia"/>
                <w:color w:val="0000FF"/>
                <w:kern w:val="0"/>
                <w:sz w:val="20"/>
                <w:lang w:val="en-US" w:eastAsia="zh-CN"/>
              </w:rPr>
              <w:t>规模的</w:t>
            </w:r>
            <w:r>
              <w:rPr>
                <w:rFonts w:hint="eastAsia" w:ascii="汉仪书宋一简" w:eastAsia="汉仪书宋一简" w:hAnsiTheme="minorEastAsia"/>
                <w:color w:val="0000FF"/>
                <w:kern w:val="0"/>
                <w:sz w:val="20"/>
                <w:lang w:eastAsia="zh-CN"/>
              </w:rPr>
              <w:t>）</w:t>
            </w:r>
          </w:p>
        </w:tc>
        <w:tc>
          <w:tcPr>
            <w:tcW w:w="1441" w:type="pct"/>
            <w:shd w:val="clear" w:color="auto" w:fill="auto"/>
            <w:vAlign w:val="center"/>
          </w:tcPr>
          <w:p w14:paraId="6B5E38CA">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提前30天向工会或全体职工说明情况，听取意见，并报劳动部门备案</w:t>
            </w:r>
          </w:p>
        </w:tc>
        <w:tc>
          <w:tcPr>
            <w:tcW w:w="1097" w:type="pct"/>
            <w:vMerge w:val="continue"/>
            <w:shd w:val="clear" w:color="auto" w:fill="auto"/>
            <w:vAlign w:val="center"/>
          </w:tcPr>
          <w:p w14:paraId="18B59532">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835" w:type="pct"/>
            <w:vMerge w:val="continue"/>
            <w:shd w:val="clear" w:color="auto" w:fill="auto"/>
            <w:vAlign w:val="center"/>
          </w:tcPr>
          <w:p w14:paraId="092963BA">
            <w:pPr>
              <w:spacing w:before="31" w:beforeLines="10" w:after="62" w:afterLines="20" w:line="280" w:lineRule="exact"/>
              <w:ind w:firstLine="0" w:firstLineChars="0"/>
              <w:rPr>
                <w:rFonts w:hint="eastAsia" w:ascii="汉仪书宋一简" w:eastAsia="汉仪书宋一简" w:hAnsiTheme="minorEastAsia"/>
                <w:kern w:val="0"/>
                <w:sz w:val="20"/>
              </w:rPr>
            </w:pPr>
          </w:p>
        </w:tc>
      </w:tr>
      <w:tr w14:paraId="61B07D7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restart"/>
            <w:shd w:val="clear" w:color="auto" w:fill="auto"/>
            <w:vAlign w:val="center"/>
          </w:tcPr>
          <w:p w14:paraId="1C5BD2B7">
            <w:pPr>
              <w:spacing w:before="31" w:beforeLines="10" w:after="62" w:afterLines="20" w:line="280" w:lineRule="exact"/>
              <w:ind w:firstLine="0" w:firstLineChars="0"/>
              <w:jc w:val="center"/>
              <w:rPr>
                <w:rFonts w:hint="eastAsia" w:ascii="汉仪中黑简" w:eastAsia="汉仪中黑简" w:hAnsiTheme="minorEastAsia"/>
                <w:kern w:val="0"/>
                <w:sz w:val="20"/>
              </w:rPr>
            </w:pPr>
            <w:r>
              <w:rPr>
                <w:rFonts w:hint="eastAsia" w:ascii="汉仪中黑简" w:eastAsia="汉仪中黑简" w:hAnsiTheme="minorEastAsia"/>
                <w:kern w:val="0"/>
                <w:sz w:val="20"/>
              </w:rPr>
              <w:t>合同终止</w:t>
            </w:r>
          </w:p>
        </w:tc>
        <w:tc>
          <w:tcPr>
            <w:tcW w:w="2423" w:type="pct"/>
            <w:gridSpan w:val="2"/>
            <w:shd w:val="clear" w:color="auto" w:fill="auto"/>
            <w:vAlign w:val="center"/>
          </w:tcPr>
          <w:p w14:paraId="09AF670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劳动合同期满</w:t>
            </w:r>
          </w:p>
        </w:tc>
        <w:tc>
          <w:tcPr>
            <w:tcW w:w="1097" w:type="pct"/>
            <w:shd w:val="clear" w:color="auto" w:fill="auto"/>
            <w:vAlign w:val="center"/>
          </w:tcPr>
          <w:p w14:paraId="291092B9">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kern w:val="0"/>
                <w:sz w:val="20"/>
              </w:rPr>
              <w:t>劳动者不同意续订的无补偿</w:t>
            </w:r>
          </w:p>
        </w:tc>
        <w:tc>
          <w:tcPr>
            <w:tcW w:w="835" w:type="pct"/>
            <w:vMerge w:val="restart"/>
            <w:shd w:val="clear" w:color="auto" w:fill="auto"/>
            <w:vAlign w:val="center"/>
          </w:tcPr>
          <w:p w14:paraId="7BD97D7F">
            <w:pPr>
              <w:spacing w:before="31" w:beforeLines="10" w:after="62" w:afterLines="20" w:line="280" w:lineRule="exact"/>
              <w:ind w:firstLine="0" w:firstLineChars="0"/>
              <w:rPr>
                <w:rFonts w:hint="eastAsia" w:ascii="汉仪书宋一简" w:eastAsia="汉仪书宋一简" w:hAnsiTheme="minorEastAsia"/>
                <w:kern w:val="0"/>
                <w:sz w:val="20"/>
              </w:rPr>
            </w:pPr>
            <w:r>
              <w:rPr>
                <w:rFonts w:hint="eastAsia" w:ascii="汉仪书宋一简" w:eastAsia="汉仪书宋一简" w:hAnsiTheme="minorEastAsia"/>
                <w:kern w:val="0"/>
                <w:sz w:val="20"/>
              </w:rPr>
              <w:t>终止时遇有“特别限制”情形，劳动合同延续至“特别限制”消失时终止，但发生工伤的按照工伤保险规定处理</w:t>
            </w:r>
          </w:p>
        </w:tc>
      </w:tr>
      <w:tr w14:paraId="5869F4C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continue"/>
            <w:shd w:val="clear" w:color="auto" w:fill="auto"/>
            <w:vAlign w:val="center"/>
          </w:tcPr>
          <w:p w14:paraId="4ACA9367">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2423" w:type="pct"/>
            <w:gridSpan w:val="2"/>
            <w:shd w:val="clear" w:color="auto" w:fill="auto"/>
            <w:vAlign w:val="center"/>
          </w:tcPr>
          <w:p w14:paraId="5885A75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劳动者开始依法享受基本养老保险待遇或者达到法定退休年龄；劳动者死亡，或者被人民法院宣告死亡或者宣告失踪</w:t>
            </w:r>
          </w:p>
        </w:tc>
        <w:tc>
          <w:tcPr>
            <w:tcW w:w="1097" w:type="pct"/>
            <w:shd w:val="clear" w:color="auto" w:fill="auto"/>
            <w:vAlign w:val="center"/>
          </w:tcPr>
          <w:p w14:paraId="1A71950A">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kern w:val="0"/>
                <w:sz w:val="20"/>
              </w:rPr>
              <w:t>无</w:t>
            </w:r>
          </w:p>
        </w:tc>
        <w:tc>
          <w:tcPr>
            <w:tcW w:w="835" w:type="pct"/>
            <w:vMerge w:val="continue"/>
            <w:shd w:val="clear" w:color="auto" w:fill="auto"/>
            <w:vAlign w:val="center"/>
          </w:tcPr>
          <w:p w14:paraId="126F71B5">
            <w:pPr>
              <w:spacing w:before="31" w:beforeLines="10" w:after="62" w:afterLines="20" w:line="280" w:lineRule="exact"/>
              <w:ind w:firstLine="0" w:firstLineChars="0"/>
              <w:rPr>
                <w:rFonts w:hint="eastAsia" w:ascii="汉仪书宋一简" w:eastAsia="汉仪书宋一简" w:hAnsiTheme="minorEastAsia"/>
                <w:kern w:val="0"/>
                <w:sz w:val="20"/>
              </w:rPr>
            </w:pPr>
          </w:p>
        </w:tc>
      </w:tr>
      <w:tr w14:paraId="46DFE5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3" w:type="pct"/>
            <w:vMerge w:val="continue"/>
            <w:shd w:val="clear" w:color="auto" w:fill="auto"/>
            <w:vAlign w:val="center"/>
          </w:tcPr>
          <w:p w14:paraId="73DFA5AB">
            <w:pPr>
              <w:spacing w:before="31" w:beforeLines="10" w:after="62" w:afterLines="20" w:line="280" w:lineRule="exact"/>
              <w:ind w:firstLine="0" w:firstLineChars="0"/>
              <w:rPr>
                <w:rFonts w:hint="eastAsia" w:ascii="汉仪书宋一简" w:eastAsia="汉仪书宋一简" w:hAnsiTheme="minorEastAsia"/>
                <w:kern w:val="0"/>
                <w:sz w:val="20"/>
              </w:rPr>
            </w:pPr>
          </w:p>
        </w:tc>
        <w:tc>
          <w:tcPr>
            <w:tcW w:w="2423" w:type="pct"/>
            <w:gridSpan w:val="2"/>
            <w:shd w:val="clear" w:color="auto" w:fill="auto"/>
            <w:vAlign w:val="center"/>
          </w:tcPr>
          <w:p w14:paraId="65E3803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用人单位被依法宣告破产、吊销营业执照、责令关闭、撤销或者用人单位决定提前解散</w:t>
            </w:r>
          </w:p>
        </w:tc>
        <w:tc>
          <w:tcPr>
            <w:tcW w:w="1097" w:type="pct"/>
            <w:shd w:val="clear" w:color="auto" w:fill="auto"/>
            <w:vAlign w:val="center"/>
          </w:tcPr>
          <w:p w14:paraId="63BB8C62">
            <w:pPr>
              <w:spacing w:before="31" w:beforeLines="10" w:after="62" w:afterLines="20" w:line="280" w:lineRule="exact"/>
              <w:ind w:firstLine="0" w:firstLineChars="0"/>
              <w:jc w:val="center"/>
              <w:rPr>
                <w:rFonts w:hint="eastAsia" w:ascii="汉仪书宋一简" w:eastAsia="汉仪书宋一简" w:hAnsiTheme="minorEastAsia"/>
                <w:kern w:val="0"/>
                <w:sz w:val="20"/>
              </w:rPr>
            </w:pPr>
            <w:r>
              <w:rPr>
                <w:rFonts w:hint="eastAsia" w:ascii="汉仪书宋一简" w:eastAsia="汉仪书宋一简" w:hAnsiTheme="minorEastAsia"/>
                <w:kern w:val="0"/>
                <w:sz w:val="20"/>
              </w:rPr>
              <w:t>有</w:t>
            </w:r>
          </w:p>
        </w:tc>
        <w:tc>
          <w:tcPr>
            <w:tcW w:w="835" w:type="pct"/>
            <w:vMerge w:val="continue"/>
            <w:shd w:val="clear" w:color="auto" w:fill="auto"/>
            <w:vAlign w:val="center"/>
          </w:tcPr>
          <w:p w14:paraId="2D057ED8">
            <w:pPr>
              <w:spacing w:before="31" w:beforeLines="10" w:after="62" w:afterLines="20" w:line="280" w:lineRule="exact"/>
              <w:ind w:firstLine="0" w:firstLineChars="0"/>
              <w:rPr>
                <w:rFonts w:hint="eastAsia" w:ascii="汉仪书宋一简" w:eastAsia="汉仪书宋一简" w:hAnsiTheme="minorEastAsia"/>
                <w:kern w:val="0"/>
                <w:sz w:val="20"/>
              </w:rPr>
            </w:pPr>
          </w:p>
        </w:tc>
      </w:tr>
    </w:tbl>
    <w:p w14:paraId="1682D889">
      <w:pPr>
        <w:ind w:firstLine="420"/>
        <w:rPr>
          <w:rFonts w:hint="eastAsia" w:ascii="汉仪书宋二简"/>
          <w:b/>
        </w:rPr>
      </w:pPr>
      <w:r>
        <w:rPr>
          <w:rFonts w:hint="eastAsia" w:ascii="楷体" w:hAnsi="楷体" w:eastAsia="楷体" w:cs="仿宋"/>
          <w:kern w:val="0"/>
        </w:rPr>
        <mc:AlternateContent>
          <mc:Choice Requires="wpg">
            <w:drawing>
              <wp:anchor distT="0" distB="0" distL="114300" distR="114300" simplePos="0" relativeHeight="251660288" behindDoc="1" locked="0" layoutInCell="1" allowOverlap="1">
                <wp:simplePos x="0" y="0"/>
                <wp:positionH relativeFrom="margin">
                  <wp:posOffset>91440</wp:posOffset>
                </wp:positionH>
                <wp:positionV relativeFrom="paragraph">
                  <wp:posOffset>110490</wp:posOffset>
                </wp:positionV>
                <wp:extent cx="5360670" cy="362585"/>
                <wp:effectExtent l="0" t="0" r="11430" b="0"/>
                <wp:wrapNone/>
                <wp:docPr id="297616137" name="组合 6"/>
                <wp:cNvGraphicFramePr/>
                <a:graphic xmlns:a="http://schemas.openxmlformats.org/drawingml/2006/main">
                  <a:graphicData uri="http://schemas.microsoft.com/office/word/2010/wordprocessingGroup">
                    <wpg:wgp>
                      <wpg:cNvGrpSpPr/>
                      <wpg:grpSpPr>
                        <a:xfrm>
                          <a:off x="0" y="0"/>
                          <a:ext cx="5360670" cy="362585"/>
                          <a:chOff x="0" y="0"/>
                          <a:chExt cx="5361050" cy="362971"/>
                        </a:xfrm>
                      </wpg:grpSpPr>
                      <wpg:grpSp>
                        <wpg:cNvPr id="1819701544" name="组合 5"/>
                        <wpg:cNvGrpSpPr/>
                        <wpg:grpSpPr>
                          <a:xfrm>
                            <a:off x="38100" y="126073"/>
                            <a:ext cx="5322950" cy="180134"/>
                            <a:chOff x="2321" y="16113"/>
                            <a:chExt cx="5322950" cy="180134"/>
                          </a:xfrm>
                        </wpg:grpSpPr>
                        <wps:wsp>
                          <wps:cNvPr id="207100939"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948985458" name="组合 4"/>
                          <wpg:cNvGrpSpPr/>
                          <wpg:grpSpPr>
                            <a:xfrm>
                              <a:off x="635903" y="30170"/>
                              <a:ext cx="144000" cy="144000"/>
                              <a:chOff x="-62661" y="0"/>
                              <a:chExt cx="144000" cy="144000"/>
                            </a:xfrm>
                          </wpg:grpSpPr>
                          <wps:wsp>
                            <wps:cNvPr id="1987266894"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3521987"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65703789"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96554624" name="矩形 1"/>
                        <wps:cNvSpPr/>
                        <wps:spPr>
                          <a:xfrm>
                            <a:off x="0" y="0"/>
                            <a:ext cx="735496" cy="362971"/>
                          </a:xfrm>
                          <a:prstGeom prst="rect">
                            <a:avLst/>
                          </a:prstGeom>
                          <a:noFill/>
                          <a:ln w="12700" cap="flat" cmpd="sng" algn="ctr">
                            <a:noFill/>
                            <a:prstDash val="solid"/>
                            <a:miter lim="800000"/>
                          </a:ln>
                          <a:effectLst/>
                        </wps:spPr>
                        <wps:txbx>
                          <w:txbxContent>
                            <w:p w14:paraId="5C51BC64">
                              <w:pPr>
                                <w:ind w:firstLine="0" w:firstLineChars="0"/>
                                <w:rPr>
                                  <w:rFonts w:hint="eastAsia" w:ascii="汉仪粗黑简" w:eastAsia="汉仪粗黑简"/>
                                  <w:color w:val="FFFFFF"/>
                                </w:rPr>
                              </w:pPr>
                              <w:r>
                                <w:rPr>
                                  <w:rFonts w:hint="eastAsia" w:ascii="汉仪粗黑简" w:eastAsia="汉仪粗黑简"/>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7.2pt;margin-top:8.7pt;height:28.55pt;width:422.1pt;mso-position-horizontal-relative:margin;z-index:-251656192;mso-width-relative:page;mso-height-relative:page;" coordsize="5361050,362971" o:gfxdata="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">
                <o:lock v:ext="edit" aspectratio="f"/>
                <v:group id="组合 5" o:spid="_x0000_s1026" o:spt="203" style="position:absolute;left:38100;top:126073;height:180134;width:5322950;" coordorigin="2321,16113" coordsize="5322950,180134" o:gfxdata="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HKgPVwgAAAOMAAAAPAAAAAAAAAAEAIAAAACIAAABkcnMvZG93bnJl&#10;di54bWxQSwECFAAUAAAACACHTuJAMy8FnjsAAAA5AAAAFQAAAAAAAAABACAAAAARAQAAZHJzL2dy&#10;b3Vwc2hhcGV4bWwueG1sUEsFBgAAAAAGAAYAYAEAAM4DAAAAAA==&#10;">
                  <o:lock v:ext="edit" aspectratio="f"/>
                  <v:rect id="矩形 1" o:spid="_x0000_s1026" o:spt="1" style="position:absolute;left:2321;top:16247;height:180000;width:828000;v-text-anchor:middle;" fillcolor="#FF0000" filled="t" stroked="f" coordsize="21600,21600" o:gfxdata="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NPN/&#10;wAAAAOI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rect>
                  <v:group id="组合 4" o:spid="_x0000_s1026" o:spt="203" style="position:absolute;left:635903;top:30170;height:144000;width:144000;" coordorigin="-62661,0" coordsize="144000,144000" o:gfxdata="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El1knMYAAADjAAAADwAAAAAAAAABACAAAAAiAAAAZHJzL2Rv&#10;d25yZXYueG1sUEsBAhQAFAAAAAgAh07iQDMvBZ47AAAAOQAAABUAAAAAAAAAAQAgAAAAFQEAAGRy&#10;cy9ncm91cHNoYXBleG1sLnhtbFBLBQYAAAAABgAGAGABAADSAwAAAAA=&#10;">
                    <o:lock v:ext="edit" aspectratio="f"/>
                    <v:shape id="椭圆 2" o:spid="_x0000_s1026" o:spt="3" type="#_x0000_t3" style="position:absolute;left:-62661;top:0;height:144000;width:144000;v-text-anchor:middle;" fillcolor="#FFFFFF [3212]" filled="t" stroked="f" coordsize="21600,21600" o:gfxdata="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Hs+K/&#10;AAAA4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shape id="等腰三角形 3" o:spid="_x0000_s1026" o:spt="5" type="#_x0000_t5" style="position:absolute;left:-19190;top:36509;height:71972;width:83488;rotation:5898240f;v-text-anchor:middle;" fillcolor="#FF0000" filled="t" stroked="f" coordsize="21600,21600" o:gfxdata="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VsUMwwAAAOIAAAAPAAAAAAAAAAEAIAAAACIAAABkcnMvZG93bnJldi54bWxQSwECFAAUAAAACACH&#10;TuJAMy8FnjsAAAA5AAAAEAAAAAAAAAABACAAAAASAQAAZHJzL3NoYXBleG1sLnhtbFBLBQYAAAAA&#10;BgAGAFsBAAC8AwAAAAA=&#10;" adj="10800">
                      <v:fill on="t" focussize="0,0"/>
                      <v:stroke on="f" weight="1pt" miterlimit="8" joinstyle="miter"/>
                      <v:imagedata o:title=""/>
                      <o:lock v:ext="edit" aspectratio="f"/>
                    </v:shape>
                  </v:group>
                  <v:rect id="矩形 1" o:spid="_x0000_s1026" o:spt="1" style="position:absolute;left:829434;top:16113;height:180000;width:4495837;v-text-anchor:middle;" fillcolor="#FFF9E5 [342]" filled="t" stroked="f" coordsize="21600,21600" o:gfxdata="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CX3DnFAAAA4wAAAA8AAAAAAAAAAQAgAAAAIgAAAGRycy9kb3ducmV2LnhtbFBLAQIUABQAAAAI&#10;AIdO4kAzLwWeOwAAADkAAAAQAAAAAAAAAAEAIAAAABQBAABkcnMvc2hhcGV4bWwueG1sUEsFBgAA&#10;AAAGAAYAWwEAAL4DAAAAAA==&#10;">
                    <v:fill type="gradient" on="t" color2="#BFBFBF [2412]" colors="0f #FFF9E5;48497f #FEE388;54395f #D9D9D9;65536f #BFBFBF" angle="270" focus="100%" focussize="0,0" rotate="t"/>
                    <v:stroke on="f" weight="1pt" miterlimit="8" joinstyle="miter"/>
                    <v:imagedata o:title=""/>
                    <o:lock v:ext="edit" aspectratio="f"/>
                  </v:rect>
                </v:group>
                <v:rect id="矩形 1" o:spid="_x0000_s1026" o:spt="1" style="position:absolute;left:0;top:0;height:362971;width:735496;v-text-anchor:middle;" filled="f" stroked="f" coordsize="21600,21600" o:gfxdata="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T&#10;XkQswwAAAOIAAAAPAAAAAAAAAAEAIAAAACIAAABkcnMvZG93bnJldi54bWxQSwECFAAUAAAACACH&#10;TuJAMy8FnjsAAAA5AAAAEAAAAAAAAAABACAAAAASAQAAZHJzL3NoYXBleG1sLnhtbFBLBQYAAAAA&#10;BgAGAFsBAAC8AwAAAAA=&#10;">
                  <v:fill on="f" focussize="0,0"/>
                  <v:stroke on="f" weight="1pt" miterlimit="8" joinstyle="miter"/>
                  <v:imagedata o:title=""/>
                  <o:lock v:ext="edit" aspectratio="f"/>
                  <v:textbox>
                    <w:txbxContent>
                      <w:p w14:paraId="5C51BC64">
                        <w:pPr>
                          <w:ind w:firstLine="0" w:firstLineChars="0"/>
                          <w:rPr>
                            <w:rFonts w:hint="eastAsia" w:ascii="汉仪粗黑简" w:eastAsia="汉仪粗黑简"/>
                            <w:color w:val="FFFFFF"/>
                          </w:rPr>
                        </w:pPr>
                        <w:r>
                          <w:rPr>
                            <w:rFonts w:hint="eastAsia" w:ascii="汉仪粗黑简" w:eastAsia="汉仪粗黑简"/>
                            <w:color w:val="FFFFFF"/>
                          </w:rPr>
                          <w:t>难点展开</w:t>
                        </w:r>
                      </w:p>
                    </w:txbxContent>
                  </v:textbox>
                </v:rect>
              </v:group>
            </w:pict>
          </mc:Fallback>
        </mc:AlternateContent>
      </w:r>
    </w:p>
    <w:p w14:paraId="030920E5">
      <w:pPr>
        <w:ind w:firstLine="420"/>
        <w:rPr>
          <w:rFonts w:hint="eastAsia" w:ascii="汉仪书宋二简"/>
          <w:b/>
        </w:rPr>
      </w:pPr>
    </w:p>
    <w:p w14:paraId="5329C90A">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1．导致劳动者有权单方解除劳动合同的“单位过错”包括：（1）未按照劳动合同约定提供劳动保护或者劳动条件的；（2）未及时足额支付劳动报酬的；（3）未依法为劳动者缴纳社会保险费的；（4）用人单位的规章制度违反法律、法规的规定，损害劳动者权益的；（5）以欺诈、胁迫的手段或者乘人之危，使对方在违背真实意思的情况下订立或者变更劳动合同的；（6）法律、行政法规规定劳动者可以解除劳动合同的其他情形。此外，用人单位以暴力、威胁或者非法限制人身自由的手段强迫劳动者劳动的，或者用人单位违章指挥、强令冒险作业危及劳动者人身安全的，劳动者可以立即解除劳动合同，不需事先告知用人单位。</w:t>
      </w:r>
    </w:p>
    <w:p w14:paraId="051273E8">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2．导致用人单位有权单方解除劳动合同的“劳动者过错”包括：（1）严重违反用人单位的规章制度的；（2）严重失职，营私舞弊，给用人单位造成重大损害的；（3）劳动者同时与其他用人单位建立劳动关系，对完成本单位的工作任务造成严重影响，或者经用人单位提出，拒不改正的；（4）以欺诈、胁迫的手段或者乘人之危，使对方在违背真实意思的情况下订立或者变更劳动合同的；（5）被依法追究刑事责任的。</w:t>
      </w:r>
    </w:p>
    <w:p w14:paraId="2FF534A5">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3．导致用人单位有权单方解除劳动合同的“客观原因”包括：（1）劳动者患病或者非因工负伤，在规定的医疗期满后不能从事原工作，也不能从事由用人单位另行安排的工作的；（2）劳动者不能胜任工作，经过培训或者调整工作岗位，仍不能胜任工作的；（3）劳动合同订立时所依据的客观情况发生重大变化，致使劳动合同无法履行，经用人单位与劳动者协商，未能就变更劳动合同内容达成协议的。</w:t>
      </w:r>
    </w:p>
    <w:p w14:paraId="6CF15B9B">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4．关于经济性裁员。首先，经济性裁员不是一对一的解除劳动合同，而是成规模的解除劳动合同，即裁减人员20人以上或者裁减不足20人但占企业职工总数10%以上。其次，经济性裁员的原因包括：（1）依照</w:t>
      </w:r>
      <w:r>
        <w:fldChar w:fldCharType="begin"/>
      </w:r>
      <w:r>
        <w:instrText xml:space="preserve"> HYPERLINK "javascript:SLC(3066,0)" </w:instrText>
      </w:r>
      <w:r>
        <w:fldChar w:fldCharType="separate"/>
      </w:r>
      <w:r>
        <w:rPr>
          <w:rFonts w:hint="eastAsia" w:ascii="汉仪书宋二简" w:hAnsi="汉仪书宋二简" w:cs="汉仪书宋二简"/>
          <w:kern w:val="0"/>
        </w:rPr>
        <w:t>企业破产法</w:t>
      </w:r>
      <w:r>
        <w:rPr>
          <w:rFonts w:hint="eastAsia" w:ascii="汉仪书宋二简" w:hAnsi="汉仪书宋二简" w:cs="汉仪书宋二简"/>
          <w:kern w:val="0"/>
        </w:rPr>
        <w:fldChar w:fldCharType="end"/>
      </w:r>
      <w:r>
        <w:rPr>
          <w:rFonts w:hint="eastAsia" w:ascii="汉仪书宋二简" w:hAnsi="汉仪书宋二简" w:cs="汉仪书宋二简"/>
          <w:kern w:val="0"/>
        </w:rPr>
        <w:t>规定进行重整的；（2）生产经营发生严重困难的；（3）企业转产、重大技术革新或者经营方式调整，经变更劳动合同后，仍需裁减人员的；（4）其他因劳动合同订立时所依据的客观经济情况发生重大变化，致使劳动合同无法履行的。再次，裁减人员时，应当优先留用下列人员：（1）与本单位订立较长期限的固定期限劳动合同的；（2）与本单位订立无固定期限劳动合同的；（3）家庭无其他就业人员，有需要扶养的老人或者未成年人的。最后，用人单位裁减人员，在6个月内重新招用人员的，应当通知被裁减的人员，并在同等条件下优先招用被裁减的人员。</w:t>
      </w:r>
    </w:p>
    <w:p w14:paraId="025435F5">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5．“特别限制”包括：（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15年，且距法定退休年龄不足5年的；（6）法律、行政法规规定的其他情形。需要注意的是，除上表中注明的以外，劳动合同的解除或者终止不适用“特别限制”。例如，如果劳动者严重违反规章制度，即使在规定的医疗期内，用人单位依然有权解除合同。</w:t>
      </w:r>
    </w:p>
    <w:p w14:paraId="73A6BA2A">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6．违法解除合同的后果。（1）用人单位违法解除或者终止劳动合同，劳动者要求继续履行劳动合同的，用人单位应当继续履行；劳动者不要求继续履行劳动合同或者劳动合同已经不能继续履行的，用人单位应当依照经济补偿标准的2倍向劳动者支付赔偿金，但不再支付补偿金。用人单位单方解除劳动合同，未事先通知工会，劳动者以用人单位违法解除劳动合同为由请求用人单位支付赔偿金的，人民法院应予支持，但起诉前用人单位已经补正有关程序的除外。（2）劳动者违反本法规定解除劳动合同，或者违反劳动合同中约定的保密义务或者竞业限制，给用人单位造成损失的，应当承担赔偿责任。（3）用人单位招用与其他用人单位尚未解除或者终止劳动合同的劳动者，给其他用人单位造成损失的，应当承担连带赔偿责任。</w:t>
      </w:r>
    </w:p>
    <w:p w14:paraId="5E40C602">
      <w:pPr>
        <w:ind w:left="420" w:leftChars="200" w:right="420" w:rightChars="200" w:firstLine="420"/>
        <w:rPr>
          <w:rFonts w:hint="eastAsia" w:ascii="汉仪书宋二简" w:hAnsi="汉仪书宋二简" w:cs="汉仪书宋二简"/>
          <w:kern w:val="0"/>
        </w:rPr>
      </w:pPr>
      <w:r>
        <w:rPr>
          <w:rFonts w:hint="eastAsia" w:ascii="汉仪书宋二简" w:hAnsi="汉仪书宋二简" w:cs="汉仪书宋二简"/>
          <w:kern w:val="0"/>
        </w:rPr>
        <w:t>7．经济补偿。（1）经济补偿的适用范围已如上表所示，概括起来说，若非因劳动者的原因造成劳动合同解除或终止，用人单位需要支付经济补偿。（2）经济补偿按劳动者在本单位工作的年限（劳动者非因本人原因从原用人单位被安排到新用人单位工作，原用人单位未支付经济补偿的，劳动者在原用人单位的工作年限合并计算为新用人单位的工作年限），每满1年支付1个月工资的标准向劳动者支付。6个月以上不满1年的，按1年计算；不满6个月的，向劳动者支付半个月工资的经济补偿。月工资是指劳动者在劳动合同解除或者终止前12个月的平均工资，</w:t>
      </w:r>
      <w:r>
        <w:rPr>
          <w:rFonts w:hint="eastAsia" w:ascii="汉仪书宋二简" w:hAnsi="汉仪书宋二简" w:cs="汉仪书宋二简"/>
          <w:color w:val="0000FF"/>
          <w:kern w:val="0"/>
        </w:rPr>
        <w:t>包括计时工资或者计件工资以及奖金、津贴和补贴等货币性收入，</w:t>
      </w:r>
      <w:r>
        <w:rPr>
          <w:rFonts w:hint="eastAsia" w:ascii="汉仪书宋二简" w:hAnsi="汉仪书宋二简" w:cs="汉仪书宋二简"/>
          <w:kern w:val="0"/>
        </w:rPr>
        <w:t>且最低按当地最低工资标准计算。劳动者月工资高于用人单位所在地区上年度职工月平均工资3倍的，</w:t>
      </w:r>
      <w:r>
        <w:rPr>
          <w:rFonts w:hint="eastAsia" w:ascii="汉仪书宋二简" w:hAnsi="汉仪书宋二简" w:cs="汉仪书宋二简"/>
          <w:color w:val="0000FF"/>
          <w:kern w:val="0"/>
        </w:rPr>
        <w:t>向其支付经济补偿的标准按职工月平均工资3倍的数额支付，向其支付经济补偿的年限最高不超过12年</w:t>
      </w:r>
      <w:r>
        <w:rPr>
          <w:rFonts w:hint="eastAsia" w:ascii="汉仪书宋二简" w:hAnsi="汉仪书宋二简" w:cs="汉仪书宋二简"/>
          <w:color w:val="0000FF"/>
          <w:kern w:val="0"/>
          <w:lang w:eastAsia="zh-CN"/>
        </w:rPr>
        <w:t>（</w:t>
      </w:r>
      <w:r>
        <w:rPr>
          <w:rFonts w:hint="eastAsia" w:ascii="汉仪书宋二简" w:hAnsi="汉仪书宋二简" w:cs="汉仪书宋二简"/>
          <w:color w:val="0000FF"/>
          <w:kern w:val="0"/>
          <w:lang w:val="en-US" w:eastAsia="zh-CN"/>
        </w:rPr>
        <w:t>最多12倍</w:t>
      </w:r>
      <w:r>
        <w:rPr>
          <w:rFonts w:hint="eastAsia" w:ascii="汉仪书宋二简" w:hAnsi="汉仪书宋二简" w:cs="汉仪书宋二简"/>
          <w:color w:val="0000FF"/>
          <w:kern w:val="0"/>
          <w:lang w:eastAsia="zh-CN"/>
        </w:rPr>
        <w:t>）</w:t>
      </w:r>
      <w:r>
        <w:rPr>
          <w:rFonts w:hint="eastAsia" w:ascii="汉仪书宋二简" w:hAnsi="汉仪书宋二简" w:cs="汉仪书宋二简"/>
          <w:kern w:val="0"/>
        </w:rPr>
        <w:t>。（3）在办理工作交接时一次性支付。</w:t>
      </w:r>
    </w:p>
    <w:p w14:paraId="54D242B5">
      <w:pPr>
        <w:pStyle w:val="3"/>
        <w:rPr>
          <w:rFonts w:hint="eastAsia" w:ascii="汉仪书宋二简"/>
          <w:b/>
        </w:rPr>
      </w:pPr>
      <w:bookmarkStart w:id="2" w:name="OLE_LINK5"/>
      <w:r>
        <w:rPr>
          <w:rFonts w:hint="eastAsia"/>
        </w:rPr>
        <w:t>四、特殊劳动合同</w:t>
      </w:r>
      <w:bookmarkEnd w:id="2"/>
    </w:p>
    <w:p w14:paraId="1A587DBE">
      <w:pPr>
        <w:pStyle w:val="4"/>
        <w:ind w:firstLine="288" w:firstLineChars="120"/>
        <w:jc w:val="both"/>
        <w:rPr>
          <w:rFonts w:hint="eastAsia"/>
        </w:rPr>
      </w:pPr>
      <w:r>
        <w:rPr>
          <w:rFonts w:hint="eastAsia"/>
        </w:rPr>
        <w:t>（一）劳务派遣</w:t>
      </w:r>
    </w:p>
    <w:p w14:paraId="2A22D1D0">
      <w:pPr>
        <w:ind w:left="0" w:leftChars="0" w:firstLine="0" w:firstLineChars="0"/>
        <w:rPr>
          <w:rFonts w:hint="eastAsia" w:ascii="汉仪书宋二简"/>
          <w:color w:val="0000FF"/>
          <w:kern w:val="0"/>
          <w:lang w:val="en-US" w:eastAsia="zh-CN"/>
        </w:rPr>
      </w:pPr>
      <w:r>
        <w:rPr>
          <w:rFonts w:hint="eastAsia" w:ascii="汉仪书宋二简"/>
          <w:color w:val="0000FF"/>
          <w:kern w:val="0"/>
          <w:lang w:val="en-US" w:eastAsia="zh-CN"/>
        </w:rPr>
        <w:t>为了降低成本</w:t>
      </w:r>
    </w:p>
    <w:p w14:paraId="48CEA9CA">
      <w:pPr>
        <w:ind w:left="0" w:leftChars="0" w:firstLine="0" w:firstLineChars="0"/>
        <w:rPr>
          <w:rFonts w:hint="default" w:ascii="汉仪书宋二简"/>
          <w:color w:val="0000FF"/>
          <w:kern w:val="0"/>
          <w:lang w:val="en-US" w:eastAsia="zh-CN"/>
        </w:rPr>
      </w:pPr>
      <w:r>
        <w:rPr>
          <w:rFonts w:hint="eastAsia" w:ascii="汉仪书宋二简"/>
          <w:color w:val="0000FF"/>
          <w:kern w:val="0"/>
          <w:lang w:val="en-US" w:eastAsia="zh-CN"/>
        </w:rPr>
        <w:t>用工中介不是劳务派遣，中介只是媒介</w:t>
      </w: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089"/>
        <w:gridCol w:w="7416"/>
      </w:tblGrid>
      <w:tr w14:paraId="5865362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0" w:type="pct"/>
            <w:shd w:val="clear" w:color="auto" w:fill="auto"/>
            <w:vAlign w:val="center"/>
          </w:tcPr>
          <w:p w14:paraId="5A268988">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适用范围</w:t>
            </w:r>
          </w:p>
        </w:tc>
        <w:tc>
          <w:tcPr>
            <w:tcW w:w="4360" w:type="pct"/>
            <w:shd w:val="clear" w:color="auto" w:fill="auto"/>
            <w:vAlign w:val="center"/>
          </w:tcPr>
          <w:p w14:paraId="13770771">
            <w:pPr>
              <w:widowControl/>
              <w:shd w:val="clear" w:color="auto" w:fill="FFFFFF"/>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劳务派遣用工是补充形式，只能在</w:t>
            </w:r>
            <w:r>
              <w:rPr>
                <w:rFonts w:hint="eastAsia" w:ascii="汉仪书宋一简" w:hAnsi="楷体" w:eastAsia="汉仪中黑简" w:cs="楷体"/>
                <w:color w:val="FF0000"/>
                <w:kern w:val="0"/>
                <w:sz w:val="20"/>
              </w:rPr>
              <w:t>临时性、辅助性或者替代性</w:t>
            </w:r>
            <w:r>
              <w:rPr>
                <w:rFonts w:hint="eastAsia" w:ascii="汉仪书宋一简" w:eastAsia="汉仪书宋一简"/>
                <w:kern w:val="0"/>
                <w:sz w:val="20"/>
              </w:rPr>
              <w:t>的工作岗位上实施</w:t>
            </w:r>
          </w:p>
        </w:tc>
      </w:tr>
      <w:tr w14:paraId="71459E8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0" w:type="pct"/>
            <w:vMerge w:val="restart"/>
            <w:shd w:val="clear" w:color="auto" w:fill="auto"/>
            <w:vAlign w:val="center"/>
          </w:tcPr>
          <w:p w14:paraId="3DDAF6D8">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派遣单位</w:t>
            </w:r>
          </w:p>
        </w:tc>
        <w:tc>
          <w:tcPr>
            <w:tcW w:w="4360" w:type="pct"/>
            <w:shd w:val="clear" w:color="auto" w:fill="auto"/>
            <w:vAlign w:val="center"/>
          </w:tcPr>
          <w:p w14:paraId="143C884D">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性质：</w:t>
            </w:r>
            <w:r>
              <w:rPr>
                <w:rFonts w:hint="eastAsia" w:ascii="汉仪书宋一简" w:hAnsi="楷体" w:eastAsia="汉仪中黑简" w:cs="楷体"/>
                <w:color w:val="FF0000"/>
                <w:kern w:val="0"/>
                <w:sz w:val="20"/>
              </w:rPr>
              <w:t>是用人单位</w:t>
            </w:r>
            <w:r>
              <w:rPr>
                <w:rFonts w:hint="eastAsia" w:ascii="汉仪书宋一简" w:eastAsia="汉仪书宋一简"/>
                <w:kern w:val="0"/>
                <w:sz w:val="20"/>
              </w:rPr>
              <w:t>，与劳动者之间建立劳动关系，应当履行用人单位对劳动者的义务。如发生工伤，劳务派遣单位承担工伤保险责任，但可以与用工单位约定补偿办法</w:t>
            </w:r>
          </w:p>
        </w:tc>
      </w:tr>
      <w:tr w14:paraId="082D3BF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0" w:type="pct"/>
            <w:vMerge w:val="continue"/>
            <w:shd w:val="clear" w:color="auto" w:fill="auto"/>
            <w:vAlign w:val="center"/>
          </w:tcPr>
          <w:p w14:paraId="16E08A5A">
            <w:pPr>
              <w:spacing w:before="31" w:beforeLines="10" w:after="62" w:afterLines="20" w:line="280" w:lineRule="exact"/>
              <w:ind w:firstLine="0" w:firstLineChars="0"/>
              <w:jc w:val="center"/>
              <w:rPr>
                <w:rFonts w:hint="eastAsia" w:ascii="汉仪中黑简" w:eastAsia="汉仪中黑简"/>
                <w:bCs/>
                <w:kern w:val="0"/>
                <w:sz w:val="20"/>
              </w:rPr>
            </w:pPr>
          </w:p>
        </w:tc>
        <w:tc>
          <w:tcPr>
            <w:tcW w:w="4360" w:type="pct"/>
            <w:shd w:val="clear" w:color="auto" w:fill="auto"/>
            <w:vAlign w:val="center"/>
          </w:tcPr>
          <w:p w14:paraId="56AEA1F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对劳动者的义务：</w:t>
            </w:r>
          </w:p>
          <w:p w14:paraId="2A14095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（1）应当与被派遣劳动者订立2年以上的固定期限劳动合同（还应当载明被派遣劳动者的用工单位以及派遣期限、工作岗位等情况），按月支付劳动报酬</w:t>
            </w:r>
          </w:p>
          <w:p w14:paraId="15D6668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（2）在被派遣劳动者无工作期间，应当按照所在地最低工资标准向其按月支付报酬</w:t>
            </w:r>
          </w:p>
          <w:p w14:paraId="7C601BE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（3）不得克扣用工单位按照劳务派遣协议支付给被派遣劳动者的劳动报酬</w:t>
            </w:r>
          </w:p>
          <w:p w14:paraId="4A6A5049">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（4）不得以非全日制用工形式招用被派遣劳动者</w:t>
            </w:r>
          </w:p>
          <w:p w14:paraId="3F284D6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（5）应当将劳务派遣协议的内容告知被派遣劳动者</w:t>
            </w:r>
          </w:p>
        </w:tc>
      </w:tr>
      <w:tr w14:paraId="3C99410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0" w:type="pct"/>
            <w:vMerge w:val="continue"/>
            <w:shd w:val="clear" w:color="auto" w:fill="auto"/>
            <w:vAlign w:val="center"/>
          </w:tcPr>
          <w:p w14:paraId="4A61146B">
            <w:pPr>
              <w:spacing w:before="31" w:beforeLines="10" w:after="62" w:afterLines="20" w:line="280" w:lineRule="exact"/>
              <w:ind w:firstLine="0" w:firstLineChars="0"/>
              <w:jc w:val="center"/>
              <w:rPr>
                <w:rFonts w:hint="eastAsia" w:ascii="汉仪中黑简" w:eastAsia="汉仪中黑简"/>
                <w:bCs/>
                <w:kern w:val="0"/>
                <w:sz w:val="20"/>
              </w:rPr>
            </w:pPr>
          </w:p>
        </w:tc>
        <w:tc>
          <w:tcPr>
            <w:tcW w:w="4360" w:type="pct"/>
            <w:shd w:val="clear" w:color="auto" w:fill="auto"/>
            <w:vAlign w:val="center"/>
          </w:tcPr>
          <w:p w14:paraId="0959297C">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禁止用人单位或其所属单位出资或者合伙设立的劳务派遣单位，向本单位或者所属单位派遣劳动者</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自招自派禁止</w:t>
            </w:r>
            <w:r>
              <w:rPr>
                <w:rFonts w:hint="eastAsia" w:ascii="汉仪书宋一简" w:eastAsia="汉仪书宋一简"/>
                <w:color w:val="0000FF"/>
                <w:kern w:val="0"/>
                <w:sz w:val="20"/>
                <w:lang w:eastAsia="zh-CN"/>
              </w:rPr>
              <w:t>）</w:t>
            </w:r>
          </w:p>
        </w:tc>
      </w:tr>
    </w:tbl>
    <w:p w14:paraId="1EBF97D4">
      <w:pPr>
        <w:ind w:firstLine="420"/>
        <w:rPr>
          <w:rFonts w:hint="eastAsia"/>
        </w:rPr>
      </w:pPr>
    </w:p>
    <w:p w14:paraId="578F1173">
      <w:pPr>
        <w:ind w:firstLine="420"/>
        <w:rPr>
          <w:rFonts w:hint="eastAsia"/>
        </w:rPr>
      </w:pPr>
    </w:p>
    <w:tbl>
      <w:tblPr>
        <w:tblStyle w:val="7"/>
        <w:tblW w:w="4990" w:type="pct"/>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417"/>
        <w:gridCol w:w="8088"/>
      </w:tblGrid>
      <w:tr w14:paraId="57AF43E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5" w:type="pct"/>
            <w:vMerge w:val="restart"/>
            <w:shd w:val="clear" w:color="auto" w:fill="auto"/>
            <w:vAlign w:val="center"/>
          </w:tcPr>
          <w:p w14:paraId="5E5F9DB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用工单位</w:t>
            </w:r>
          </w:p>
        </w:tc>
        <w:tc>
          <w:tcPr>
            <w:tcW w:w="4754" w:type="pct"/>
            <w:shd w:val="clear" w:color="auto" w:fill="auto"/>
            <w:vAlign w:val="center"/>
          </w:tcPr>
          <w:p w14:paraId="1532C4A9">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hAnsi="楷体" w:eastAsia="汉仪中黑简" w:cs="楷体"/>
                <w:color w:val="FF0000"/>
                <w:kern w:val="0"/>
                <w:sz w:val="20"/>
              </w:rPr>
              <w:t>不是用人单位</w:t>
            </w:r>
            <w:r>
              <w:rPr>
                <w:rFonts w:hint="eastAsia" w:ascii="汉仪书宋一简" w:eastAsia="汉仪书宋一简"/>
                <w:kern w:val="0"/>
                <w:sz w:val="20"/>
              </w:rPr>
              <w:t>，与劳动者之间不存在劳动关系</w:t>
            </w:r>
          </w:p>
        </w:tc>
      </w:tr>
      <w:tr w14:paraId="7B7682A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5" w:type="pct"/>
            <w:vMerge w:val="continue"/>
            <w:shd w:val="clear" w:color="auto" w:fill="auto"/>
            <w:vAlign w:val="center"/>
          </w:tcPr>
          <w:p w14:paraId="79CE1F08">
            <w:pPr>
              <w:spacing w:before="31" w:beforeLines="10" w:after="62" w:afterLines="20" w:line="280" w:lineRule="exact"/>
              <w:ind w:firstLine="0" w:firstLineChars="0"/>
              <w:rPr>
                <w:rFonts w:hint="eastAsia" w:ascii="汉仪书宋一简" w:eastAsia="汉仪书宋一简"/>
                <w:b/>
                <w:kern w:val="0"/>
                <w:sz w:val="20"/>
              </w:rPr>
            </w:pPr>
          </w:p>
        </w:tc>
        <w:tc>
          <w:tcPr>
            <w:tcW w:w="4754" w:type="pct"/>
            <w:shd w:val="clear" w:color="auto" w:fill="auto"/>
            <w:vAlign w:val="center"/>
          </w:tcPr>
          <w:p w14:paraId="738975BB">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用工单位应当履行下列义务：（1）执行国家劳动标准，提供相应的劳动条件和劳动保护；（2）告知被派遣劳动者的工作要求和劳动报酬；（3）支付加班费、绩效奖金，提供与工作岗位相关的福利待遇；（4）对在岗被派遣劳动者进行工作岗位所必需的培训；（5）连续用工的，实行正常的工资调整机制；（6）用工单位</w:t>
            </w:r>
            <w:r>
              <w:rPr>
                <w:rFonts w:hint="eastAsia" w:ascii="汉仪书宋一简" w:hAnsi="楷体" w:eastAsia="汉仪中黑简" w:cs="楷体"/>
                <w:color w:val="FF0000"/>
                <w:kern w:val="0"/>
                <w:sz w:val="20"/>
              </w:rPr>
              <w:t>不得将被派遣劳动者再派遣到其他用人单位</w:t>
            </w:r>
            <w:r>
              <w:rPr>
                <w:rFonts w:hint="eastAsia" w:ascii="汉仪书宋一简" w:eastAsia="汉仪书宋一简"/>
                <w:kern w:val="0"/>
                <w:sz w:val="20"/>
              </w:rPr>
              <w:t>；（7）用工单位应当根据工作岗位的实际需要与劳务派遣单位确定派遣期限，</w:t>
            </w:r>
            <w:r>
              <w:rPr>
                <w:rFonts w:hint="eastAsia" w:ascii="汉仪书宋一简" w:hAnsi="楷体" w:eastAsia="汉仪中黑简" w:cs="楷体"/>
                <w:color w:val="FF0000"/>
                <w:kern w:val="0"/>
                <w:sz w:val="20"/>
              </w:rPr>
              <w:t>不得将连续用工期限分割订立数个短期劳务派遣协议</w:t>
            </w:r>
            <w:r>
              <w:rPr>
                <w:rFonts w:hint="eastAsia" w:ascii="汉仪书宋一简" w:eastAsia="汉仪书宋一简"/>
                <w:kern w:val="0"/>
                <w:sz w:val="20"/>
              </w:rPr>
              <w:t>；（8）用工单位应当按照同工同酬原则，对被派遣劳动者与本单位同类岗位的劳动者实行相同的劳动报酬分配办法。用工单位无同类岗位劳动者的，参照用工单位所在地相同或者相近岗位劳动者的劳动报酬确定</w:t>
            </w:r>
          </w:p>
          <w:p w14:paraId="7002DB72">
            <w:pPr>
              <w:spacing w:before="31" w:beforeLines="10" w:after="62" w:afterLines="20" w:line="280" w:lineRule="exact"/>
              <w:ind w:firstLine="0" w:firstLineChars="0"/>
              <w:rPr>
                <w:rFonts w:hint="default" w:ascii="汉仪书宋一简" w:eastAsia="汉仪书宋一简"/>
                <w:kern w:val="0"/>
                <w:sz w:val="20"/>
                <w:lang w:val="en-US" w:eastAsia="zh-CN"/>
              </w:rPr>
            </w:pPr>
            <w:r>
              <w:rPr>
                <w:rFonts w:hint="eastAsia" w:ascii="汉仪书宋一简" w:eastAsia="汉仪书宋一简"/>
                <w:color w:val="0000FF"/>
                <w:kern w:val="0"/>
                <w:sz w:val="20"/>
                <w:lang w:val="en-US" w:eastAsia="zh-CN"/>
              </w:rPr>
              <w:t>用工单位不是用人单位</w:t>
            </w:r>
          </w:p>
        </w:tc>
      </w:tr>
      <w:tr w14:paraId="0750B4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45" w:type="pct"/>
            <w:vMerge w:val="continue"/>
            <w:shd w:val="clear" w:color="auto" w:fill="auto"/>
            <w:vAlign w:val="center"/>
          </w:tcPr>
          <w:p w14:paraId="0C7EA33A">
            <w:pPr>
              <w:spacing w:before="31" w:beforeLines="10" w:after="62" w:afterLines="20" w:line="280" w:lineRule="exact"/>
              <w:ind w:firstLine="0" w:firstLineChars="0"/>
              <w:rPr>
                <w:rFonts w:hint="eastAsia" w:ascii="汉仪书宋一简" w:eastAsia="汉仪书宋一简"/>
                <w:b/>
                <w:kern w:val="0"/>
                <w:sz w:val="20"/>
              </w:rPr>
            </w:pPr>
          </w:p>
        </w:tc>
        <w:tc>
          <w:tcPr>
            <w:tcW w:w="4754" w:type="pct"/>
            <w:shd w:val="clear" w:color="auto" w:fill="auto"/>
            <w:vAlign w:val="center"/>
          </w:tcPr>
          <w:p w14:paraId="71488CD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被派遣劳动者享有的劳动报酬和劳动条件，按照用工单位所在地的标准执行</w:t>
            </w:r>
          </w:p>
        </w:tc>
      </w:tr>
    </w:tbl>
    <w:p w14:paraId="62092BF6">
      <w:pPr>
        <w:ind w:firstLine="420"/>
        <w:rPr>
          <w:rFonts w:hint="eastAsia" w:ascii="汉仪书宋二简"/>
          <w:b/>
        </w:rPr>
      </w:pPr>
    </w:p>
    <w:p w14:paraId="32B3B7DB">
      <w:pPr>
        <w:pStyle w:val="4"/>
        <w:ind w:firstLine="288" w:firstLineChars="120"/>
        <w:jc w:val="both"/>
        <w:rPr>
          <w:rFonts w:hint="eastAsia"/>
        </w:rPr>
      </w:pPr>
      <w:r>
        <w:rPr>
          <w:rFonts w:hint="eastAsia"/>
        </w:rPr>
        <w:t>（二）集体合同</w:t>
      </w:r>
    </w:p>
    <w:p w14:paraId="60297F39">
      <w:pPr>
        <w:ind w:firstLine="420"/>
        <w:rPr>
          <w:rFonts w:hint="eastAsia" w:ascii="汉仪书宋二简"/>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090"/>
        <w:gridCol w:w="7415"/>
      </w:tblGrid>
      <w:tr w14:paraId="5810823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1" w:type="pct"/>
            <w:vMerge w:val="restart"/>
            <w:shd w:val="clear" w:color="auto" w:fill="auto"/>
            <w:vAlign w:val="center"/>
          </w:tcPr>
          <w:p w14:paraId="33A10B80">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订立</w:t>
            </w:r>
          </w:p>
        </w:tc>
        <w:tc>
          <w:tcPr>
            <w:tcW w:w="4359" w:type="pct"/>
            <w:shd w:val="clear" w:color="auto" w:fill="auto"/>
            <w:vAlign w:val="center"/>
          </w:tcPr>
          <w:p w14:paraId="4442F72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集体合同草案应当提交职工代表大会或者全体职工讨论通过</w:t>
            </w:r>
          </w:p>
        </w:tc>
      </w:tr>
      <w:tr w14:paraId="79AB960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1" w:type="pct"/>
            <w:vMerge w:val="continue"/>
            <w:shd w:val="clear" w:color="auto" w:fill="auto"/>
            <w:vAlign w:val="center"/>
          </w:tcPr>
          <w:p w14:paraId="0C6032CD">
            <w:pPr>
              <w:spacing w:before="31" w:beforeLines="10" w:after="62" w:afterLines="20" w:line="280" w:lineRule="exact"/>
              <w:ind w:firstLine="0" w:firstLineChars="0"/>
              <w:jc w:val="center"/>
              <w:rPr>
                <w:rFonts w:hint="eastAsia" w:ascii="汉仪中黑简" w:eastAsia="汉仪中黑简"/>
                <w:bCs/>
                <w:kern w:val="0"/>
                <w:sz w:val="20"/>
              </w:rPr>
            </w:pPr>
          </w:p>
        </w:tc>
        <w:tc>
          <w:tcPr>
            <w:tcW w:w="4359" w:type="pct"/>
            <w:shd w:val="clear" w:color="auto" w:fill="auto"/>
            <w:vAlign w:val="center"/>
          </w:tcPr>
          <w:p w14:paraId="6189AC8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集体合同由工会代表企业职工一方与用人单位订立；尚未建立工会的用人单位，由上级工会指导劳动者推举的代表与用人单位订立</w:t>
            </w:r>
          </w:p>
        </w:tc>
      </w:tr>
      <w:tr w14:paraId="67FF78E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1" w:type="pct"/>
            <w:vMerge w:val="continue"/>
            <w:shd w:val="clear" w:color="auto" w:fill="auto"/>
            <w:vAlign w:val="center"/>
          </w:tcPr>
          <w:p w14:paraId="46A730C2">
            <w:pPr>
              <w:spacing w:before="31" w:beforeLines="10" w:after="62" w:afterLines="20" w:line="280" w:lineRule="exact"/>
              <w:ind w:firstLine="0" w:firstLineChars="0"/>
              <w:jc w:val="center"/>
              <w:rPr>
                <w:rFonts w:hint="eastAsia" w:ascii="汉仪中黑简" w:eastAsia="汉仪中黑简"/>
                <w:bCs/>
                <w:kern w:val="0"/>
                <w:sz w:val="20"/>
              </w:rPr>
            </w:pPr>
          </w:p>
        </w:tc>
        <w:tc>
          <w:tcPr>
            <w:tcW w:w="4359" w:type="pct"/>
            <w:shd w:val="clear" w:color="auto" w:fill="auto"/>
            <w:vAlign w:val="center"/>
          </w:tcPr>
          <w:p w14:paraId="17064E8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集体合同订立后，应当报送劳动部门；劳动部门自收到集体合同文本之日起15日内未提出异议的，集体合同即行生效</w:t>
            </w:r>
          </w:p>
        </w:tc>
      </w:tr>
    </w:tbl>
    <w:p w14:paraId="7FD9113E">
      <w:pPr>
        <w:spacing w:line="100" w:lineRule="exact"/>
        <w:ind w:firstLine="420"/>
        <w:rPr>
          <w:rFonts w:hint="eastAsia"/>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090"/>
        <w:gridCol w:w="7415"/>
      </w:tblGrid>
      <w:tr w14:paraId="02AF77F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1" w:type="pct"/>
            <w:vMerge w:val="restart"/>
            <w:shd w:val="clear" w:color="auto" w:fill="auto"/>
            <w:vAlign w:val="center"/>
          </w:tcPr>
          <w:p w14:paraId="4ECDB99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效力</w:t>
            </w:r>
          </w:p>
        </w:tc>
        <w:tc>
          <w:tcPr>
            <w:tcW w:w="4359" w:type="pct"/>
            <w:shd w:val="clear" w:color="auto" w:fill="auto"/>
            <w:vAlign w:val="center"/>
          </w:tcPr>
          <w:p w14:paraId="4555ABE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效力范围：依法订立的集体合同对用人单位和劳动者具有约束力，行业性、区域性集体合同对当地本行业、本区域的用人单位和劳动者具有约束力</w:t>
            </w:r>
          </w:p>
        </w:tc>
      </w:tr>
      <w:tr w14:paraId="622E8C3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1" w:type="pct"/>
            <w:vMerge w:val="continue"/>
            <w:shd w:val="clear" w:color="auto" w:fill="auto"/>
            <w:vAlign w:val="center"/>
          </w:tcPr>
          <w:p w14:paraId="2098D136">
            <w:pPr>
              <w:spacing w:before="31" w:beforeLines="10" w:after="62" w:afterLines="20" w:line="280" w:lineRule="exact"/>
              <w:ind w:firstLine="0" w:firstLineChars="0"/>
              <w:jc w:val="center"/>
              <w:rPr>
                <w:rFonts w:hint="eastAsia" w:ascii="汉仪中黑简" w:eastAsia="汉仪中黑简"/>
                <w:bCs/>
                <w:kern w:val="0"/>
                <w:sz w:val="20"/>
              </w:rPr>
            </w:pPr>
          </w:p>
        </w:tc>
        <w:tc>
          <w:tcPr>
            <w:tcW w:w="4359" w:type="pct"/>
            <w:shd w:val="clear" w:color="auto" w:fill="auto"/>
            <w:vAlign w:val="center"/>
          </w:tcPr>
          <w:p w14:paraId="219EBFBD">
            <w:pPr>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底线：</w:t>
            </w:r>
            <w:r>
              <w:rPr>
                <w:rFonts w:hint="eastAsia" w:ascii="汉仪书宋一简" w:eastAsia="汉仪书宋一简"/>
                <w:color w:val="0000FF"/>
                <w:kern w:val="0"/>
                <w:sz w:val="20"/>
              </w:rPr>
              <w:t>集体合同中劳动报酬和劳动条件等标准不得低于当地政府规定的最低标准</w:t>
            </w:r>
            <w:r>
              <w:rPr>
                <w:rFonts w:hint="eastAsia" w:ascii="汉仪书宋一简" w:eastAsia="汉仪书宋一简"/>
                <w:kern w:val="0"/>
                <w:sz w:val="20"/>
              </w:rPr>
              <w:t>；用人单位与劳动者订立的劳动合同中劳动报酬和劳动条件等标准不得低于</w:t>
            </w:r>
            <w:r>
              <w:fldChar w:fldCharType="begin"/>
            </w:r>
            <w:r>
              <w:instrText xml:space="preserve"> HYPERLINK "javascript:SLC(51461,0)" </w:instrText>
            </w:r>
            <w:r>
              <w:fldChar w:fldCharType="separate"/>
            </w:r>
            <w:r>
              <w:rPr>
                <w:rFonts w:hint="eastAsia" w:ascii="汉仪书宋一简" w:eastAsia="汉仪书宋一简"/>
                <w:kern w:val="0"/>
                <w:sz w:val="20"/>
              </w:rPr>
              <w:t>集体合同规定</w:t>
            </w:r>
            <w:r>
              <w:rPr>
                <w:rFonts w:hint="eastAsia" w:ascii="汉仪书宋一简" w:eastAsia="汉仪书宋一简"/>
                <w:kern w:val="0"/>
                <w:sz w:val="20"/>
              </w:rPr>
              <w:fldChar w:fldCharType="end"/>
            </w:r>
            <w:r>
              <w:rPr>
                <w:rFonts w:hint="eastAsia" w:ascii="汉仪书宋一简" w:eastAsia="汉仪书宋一简"/>
                <w:kern w:val="0"/>
                <w:sz w:val="20"/>
              </w:rPr>
              <w:t>的标</w:t>
            </w:r>
            <w:r>
              <w:rPr>
                <w:rFonts w:hint="eastAsia" w:ascii="汉仪书宋一简" w:eastAsia="汉仪书宋一简"/>
                <w:color w:val="0000FF"/>
                <w:kern w:val="0"/>
                <w:sz w:val="20"/>
              </w:rPr>
              <w:t>准</w:t>
            </w:r>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单个合同不得低于集体合同</w:t>
            </w:r>
            <w:r>
              <w:rPr>
                <w:rFonts w:hint="eastAsia" w:ascii="汉仪书宋一简" w:eastAsia="汉仪书宋一简"/>
                <w:color w:val="0000FF"/>
                <w:kern w:val="0"/>
                <w:sz w:val="20"/>
                <w:lang w:eastAsia="zh-CN"/>
              </w:rPr>
              <w:t>）</w:t>
            </w:r>
          </w:p>
        </w:tc>
      </w:tr>
      <w:tr w14:paraId="569440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1" w:type="pct"/>
            <w:vMerge w:val="continue"/>
            <w:shd w:val="clear" w:color="auto" w:fill="auto"/>
            <w:vAlign w:val="center"/>
          </w:tcPr>
          <w:p w14:paraId="2EC578DD">
            <w:pPr>
              <w:spacing w:before="31" w:beforeLines="10" w:after="62" w:afterLines="20" w:line="280" w:lineRule="exact"/>
              <w:ind w:firstLine="0" w:firstLineChars="0"/>
              <w:jc w:val="center"/>
              <w:rPr>
                <w:rFonts w:hint="eastAsia" w:ascii="汉仪中黑简" w:eastAsia="汉仪中黑简"/>
                <w:bCs/>
                <w:kern w:val="0"/>
                <w:sz w:val="20"/>
              </w:rPr>
            </w:pPr>
          </w:p>
        </w:tc>
        <w:tc>
          <w:tcPr>
            <w:tcW w:w="4359" w:type="pct"/>
            <w:shd w:val="clear" w:color="auto" w:fill="auto"/>
            <w:vAlign w:val="center"/>
          </w:tcPr>
          <w:p w14:paraId="68BA852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补充：（1）劳动合同约定不明时，适用集体合同；（2）未订立书面劳动的，适用集体合同</w:t>
            </w:r>
          </w:p>
        </w:tc>
      </w:tr>
      <w:tr w14:paraId="7CE604F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1" w:type="pct"/>
            <w:shd w:val="clear" w:color="auto" w:fill="auto"/>
            <w:vAlign w:val="center"/>
          </w:tcPr>
          <w:p w14:paraId="106EF1F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争议解决</w:t>
            </w:r>
          </w:p>
        </w:tc>
        <w:tc>
          <w:tcPr>
            <w:tcW w:w="4359" w:type="pct"/>
            <w:shd w:val="clear" w:color="auto" w:fill="auto"/>
            <w:vAlign w:val="center"/>
          </w:tcPr>
          <w:p w14:paraId="0B454EA0">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用人单位违反集体合同，侵犯职工劳动权益的，工会可以依法要求用人单位承担责任；因履行集体合同发生争议，经协商解决不成的，工会可以依法申请仲裁、提起诉讼</w:t>
            </w:r>
          </w:p>
        </w:tc>
      </w:tr>
    </w:tbl>
    <w:p w14:paraId="00C30DF8">
      <w:pPr>
        <w:ind w:firstLine="420"/>
        <w:rPr>
          <w:rFonts w:hint="eastAsia" w:ascii="汉仪书宋二简"/>
          <w:b/>
        </w:rPr>
      </w:pPr>
    </w:p>
    <w:p w14:paraId="1F58BA4B">
      <w:pPr>
        <w:pStyle w:val="4"/>
        <w:ind w:firstLine="288" w:firstLineChars="120"/>
        <w:jc w:val="both"/>
        <w:rPr>
          <w:rFonts w:hint="eastAsia"/>
        </w:rPr>
      </w:pPr>
      <w:r>
        <w:rPr>
          <w:rFonts w:hint="eastAsia"/>
        </w:rPr>
        <w:t>（三）非全日制用工</w:t>
      </w:r>
    </w:p>
    <w:p w14:paraId="2AEA991B">
      <w:pPr>
        <w:ind w:firstLine="420"/>
        <w:rPr>
          <w:rFonts w:hint="eastAsia" w:ascii="汉仪书宋二简"/>
          <w:b/>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408"/>
        <w:gridCol w:w="7097"/>
      </w:tblGrid>
      <w:tr w14:paraId="4B1F5A1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828" w:type="pct"/>
            <w:shd w:val="clear" w:color="auto" w:fill="auto"/>
            <w:vAlign w:val="center"/>
          </w:tcPr>
          <w:p w14:paraId="29EF84D2">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适用范围</w:t>
            </w:r>
          </w:p>
        </w:tc>
        <w:tc>
          <w:tcPr>
            <w:tcW w:w="4172" w:type="pct"/>
            <w:shd w:val="clear" w:color="auto" w:fill="auto"/>
            <w:vAlign w:val="center"/>
          </w:tcPr>
          <w:p w14:paraId="64C74141">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以小时计酬为主，劳动者在同一单位</w:t>
            </w:r>
            <w:r>
              <w:rPr>
                <w:rFonts w:hint="eastAsia" w:ascii="汉仪书宋一简" w:eastAsia="汉仪书宋一简"/>
                <w:color w:val="0000FF"/>
                <w:kern w:val="0"/>
                <w:sz w:val="20"/>
              </w:rPr>
              <w:t>平均每日工作不超过4小时，每周累计不超过24小时</w:t>
            </w:r>
          </w:p>
        </w:tc>
      </w:tr>
      <w:tr w14:paraId="520527A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828" w:type="pct"/>
            <w:shd w:val="clear" w:color="auto" w:fill="auto"/>
            <w:vAlign w:val="center"/>
          </w:tcPr>
          <w:p w14:paraId="0CCF16E5">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合同形式</w:t>
            </w:r>
          </w:p>
        </w:tc>
        <w:tc>
          <w:tcPr>
            <w:tcW w:w="4172" w:type="pct"/>
            <w:shd w:val="clear" w:color="auto" w:fill="auto"/>
            <w:vAlign w:val="center"/>
          </w:tcPr>
          <w:p w14:paraId="7FAE051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可以订立口头协议</w:t>
            </w:r>
          </w:p>
        </w:tc>
      </w:tr>
      <w:tr w14:paraId="43FF08E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828" w:type="pct"/>
            <w:shd w:val="clear" w:color="auto" w:fill="auto"/>
            <w:vAlign w:val="center"/>
          </w:tcPr>
          <w:p w14:paraId="2ACF20C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多重关系</w:t>
            </w:r>
          </w:p>
        </w:tc>
        <w:tc>
          <w:tcPr>
            <w:tcW w:w="4172" w:type="pct"/>
            <w:shd w:val="clear" w:color="auto" w:fill="auto"/>
            <w:vAlign w:val="center"/>
          </w:tcPr>
          <w:p w14:paraId="6729A72B">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color w:val="0000FF"/>
                <w:kern w:val="0"/>
                <w:sz w:val="20"/>
              </w:rPr>
              <w:t>劳动者可以与一个以上用人单位订立劳动合同</w:t>
            </w:r>
            <w:r>
              <w:rPr>
                <w:rFonts w:hint="eastAsia" w:ascii="汉仪书宋一简" w:eastAsia="汉仪书宋一简"/>
                <w:kern w:val="0"/>
                <w:sz w:val="20"/>
              </w:rPr>
              <w:t>；但是后订立的不得影响先订立的劳动合同的履行</w:t>
            </w:r>
          </w:p>
        </w:tc>
      </w:tr>
      <w:tr w14:paraId="314B4DC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828" w:type="pct"/>
            <w:shd w:val="clear" w:color="auto" w:fill="auto"/>
            <w:vAlign w:val="center"/>
          </w:tcPr>
          <w:p w14:paraId="2A04FEB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试用期</w:t>
            </w:r>
          </w:p>
        </w:tc>
        <w:tc>
          <w:tcPr>
            <w:tcW w:w="4172" w:type="pct"/>
            <w:shd w:val="clear" w:color="auto" w:fill="auto"/>
            <w:vAlign w:val="center"/>
          </w:tcPr>
          <w:p w14:paraId="1CACEEA1">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非全日制用工双方当事人不得约定试用期</w:t>
            </w:r>
          </w:p>
        </w:tc>
      </w:tr>
      <w:tr w14:paraId="5DF8FA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828" w:type="pct"/>
            <w:shd w:val="clear" w:color="auto" w:fill="auto"/>
            <w:vAlign w:val="center"/>
          </w:tcPr>
          <w:p w14:paraId="30F3F3CF">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终止用工</w:t>
            </w:r>
          </w:p>
        </w:tc>
        <w:tc>
          <w:tcPr>
            <w:tcW w:w="4172" w:type="pct"/>
            <w:shd w:val="clear" w:color="auto" w:fill="auto"/>
            <w:vAlign w:val="center"/>
          </w:tcPr>
          <w:p w14:paraId="19DD133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非全日制用工双方当事人任何一方都可以随时通知对方终止用工。</w:t>
            </w:r>
          </w:p>
          <w:p w14:paraId="51379FC4">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终止用工，用人单位不向劳动者支付经济补偿</w:t>
            </w:r>
          </w:p>
        </w:tc>
      </w:tr>
      <w:tr w14:paraId="6F2D788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828" w:type="pct"/>
            <w:shd w:val="clear" w:color="auto" w:fill="auto"/>
            <w:vAlign w:val="center"/>
          </w:tcPr>
          <w:p w14:paraId="33A226E7">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劳动报酬</w:t>
            </w:r>
          </w:p>
        </w:tc>
        <w:tc>
          <w:tcPr>
            <w:tcW w:w="4172" w:type="pct"/>
            <w:shd w:val="clear" w:color="auto" w:fill="auto"/>
            <w:vAlign w:val="center"/>
          </w:tcPr>
          <w:p w14:paraId="6EBB393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非全日制用工小时计酬标准不得低于用人单位所在地政府规定的最低小时工资标准。</w:t>
            </w:r>
          </w:p>
          <w:p w14:paraId="1F8FEAC0">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kern w:val="0"/>
                <w:sz w:val="20"/>
              </w:rPr>
              <w:t>非全日制用工劳动报酬结算支付周期最长不得超过15日</w:t>
            </w:r>
          </w:p>
        </w:tc>
      </w:tr>
    </w:tbl>
    <w:p w14:paraId="3C30C281">
      <w:pPr>
        <w:pStyle w:val="3"/>
        <w:rPr>
          <w:rFonts w:hint="eastAsia"/>
        </w:rPr>
      </w:pPr>
      <w:r>
        <w:rPr>
          <w:rFonts w:hint="eastAsia"/>
        </w:rPr>
        <w:t>五、劳动争议</w:t>
      </w:r>
    </w:p>
    <w:p w14:paraId="49559B4D">
      <w:pPr>
        <w:ind w:firstLine="480"/>
        <w:rPr>
          <w:rFonts w:hint="eastAsia" w:ascii="汉仪书宋二简"/>
          <w:b/>
          <w:sz w:val="24"/>
          <w:szCs w:val="24"/>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92"/>
        <w:gridCol w:w="7313"/>
      </w:tblGrid>
      <w:tr w14:paraId="51EFA2B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restart"/>
            <w:shd w:val="clear" w:color="auto" w:fill="auto"/>
            <w:vAlign w:val="center"/>
          </w:tcPr>
          <w:p w14:paraId="35A2A2DC">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劳动争议解决方式及其关系</w:t>
            </w:r>
          </w:p>
        </w:tc>
        <w:tc>
          <w:tcPr>
            <w:tcW w:w="4299" w:type="pct"/>
            <w:shd w:val="clear" w:color="auto" w:fill="auto"/>
            <w:vAlign w:val="center"/>
          </w:tcPr>
          <w:p w14:paraId="3B4E9D2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协商—调解—仲裁—诉讼</w:t>
            </w:r>
          </w:p>
        </w:tc>
      </w:tr>
      <w:tr w14:paraId="4805F10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7142B74C">
            <w:pPr>
              <w:spacing w:before="31" w:beforeLines="10" w:after="62" w:afterLines="20" w:line="280" w:lineRule="exact"/>
              <w:ind w:firstLine="0" w:firstLineChars="0"/>
              <w:jc w:val="center"/>
              <w:rPr>
                <w:rFonts w:hint="eastAsia" w:ascii="汉仪中黑简" w:eastAsia="汉仪中黑简"/>
                <w:bCs/>
                <w:kern w:val="0"/>
                <w:sz w:val="20"/>
              </w:rPr>
            </w:pPr>
          </w:p>
        </w:tc>
        <w:tc>
          <w:tcPr>
            <w:tcW w:w="4299" w:type="pct"/>
            <w:shd w:val="clear" w:color="auto" w:fill="auto"/>
            <w:vAlign w:val="center"/>
          </w:tcPr>
          <w:p w14:paraId="277ED6D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协商和调解均非必经程序，亦非终局程序</w:t>
            </w:r>
          </w:p>
        </w:tc>
      </w:tr>
      <w:tr w14:paraId="7141099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26FC15A6">
            <w:pPr>
              <w:spacing w:before="31" w:beforeLines="10" w:after="62" w:afterLines="20" w:line="280" w:lineRule="exact"/>
              <w:ind w:firstLine="0" w:firstLineChars="0"/>
              <w:jc w:val="center"/>
              <w:rPr>
                <w:rFonts w:hint="eastAsia" w:ascii="汉仪中黑简" w:eastAsia="汉仪中黑简"/>
                <w:bCs/>
                <w:kern w:val="0"/>
                <w:sz w:val="20"/>
              </w:rPr>
            </w:pPr>
          </w:p>
        </w:tc>
        <w:tc>
          <w:tcPr>
            <w:tcW w:w="4299" w:type="pct"/>
            <w:shd w:val="clear" w:color="auto" w:fill="auto"/>
            <w:vAlign w:val="center"/>
          </w:tcPr>
          <w:p w14:paraId="2FD74A10">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申请仲裁是起诉的必经程序，仲裁裁决原则上是非终局的，但有例外</w:t>
            </w:r>
          </w:p>
        </w:tc>
      </w:tr>
      <w:tr w14:paraId="5CB4AA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restart"/>
            <w:shd w:val="clear" w:color="auto" w:fill="auto"/>
            <w:vAlign w:val="center"/>
          </w:tcPr>
          <w:p w14:paraId="671A1ED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调解程序</w:t>
            </w:r>
          </w:p>
        </w:tc>
        <w:tc>
          <w:tcPr>
            <w:tcW w:w="4299" w:type="pct"/>
            <w:shd w:val="clear" w:color="auto" w:fill="auto"/>
            <w:vAlign w:val="center"/>
          </w:tcPr>
          <w:p w14:paraId="2CAB4DB8">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调解组织：</w:t>
            </w:r>
          </w:p>
          <w:p w14:paraId="75004A36">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bCs/>
                <w:kern w:val="0"/>
                <w:sz w:val="20"/>
              </w:rPr>
              <w:t>（</w:t>
            </w:r>
            <w:r>
              <w:rPr>
                <w:rFonts w:hint="eastAsia" w:ascii="汉仪书宋一简" w:eastAsia="汉仪书宋一简"/>
                <w:sz w:val="20"/>
              </w:rPr>
              <w:t>1）企业劳动争议调解委员会</w:t>
            </w:r>
          </w:p>
          <w:p w14:paraId="726933B7">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（2）依法设立的基层人民调解组织</w:t>
            </w:r>
          </w:p>
          <w:p w14:paraId="701E7D2A">
            <w:pPr>
              <w:spacing w:before="31" w:beforeLines="10" w:after="62" w:afterLines="20" w:line="280" w:lineRule="exact"/>
              <w:ind w:firstLine="0" w:firstLineChars="0"/>
              <w:rPr>
                <w:rFonts w:hint="eastAsia" w:ascii="汉仪书宋一简" w:eastAsia="汉仪书宋一简"/>
                <w:b/>
                <w:kern w:val="0"/>
                <w:sz w:val="20"/>
              </w:rPr>
            </w:pPr>
            <w:r>
              <w:rPr>
                <w:rFonts w:hint="eastAsia" w:ascii="汉仪书宋一简" w:eastAsia="汉仪书宋一简"/>
                <w:sz w:val="20"/>
              </w:rPr>
              <w:t>（3）在乡镇、街道设立的具有劳动争议调解职能的组织</w:t>
            </w:r>
          </w:p>
        </w:tc>
      </w:tr>
      <w:tr w14:paraId="67E5E75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1A03557C">
            <w:pPr>
              <w:spacing w:before="31" w:beforeLines="10" w:after="62" w:afterLines="20" w:line="280" w:lineRule="exact"/>
              <w:ind w:firstLine="0" w:firstLineChars="0"/>
              <w:jc w:val="center"/>
              <w:rPr>
                <w:rFonts w:hint="eastAsia" w:ascii="汉仪中黑简" w:eastAsia="汉仪中黑简"/>
                <w:bCs/>
                <w:kern w:val="0"/>
                <w:sz w:val="20"/>
              </w:rPr>
            </w:pPr>
          </w:p>
        </w:tc>
        <w:tc>
          <w:tcPr>
            <w:tcW w:w="4299" w:type="pct"/>
            <w:shd w:val="clear" w:color="auto" w:fill="auto"/>
            <w:vAlign w:val="center"/>
          </w:tcPr>
          <w:p w14:paraId="0CF32BD9">
            <w:pPr>
              <w:spacing w:before="31" w:beforeLines="10" w:after="62" w:afterLines="20" w:line="280" w:lineRule="exact"/>
              <w:ind w:firstLine="0" w:firstLineChars="0"/>
              <w:rPr>
                <w:rFonts w:hint="eastAsia" w:ascii="汉仪书宋一简" w:eastAsia="汉仪书宋一简"/>
                <w:b/>
                <w:kern w:val="0"/>
                <w:sz w:val="20"/>
                <w:lang w:eastAsia="zh-CN"/>
              </w:rPr>
            </w:pPr>
            <w:r>
              <w:rPr>
                <w:rFonts w:hint="eastAsia" w:ascii="汉仪书宋一简" w:eastAsia="汉仪书宋一简"/>
                <w:bCs/>
                <w:kern w:val="0"/>
                <w:sz w:val="20"/>
              </w:rPr>
              <w:t>调解的效力：</w:t>
            </w:r>
            <w:r>
              <w:rPr>
                <w:rFonts w:hint="eastAsia" w:ascii="汉仪书宋一简" w:eastAsia="汉仪书宋一简"/>
                <w:sz w:val="20"/>
              </w:rPr>
              <w:t>达成调解协议后，一方当事人在协议约定期限内不履行调解协议的，另一方当事人可以依法申请仲裁</w:t>
            </w:r>
            <w:r>
              <w:rPr>
                <w:rFonts w:hint="eastAsia" w:ascii="汉仪书宋一简" w:eastAsia="汉仪书宋一简"/>
                <w:color w:val="0000FF"/>
                <w:sz w:val="20"/>
                <w:lang w:eastAsia="zh-CN"/>
              </w:rPr>
              <w:t>（</w:t>
            </w:r>
            <w:r>
              <w:rPr>
                <w:rFonts w:hint="eastAsia" w:ascii="汉仪书宋一简" w:eastAsia="汉仪书宋一简"/>
                <w:color w:val="0000FF"/>
                <w:sz w:val="20"/>
                <w:lang w:val="en-US" w:eastAsia="zh-CN"/>
              </w:rPr>
              <w:t>不能直接起诉</w:t>
            </w:r>
            <w:r>
              <w:rPr>
                <w:rFonts w:hint="eastAsia" w:ascii="汉仪书宋一简" w:eastAsia="汉仪书宋一简"/>
                <w:color w:val="0000FF"/>
                <w:sz w:val="20"/>
                <w:lang w:eastAsia="zh-CN"/>
              </w:rPr>
              <w:t>）</w:t>
            </w:r>
          </w:p>
        </w:tc>
      </w:tr>
      <w:tr w14:paraId="59C8339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79E8E7B1">
            <w:pPr>
              <w:spacing w:before="31" w:beforeLines="10" w:after="62" w:afterLines="20" w:line="280" w:lineRule="exact"/>
              <w:ind w:firstLine="0" w:firstLineChars="0"/>
              <w:jc w:val="center"/>
              <w:rPr>
                <w:rFonts w:hint="eastAsia" w:ascii="汉仪中黑简" w:eastAsia="汉仪中黑简"/>
                <w:bCs/>
                <w:kern w:val="0"/>
                <w:sz w:val="20"/>
              </w:rPr>
            </w:pPr>
          </w:p>
        </w:tc>
        <w:tc>
          <w:tcPr>
            <w:tcW w:w="4299" w:type="pct"/>
            <w:shd w:val="clear" w:color="auto" w:fill="auto"/>
            <w:vAlign w:val="center"/>
          </w:tcPr>
          <w:p w14:paraId="770D7180">
            <w:pPr>
              <w:spacing w:before="31" w:beforeLines="10" w:after="62" w:afterLines="20" w:line="280" w:lineRule="exact"/>
              <w:ind w:firstLine="0" w:firstLineChars="0"/>
              <w:rPr>
                <w:rFonts w:hint="eastAsia" w:ascii="汉仪书宋一简" w:eastAsia="汉仪书宋一简"/>
                <w:b/>
                <w:kern w:val="0"/>
                <w:sz w:val="20"/>
                <w:lang w:eastAsia="zh-CN"/>
              </w:rPr>
            </w:pPr>
            <w:r>
              <w:rPr>
                <w:rFonts w:hint="eastAsia" w:ascii="汉仪书宋一简" w:eastAsia="汉仪书宋一简"/>
                <w:bCs/>
                <w:kern w:val="0"/>
                <w:sz w:val="20"/>
              </w:rPr>
              <w:t>支付令：</w:t>
            </w:r>
            <w:r>
              <w:rPr>
                <w:rFonts w:hint="eastAsia" w:ascii="汉仪书宋一简" w:eastAsia="汉仪书宋一简"/>
                <w:sz w:val="20"/>
              </w:rPr>
              <w:t>因支付拖欠劳动报酬、工伤医疗费、经济补偿或者赔偿金事项达成调解协议，用人单位在协议约定期限内不履行的，劳动者可以持调解协议书依法向人民法院申请支付令。人民法院应当依法发出支付令</w:t>
            </w:r>
            <w:r>
              <w:rPr>
                <w:rFonts w:hint="eastAsia" w:ascii="汉仪书宋一简" w:eastAsia="汉仪书宋一简"/>
                <w:sz w:val="20"/>
                <w:lang w:eastAsia="zh-CN"/>
              </w:rPr>
              <w:t>（</w:t>
            </w:r>
            <w:r>
              <w:rPr>
                <w:rFonts w:hint="eastAsia" w:ascii="汉仪书宋一简" w:eastAsia="汉仪书宋一简"/>
                <w:color w:val="0000FF"/>
                <w:sz w:val="20"/>
                <w:lang w:val="en-US" w:eastAsia="zh-CN"/>
              </w:rPr>
              <w:t>支付令异议后可以直接起诉</w:t>
            </w:r>
            <w:r>
              <w:rPr>
                <w:rFonts w:hint="eastAsia" w:ascii="汉仪书宋一简" w:eastAsia="汉仪书宋一简"/>
                <w:sz w:val="20"/>
                <w:lang w:eastAsia="zh-CN"/>
              </w:rPr>
              <w:t>）</w:t>
            </w:r>
          </w:p>
        </w:tc>
      </w:tr>
      <w:tr w14:paraId="352B9A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restart"/>
            <w:shd w:val="clear" w:color="auto" w:fill="auto"/>
            <w:vAlign w:val="center"/>
          </w:tcPr>
          <w:p w14:paraId="7070C81A">
            <w:pPr>
              <w:spacing w:before="31" w:beforeLines="10" w:after="62" w:afterLines="20" w:line="280" w:lineRule="exact"/>
              <w:ind w:firstLine="0" w:firstLineChars="0"/>
              <w:jc w:val="center"/>
              <w:rPr>
                <w:rFonts w:hint="eastAsia" w:ascii="汉仪中黑简" w:eastAsia="汉仪中黑简"/>
                <w:bCs/>
                <w:kern w:val="0"/>
                <w:sz w:val="20"/>
              </w:rPr>
            </w:pPr>
            <w:r>
              <w:rPr>
                <w:rFonts w:hint="eastAsia" w:ascii="汉仪中黑简" w:eastAsia="汉仪中黑简"/>
                <w:bCs/>
                <w:kern w:val="0"/>
                <w:sz w:val="20"/>
              </w:rPr>
              <w:t>仲裁程序</w:t>
            </w:r>
          </w:p>
        </w:tc>
        <w:tc>
          <w:tcPr>
            <w:tcW w:w="4299" w:type="pct"/>
            <w:shd w:val="clear" w:color="auto" w:fill="auto"/>
            <w:vAlign w:val="center"/>
          </w:tcPr>
          <w:p w14:paraId="31B984E2">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管辖：劳动争议由</w:t>
            </w:r>
            <w:r>
              <w:rPr>
                <w:rFonts w:hint="eastAsia" w:ascii="汉仪书宋一简" w:hAnsi="楷体" w:eastAsia="汉仪中黑简" w:cs="楷体"/>
                <w:color w:val="FF0000"/>
                <w:kern w:val="0"/>
                <w:sz w:val="20"/>
              </w:rPr>
              <w:t>劳动合同履行地或者用人单位所在地</w:t>
            </w:r>
            <w:r>
              <w:rPr>
                <w:rFonts w:hint="eastAsia" w:ascii="汉仪书宋一简" w:eastAsia="汉仪书宋一简"/>
                <w:kern w:val="0"/>
                <w:sz w:val="20"/>
              </w:rPr>
              <w:t>的劳动争议仲裁委员会管辖。双方当事人分别向劳动合同履行地和用人单位所在地的劳动争议仲裁委员会申请仲裁的，</w:t>
            </w:r>
            <w:r>
              <w:rPr>
                <w:rFonts w:hint="eastAsia" w:ascii="汉仪书宋一简" w:eastAsia="汉仪书宋一简"/>
                <w:color w:val="0000FF"/>
                <w:kern w:val="0"/>
                <w:sz w:val="20"/>
              </w:rPr>
              <w:t>由劳动合同履行地的劳动争议仲裁委员会管辖</w:t>
            </w:r>
          </w:p>
        </w:tc>
      </w:tr>
      <w:tr w14:paraId="77A4EF7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64C9ACBE">
            <w:pPr>
              <w:spacing w:before="31" w:beforeLines="10" w:after="62" w:afterLines="20" w:line="280" w:lineRule="exact"/>
              <w:ind w:firstLine="0" w:firstLineChars="0"/>
              <w:rPr>
                <w:rFonts w:hint="eastAsia" w:ascii="汉仪书宋一简" w:eastAsia="汉仪书宋一简"/>
                <w:b/>
                <w:kern w:val="0"/>
                <w:sz w:val="20"/>
              </w:rPr>
            </w:pPr>
          </w:p>
        </w:tc>
        <w:tc>
          <w:tcPr>
            <w:tcW w:w="4299" w:type="pct"/>
            <w:shd w:val="clear" w:color="auto" w:fill="auto"/>
            <w:vAlign w:val="center"/>
          </w:tcPr>
          <w:p w14:paraId="27F4DBE7">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当事人：发生劳动争议的劳动者和用人单位为劳动争议仲裁案件的双方当事人。劳务派遣单位或者用工单位与劳动者发生劳动争议的，劳务派遣单位和用工单位为共同当事人。劳动者一方在10人以上，并有共同请求的，可以推举代表参加调解、仲裁或者诉讼活动</w:t>
            </w:r>
          </w:p>
        </w:tc>
      </w:tr>
      <w:tr w14:paraId="41E15E3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0D831A5F">
            <w:pPr>
              <w:spacing w:before="31" w:beforeLines="10" w:after="62" w:afterLines="20" w:line="280" w:lineRule="exact"/>
              <w:ind w:firstLine="0" w:firstLineChars="0"/>
              <w:rPr>
                <w:rFonts w:hint="eastAsia" w:ascii="汉仪书宋一简" w:eastAsia="汉仪书宋一简"/>
                <w:b/>
                <w:kern w:val="0"/>
                <w:sz w:val="20"/>
              </w:rPr>
            </w:pPr>
          </w:p>
        </w:tc>
        <w:tc>
          <w:tcPr>
            <w:tcW w:w="4299" w:type="pct"/>
            <w:shd w:val="clear" w:color="auto" w:fill="auto"/>
            <w:vAlign w:val="center"/>
          </w:tcPr>
          <w:p w14:paraId="79977145">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时效：1年，从当事人知道或者应当知道其权利被侵害之日起计算，可以中止、中断。劳动关系存续期间因拖欠劳动报酬发生争议的，不受上述时效期间的限制；但是，劳动关系终止的，应当自劳动关系终止之日起1年内提出</w:t>
            </w:r>
          </w:p>
        </w:tc>
      </w:tr>
      <w:tr w14:paraId="68308C7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7DE7A75C">
            <w:pPr>
              <w:spacing w:before="31" w:beforeLines="10" w:after="62" w:afterLines="20" w:line="280" w:lineRule="exact"/>
              <w:ind w:firstLine="0" w:firstLineChars="0"/>
              <w:rPr>
                <w:rFonts w:hint="eastAsia" w:ascii="汉仪书宋一简" w:eastAsia="汉仪书宋一简"/>
                <w:b/>
                <w:kern w:val="0"/>
                <w:sz w:val="20"/>
              </w:rPr>
            </w:pPr>
          </w:p>
        </w:tc>
        <w:tc>
          <w:tcPr>
            <w:tcW w:w="4299" w:type="pct"/>
            <w:shd w:val="clear" w:color="auto" w:fill="auto"/>
            <w:vAlign w:val="center"/>
          </w:tcPr>
          <w:p w14:paraId="3B0C76A6">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申请：申请人申请仲裁应当提交书面仲裁申请，并按照被申请人人数提交副本。书写仲裁申请确有困难的，可以口头申请，由劳动争议仲裁委员会记入笔录，并告知对方当事人</w:t>
            </w:r>
          </w:p>
        </w:tc>
      </w:tr>
      <w:tr w14:paraId="75FB3CB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2989294A">
            <w:pPr>
              <w:spacing w:before="31" w:beforeLines="10" w:after="62" w:afterLines="20" w:line="280" w:lineRule="exact"/>
              <w:ind w:firstLine="0" w:firstLineChars="0"/>
              <w:rPr>
                <w:rFonts w:hint="eastAsia" w:ascii="汉仪书宋一简" w:eastAsia="汉仪书宋一简"/>
                <w:b/>
                <w:kern w:val="0"/>
                <w:sz w:val="20"/>
              </w:rPr>
            </w:pPr>
          </w:p>
        </w:tc>
        <w:tc>
          <w:tcPr>
            <w:tcW w:w="4299" w:type="pct"/>
            <w:shd w:val="clear" w:color="auto" w:fill="auto"/>
            <w:vAlign w:val="center"/>
          </w:tcPr>
          <w:p w14:paraId="0E01CBFC">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举证责任：发生劳动争议，当事人对自己提出的主张，有责任提供证据。与争议事项有关的证据属于用人单位掌握管理的，用人单位应当提供；用人单位不提供的，应当承担不利后果。</w:t>
            </w:r>
            <w:r>
              <w:rPr>
                <w:rFonts w:hint="eastAsia" w:ascii="汉仪书宋一简" w:eastAsia="汉仪书宋一简"/>
                <w:color w:val="0000FF"/>
                <w:kern w:val="0"/>
                <w:sz w:val="20"/>
              </w:rPr>
              <w:t>因用人单位做出的开除、除名、辞退、解除劳动合同、减少劳动报酬、计算劳动者工作年限等决定而发生的劳动争议，用人单位负举证责任</w:t>
            </w:r>
          </w:p>
        </w:tc>
      </w:tr>
      <w:tr w14:paraId="5AC6BB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42542A57">
            <w:pPr>
              <w:spacing w:before="31" w:beforeLines="10" w:after="62" w:afterLines="20" w:line="280" w:lineRule="exact"/>
              <w:ind w:firstLine="0" w:firstLineChars="0"/>
              <w:rPr>
                <w:rFonts w:hint="eastAsia" w:ascii="汉仪书宋一简" w:eastAsia="汉仪书宋一简"/>
                <w:sz w:val="20"/>
              </w:rPr>
            </w:pPr>
          </w:p>
        </w:tc>
        <w:tc>
          <w:tcPr>
            <w:tcW w:w="4299" w:type="pct"/>
            <w:shd w:val="clear" w:color="auto" w:fill="auto"/>
            <w:vAlign w:val="center"/>
          </w:tcPr>
          <w:p w14:paraId="31E935EE">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调解和裁决：</w:t>
            </w:r>
            <w:r>
              <w:rPr>
                <w:rFonts w:hint="eastAsia" w:ascii="汉仪书宋一简" w:eastAsia="汉仪书宋一简"/>
                <w:sz w:val="20"/>
              </w:rPr>
              <w:t>仲裁庭在作出裁决前，应当先行调解。调解书经双方当事人签收后，发生法律效力</w:t>
            </w:r>
          </w:p>
        </w:tc>
      </w:tr>
      <w:tr w14:paraId="7735D3F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701" w:type="pct"/>
            <w:vMerge w:val="continue"/>
            <w:shd w:val="clear" w:color="auto" w:fill="auto"/>
            <w:vAlign w:val="center"/>
          </w:tcPr>
          <w:p w14:paraId="15191D55">
            <w:pPr>
              <w:spacing w:before="31" w:beforeLines="10" w:after="62" w:afterLines="20" w:line="280" w:lineRule="exact"/>
              <w:ind w:firstLine="0" w:firstLineChars="0"/>
              <w:rPr>
                <w:rFonts w:hint="eastAsia" w:ascii="汉仪书宋一简" w:eastAsia="汉仪书宋一简"/>
                <w:kern w:val="0"/>
                <w:sz w:val="20"/>
              </w:rPr>
            </w:pPr>
          </w:p>
        </w:tc>
        <w:tc>
          <w:tcPr>
            <w:tcW w:w="4299" w:type="pct"/>
            <w:shd w:val="clear" w:color="auto" w:fill="auto"/>
            <w:vAlign w:val="center"/>
          </w:tcPr>
          <w:p w14:paraId="3F959FED">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kern w:val="0"/>
                <w:sz w:val="20"/>
              </w:rPr>
              <w:t>先予执行：</w:t>
            </w:r>
            <w:r>
              <w:rPr>
                <w:rFonts w:hint="eastAsia" w:ascii="汉仪书宋一简" w:eastAsia="汉仪书宋一简"/>
                <w:sz w:val="20"/>
              </w:rPr>
              <w:t>仲裁庭对追索劳动报酬、工伤医疗费、经济补偿或者赔偿金的案件，根据当事人的申请，</w:t>
            </w:r>
            <w:r>
              <w:rPr>
                <w:rFonts w:hint="eastAsia" w:ascii="汉仪书宋一简" w:eastAsia="汉仪书宋一简"/>
                <w:color w:val="0000FF"/>
                <w:sz w:val="20"/>
              </w:rPr>
              <w:t>可以裁决先予执行，移送人民法院执行</w:t>
            </w:r>
            <w:r>
              <w:rPr>
                <w:rFonts w:hint="eastAsia" w:ascii="汉仪书宋一简" w:eastAsia="汉仪书宋一简"/>
                <w:sz w:val="20"/>
              </w:rPr>
              <w:t>。仲裁庭裁决先予执行的，应当符合下列条件：</w:t>
            </w:r>
          </w:p>
          <w:p w14:paraId="2F7B7132">
            <w:pPr>
              <w:spacing w:before="31" w:beforeLines="10" w:after="62" w:afterLines="20" w:line="280" w:lineRule="exact"/>
              <w:ind w:firstLine="0" w:firstLineChars="0"/>
              <w:rPr>
                <w:rFonts w:hint="eastAsia" w:ascii="汉仪书宋一简" w:eastAsia="汉仪书宋一简"/>
                <w:sz w:val="20"/>
              </w:rPr>
            </w:pPr>
            <w:r>
              <w:rPr>
                <w:rFonts w:hint="eastAsia" w:ascii="汉仪书宋一简" w:eastAsia="汉仪书宋一简"/>
                <w:sz w:val="20"/>
              </w:rPr>
              <w:t>（1）当事人之间权利义务关系明确</w:t>
            </w:r>
          </w:p>
          <w:p w14:paraId="7F86F36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sz w:val="20"/>
              </w:rPr>
              <w:t>（2）不先予执行将严重影响申请人的生活。劳动者申请先予执行的，可以不提供担保</w:t>
            </w:r>
          </w:p>
        </w:tc>
      </w:tr>
    </w:tbl>
    <w:p w14:paraId="08C0D409">
      <w:pPr>
        <w:ind w:left="0" w:leftChars="0" w:firstLine="0" w:firstLineChars="0"/>
        <w:rPr>
          <w:rFonts w:hint="eastAsia"/>
        </w:rPr>
      </w:pPr>
    </w:p>
    <w:tbl>
      <w:tblPr>
        <w:tblStyle w:val="7"/>
        <w:tblW w:w="8779"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416"/>
        <w:gridCol w:w="8363"/>
      </w:tblGrid>
      <w:tr w14:paraId="4F6052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37" w:type="pct"/>
            <w:vMerge w:val="restart"/>
            <w:shd w:val="clear" w:color="auto" w:fill="auto"/>
            <w:vAlign w:val="center"/>
          </w:tcPr>
          <w:p w14:paraId="6710D709">
            <w:pPr>
              <w:spacing w:before="31" w:beforeLines="10" w:after="62" w:afterLines="20" w:line="280" w:lineRule="exact"/>
              <w:ind w:firstLine="0" w:firstLineChars="0"/>
              <w:jc w:val="center"/>
              <w:rPr>
                <w:rFonts w:hint="eastAsia" w:ascii="汉仪书宋一简" w:eastAsia="汉仪书宋一简"/>
                <w:b/>
                <w:kern w:val="0"/>
                <w:sz w:val="20"/>
              </w:rPr>
            </w:pPr>
            <w:r>
              <w:rPr>
                <w:rFonts w:hint="eastAsia" w:ascii="汉仪中黑简" w:eastAsia="汉仪中黑简"/>
                <w:bCs/>
                <w:kern w:val="0"/>
                <w:sz w:val="20"/>
              </w:rPr>
              <w:t>仲裁与诉讼的关系</w:t>
            </w:r>
          </w:p>
        </w:tc>
        <w:tc>
          <w:tcPr>
            <w:tcW w:w="4763" w:type="pct"/>
            <w:shd w:val="clear" w:color="auto" w:fill="auto"/>
            <w:vAlign w:val="center"/>
          </w:tcPr>
          <w:p w14:paraId="0BDEB72A">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下列情况可以起诉：</w:t>
            </w:r>
          </w:p>
          <w:p w14:paraId="0C16524F">
            <w:pPr>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1）劳动争议仲裁委员会不予受理或者逾期未作出决定的劳动争议事项；（2）劳动争议仲裁委员会逾期未作出仲裁裁决劳动争议；（3）对仲裁裁决不服的，可以自收到仲裁裁决书之日起15日内向人民法院提起诉讼，但是“相对一裁终局”案件除外</w:t>
            </w:r>
          </w:p>
        </w:tc>
      </w:tr>
      <w:tr w14:paraId="5CA674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237" w:type="pct"/>
            <w:vMerge w:val="continue"/>
            <w:shd w:val="clear" w:color="auto" w:fill="auto"/>
            <w:vAlign w:val="center"/>
          </w:tcPr>
          <w:p w14:paraId="3D4DB6BC">
            <w:pPr>
              <w:spacing w:before="31" w:beforeLines="10" w:after="62" w:afterLines="20" w:line="280" w:lineRule="exact"/>
              <w:ind w:firstLine="0" w:firstLineChars="0"/>
              <w:rPr>
                <w:rFonts w:hint="eastAsia" w:ascii="汉仪书宋一简" w:eastAsia="汉仪书宋一简"/>
                <w:b/>
                <w:kern w:val="0"/>
                <w:sz w:val="20"/>
              </w:rPr>
            </w:pPr>
          </w:p>
        </w:tc>
        <w:tc>
          <w:tcPr>
            <w:tcW w:w="4763" w:type="pct"/>
            <w:shd w:val="clear" w:color="auto" w:fill="auto"/>
            <w:vAlign w:val="center"/>
          </w:tcPr>
          <w:p w14:paraId="312E6A27">
            <w:pPr>
              <w:widowControl/>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“相对一裁终局”案件：</w:t>
            </w:r>
          </w:p>
          <w:p w14:paraId="6C3B6976">
            <w:pPr>
              <w:widowControl/>
              <w:spacing w:before="31" w:beforeLines="10" w:after="62" w:afterLines="20" w:line="280" w:lineRule="exact"/>
              <w:ind w:firstLine="0" w:firstLineChars="0"/>
              <w:rPr>
                <w:rFonts w:hint="eastAsia" w:ascii="汉仪书宋一简" w:eastAsia="汉仪书宋一简"/>
                <w:kern w:val="0"/>
                <w:sz w:val="20"/>
                <w:lang w:eastAsia="zh-CN"/>
              </w:rPr>
            </w:pPr>
            <w:r>
              <w:rPr>
                <w:rFonts w:hint="eastAsia" w:ascii="汉仪书宋一简" w:eastAsia="汉仪书宋一简"/>
                <w:kern w:val="0"/>
                <w:sz w:val="20"/>
              </w:rPr>
              <w:t>（1）包括：①劳动者追索劳动报酬、工伤医疗费、经济补偿或者赔偿金，不超过当地月最低工资标准12个月金额的争议；②因执行国家的劳动标准在工作时间、休息休假、社会保险等方面发生的争议</w:t>
            </w:r>
            <w:bookmarkStart w:id="3" w:name="_GoBack"/>
            <w:r>
              <w:rPr>
                <w:rFonts w:hint="eastAsia" w:ascii="汉仪书宋一简" w:eastAsia="汉仪书宋一简"/>
                <w:color w:val="0000FF"/>
                <w:kern w:val="0"/>
                <w:sz w:val="20"/>
                <w:lang w:eastAsia="zh-CN"/>
              </w:rPr>
              <w:t>（</w:t>
            </w:r>
            <w:r>
              <w:rPr>
                <w:rFonts w:hint="eastAsia" w:ascii="汉仪书宋一简" w:eastAsia="汉仪书宋一简"/>
                <w:color w:val="0000FF"/>
                <w:kern w:val="0"/>
                <w:sz w:val="20"/>
                <w:lang w:val="en-US" w:eastAsia="zh-CN"/>
              </w:rPr>
              <w:t>用人单位不可以起诉，劳动者可以起诉</w:t>
            </w:r>
            <w:r>
              <w:rPr>
                <w:rFonts w:hint="eastAsia" w:ascii="汉仪书宋一简" w:eastAsia="汉仪书宋一简"/>
                <w:color w:val="0000FF"/>
                <w:kern w:val="0"/>
                <w:sz w:val="20"/>
                <w:lang w:eastAsia="zh-CN"/>
              </w:rPr>
              <w:t>）</w:t>
            </w:r>
            <w:bookmarkEnd w:id="3"/>
          </w:p>
          <w:p w14:paraId="2CA9BCE9">
            <w:pPr>
              <w:widowControl/>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（2）劳动者对该仲裁裁决不服的，可以自收到仲裁裁决书之日起15日内向人民法院提起诉讼</w:t>
            </w:r>
          </w:p>
          <w:p w14:paraId="69682D80">
            <w:pPr>
              <w:widowControl/>
              <w:spacing w:before="31" w:beforeLines="10" w:after="62" w:afterLines="20" w:line="280" w:lineRule="exact"/>
              <w:ind w:firstLine="0" w:firstLineChars="0"/>
              <w:rPr>
                <w:rFonts w:hint="eastAsia" w:ascii="汉仪书宋一简" w:eastAsia="汉仪书宋一简"/>
                <w:kern w:val="0"/>
                <w:sz w:val="20"/>
              </w:rPr>
            </w:pPr>
            <w:r>
              <w:rPr>
                <w:rFonts w:hint="eastAsia" w:ascii="汉仪书宋一简" w:eastAsia="汉仪书宋一简"/>
                <w:kern w:val="0"/>
                <w:sz w:val="20"/>
              </w:rPr>
              <w:t>（3）</w:t>
            </w:r>
            <w:r>
              <w:rPr>
                <w:rFonts w:hint="eastAsia" w:ascii="汉仪书宋一简" w:hAnsi="楷体" w:eastAsia="汉仪中黑简" w:cs="楷体"/>
                <w:color w:val="FF0000"/>
                <w:kern w:val="0"/>
                <w:sz w:val="20"/>
              </w:rPr>
              <w:t>用人单位对该裁决不服的，不得直接起诉</w:t>
            </w:r>
            <w:r>
              <w:rPr>
                <w:rFonts w:hint="eastAsia" w:ascii="汉仪书宋一简" w:eastAsia="汉仪书宋一简"/>
                <w:kern w:val="0"/>
                <w:sz w:val="20"/>
              </w:rPr>
              <w:t>。但是有证据证明该仲裁裁决严重违法的，可以自收到仲裁裁决书之日起30日内向劳动争议仲裁委员会所在</w:t>
            </w:r>
            <w:r>
              <w:rPr>
                <w:rFonts w:hint="eastAsia" w:ascii="汉仪书宋一简" w:eastAsia="汉仪书宋一简"/>
                <w:color w:val="0000FF"/>
                <w:kern w:val="0"/>
                <w:sz w:val="20"/>
              </w:rPr>
              <w:t>地的中级人民法院申请撤销裁决。</w:t>
            </w:r>
            <w:r>
              <w:rPr>
                <w:rFonts w:hint="eastAsia" w:ascii="汉仪书宋一简" w:eastAsia="汉仪书宋一简"/>
                <w:kern w:val="0"/>
                <w:sz w:val="20"/>
              </w:rPr>
              <w:t>仲裁裁决被人民法院裁定撤销的，当事人可以自收到裁定书之日起15日内就该劳动争议事项向人民法院提起诉讼</w:t>
            </w:r>
          </w:p>
        </w:tc>
      </w:tr>
    </w:tbl>
    <w:p w14:paraId="6B3F50E4">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二简">
    <w:altName w:val="微软雅黑"/>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粗宋简">
    <w:altName w:val="微软雅黑"/>
    <w:panose1 w:val="00000000000000000000"/>
    <w:charset w:val="86"/>
    <w:family w:val="modern"/>
    <w:pitch w:val="default"/>
    <w:sig w:usb0="00000000" w:usb1="00000000" w:usb2="00000012" w:usb3="00000000" w:csb0="00040000" w:csb1="00000000"/>
  </w:font>
  <w:font w:name="汉仪书宋一简">
    <w:altName w:val="微软雅黑"/>
    <w:panose1 w:val="00000000000000000000"/>
    <w:charset w:val="86"/>
    <w:family w:val="modern"/>
    <w:pitch w:val="default"/>
    <w:sig w:usb0="00000000" w:usb1="00000000" w:usb2="00000012" w:usb3="00000000" w:csb0="00040000" w:csb1="00000000"/>
  </w:font>
  <w:font w:name="汉仪中黑简">
    <w:altName w:val="微软雅黑"/>
    <w:panose1 w:val="00000000000000000000"/>
    <w:charset w:val="86"/>
    <w:family w:val="modern"/>
    <w:pitch w:val="default"/>
    <w:sig w:usb0="00000000" w:usb1="00000000" w:usb2="00000012"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汉仪大黑简">
    <w:altName w:val="微软雅黑"/>
    <w:panose1 w:val="00000000000000000000"/>
    <w:charset w:val="86"/>
    <w:family w:val="modern"/>
    <w:pitch w:val="default"/>
    <w:sig w:usb0="00000000" w:usb1="00000000" w:usb2="00000012" w:usb3="00000000" w:csb0="00040000" w:csb1="00000000"/>
  </w:font>
  <w:font w:name="汉仪粗黑简">
    <w:altName w:val="微软雅黑"/>
    <w:panose1 w:val="00000000000000000000"/>
    <w:charset w:val="86"/>
    <w:family w:val="modern"/>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汉仪书宋二简">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C0340"/>
    <w:rsid w:val="13DF4C4F"/>
    <w:rsid w:val="35494B7A"/>
    <w:rsid w:val="3BAF671A"/>
    <w:rsid w:val="522752FF"/>
    <w:rsid w:val="534C5B09"/>
    <w:rsid w:val="57823704"/>
    <w:rsid w:val="7707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3"/>
    <w:basedOn w:val="1"/>
    <w:next w:val="1"/>
    <w:unhideWhenUsed/>
    <w:qFormat/>
    <w:uiPriority w:val="9"/>
    <w:pPr>
      <w:keepNext/>
      <w:keepLines/>
      <w:ind w:firstLine="0" w:firstLineChars="0"/>
      <w:jc w:val="left"/>
      <w:outlineLvl w:val="2"/>
    </w:pPr>
    <w:rPr>
      <w:rFonts w:eastAsia="汉仪大宋简"/>
      <w:sz w:val="26"/>
    </w:rPr>
  </w:style>
  <w:style w:type="paragraph" w:styleId="4">
    <w:name w:val="heading 4"/>
    <w:basedOn w:val="1"/>
    <w:next w:val="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note text"/>
    <w:basedOn w:val="1"/>
    <w:unhideWhenUsed/>
    <w:qFormat/>
    <w:uiPriority w:val="0"/>
    <w:pPr>
      <w:snapToGrid w:val="0"/>
      <w:jc w:val="left"/>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2025-05-28T12:57:53Z</dcterms:created>
  <dc:creator>cuplh</dc:creator>
  <cp:lastModifiedBy>韩富鹏</cp:lastModifiedBy>
  <dcterms:modified xsi:type="dcterms:W3CDTF">2025-05-28T14:29:17Z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249F6604A7BC42CCB80904072A48643D_12</vt:lpwstr>
  </property>
</Properties>
</file>