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D962261">
      <w:pPr>
        <w:pStyle w:val="style0"/>
        <w:snapToGrid w:val="false"/>
        <w:spacing w:lineRule="auto" w:line="276"/>
        <w:ind w:firstLine="422" w:firstLineChars="200"/>
        <w:jc w:val="center"/>
        <w:rPr>
          <w:rFonts w:hint="eastAsia"/>
          <w:b/>
          <w:bCs/>
          <w:color w:val="auto"/>
        </w:rPr>
      </w:pPr>
      <w:bookmarkStart w:id="0" w:name="_Toc190544251"/>
      <w:bookmarkStart w:id="1" w:name="_Toc192256149"/>
      <w:r>
        <w:rPr>
          <w:rFonts w:hint="eastAsia"/>
          <w:b/>
          <w:bCs/>
          <w:color w:val="auto"/>
        </w:rPr>
        <w:t>考点25  行政复议的受案范围</w:t>
      </w:r>
      <w:bookmarkEnd w:id="0"/>
      <w:bookmarkEnd w:id="1"/>
      <w:r>
        <w:rPr>
          <w:rFonts w:hint="default"/>
          <w:b/>
          <w:bCs/>
          <w:color w:val="auto"/>
          <w:lang w:val="en-US"/>
        </w:rPr>
        <w:t>（19:30-20:25）</w:t>
      </w:r>
    </w:p>
    <w:p w14:paraId="209F1971">
      <w:pPr>
        <w:pStyle w:val="style0"/>
        <w:snapToGrid w:val="false"/>
        <w:spacing w:lineRule="auto" w:line="276"/>
        <w:rPr>
          <w:rFonts w:hint="eastAsia"/>
          <w:b/>
          <w:bCs/>
        </w:rPr>
      </w:pPr>
      <w:r>
        <w:rPr>
          <w:rFonts w:hint="eastAsia"/>
          <w:b/>
          <w:bCs/>
        </w:rPr>
        <w:t>一、行政复议的概念</w:t>
      </w:r>
    </w:p>
    <w:p w14:paraId="217B5BFC">
      <w:pPr>
        <w:pStyle w:val="style0"/>
        <w:snapToGrid w:val="false"/>
        <w:spacing w:lineRule="auto" w:line="276"/>
        <w:ind w:firstLine="420" w:firstLineChars="200"/>
        <w:rPr>
          <w:rFonts w:cs="Times New Roman" w:hint="eastAsia"/>
          <w:color w:val="auto"/>
        </w:rPr>
      </w:pPr>
      <w:r>
        <w:rPr>
          <w:rFonts w:cs="Times New Roman" w:hint="eastAsia"/>
          <w:color w:val="auto"/>
        </w:rPr>
        <w:t>行政复议机关</w:t>
      </w:r>
      <w:r>
        <w:rPr>
          <w:rFonts w:cs="Times New Roman" w:hint="eastAsia"/>
          <w:color w:val="ff0000"/>
        </w:rPr>
        <w:t>对行政行为进行合法性和适当性审查</w:t>
      </w:r>
      <w:r>
        <w:rPr>
          <w:rFonts w:cs="Times New Roman" w:hint="eastAsia"/>
          <w:color w:val="auto"/>
        </w:rPr>
        <w:t>，并</w:t>
      </w:r>
      <w:r>
        <w:rPr>
          <w:rFonts w:cs="Times New Roman" w:hint="eastAsia"/>
          <w:color w:val="auto"/>
        </w:rPr>
        <w:t>作出</w:t>
      </w:r>
      <w:r>
        <w:rPr>
          <w:rFonts w:cs="Times New Roman" w:hint="eastAsia"/>
          <w:color w:val="auto"/>
        </w:rPr>
        <w:t>复议决定的活动。</w:t>
      </w:r>
    </w:p>
    <w:p w14:paraId="3D32CD8A">
      <w:pPr>
        <w:pStyle w:val="style0"/>
        <w:snapToGrid w:val="false"/>
        <w:spacing w:lineRule="auto" w:line="276"/>
        <w:rPr>
          <w:rFonts w:hint="eastAsia"/>
          <w:b/>
          <w:bCs/>
        </w:rPr>
      </w:pPr>
      <w:r>
        <w:rPr>
          <w:rFonts w:hint="eastAsia"/>
          <w:b/>
          <w:bCs/>
        </w:rPr>
        <w:t>二、行政复议的受案范围</w:t>
      </w:r>
    </w:p>
    <w:p w14:paraId="6103F907">
      <w:pPr>
        <w:pStyle w:val="style0"/>
        <w:snapToGrid w:val="false"/>
        <w:spacing w:lineRule="auto" w:line="276"/>
        <w:ind w:firstLine="422" w:firstLineChars="200"/>
        <w:rPr>
          <w:rFonts w:cs="Times New Roman" w:hint="eastAsia"/>
          <w:b/>
          <w:bCs/>
        </w:rPr>
      </w:pPr>
      <w:r>
        <w:rPr>
          <w:rFonts w:cs="Times New Roman" w:hint="eastAsia"/>
          <w:b/>
          <w:bCs/>
        </w:rPr>
        <w:t>（一）行政行为标准</w:t>
      </w:r>
    </w:p>
    <w:p w14:paraId="77A5930B">
      <w:pPr>
        <w:pStyle w:val="style0"/>
        <w:snapToGrid w:val="false"/>
        <w:spacing w:lineRule="auto" w:line="276"/>
        <w:ind w:firstLine="420" w:firstLineChars="200"/>
        <w:rPr>
          <w:rFonts w:cs="Times New Roman" w:hint="eastAsia"/>
          <w:color w:val="auto"/>
        </w:rPr>
      </w:pPr>
      <w:r>
        <w:rPr>
          <w:rFonts w:cs="Times New Roman" w:hint="eastAsia"/>
          <w:color w:val="auto"/>
        </w:rPr>
        <w:t>公民、法人或者其他组织认为行政行为侵犯其合法权益，可以向行政复议机关提出行政复议申请。因此，只有对</w:t>
      </w:r>
      <w:r>
        <w:rPr>
          <w:rFonts w:cs="Times New Roman" w:hint="eastAsia"/>
          <w:color w:val="ff0000"/>
        </w:rPr>
        <w:t>行政行为</w:t>
      </w:r>
      <w:r>
        <w:rPr>
          <w:rFonts w:cs="Times New Roman" w:hint="eastAsia"/>
          <w:color w:val="auto"/>
        </w:rPr>
        <w:t>不服申请行政复议的，才属于行政复议的受案范围。</w:t>
      </w:r>
    </w:p>
    <w:p w14:paraId="2606FBBE">
      <w:pPr>
        <w:pStyle w:val="style0"/>
        <w:snapToGrid w:val="false"/>
        <w:spacing w:lineRule="auto" w:line="276"/>
        <w:ind w:firstLine="422" w:firstLineChars="200"/>
        <w:rPr>
          <w:rFonts w:cs="Times New Roman" w:hint="eastAsia"/>
          <w:b/>
          <w:bCs/>
        </w:rPr>
      </w:pPr>
      <w:r>
        <w:rPr>
          <w:rFonts w:cs="Times New Roman" w:hint="eastAsia"/>
          <w:b/>
          <w:bCs/>
        </w:rPr>
        <w:t>（二）肯定列举案件</w:t>
      </w:r>
      <w:r>
        <w:rPr>
          <w:rFonts w:cs="Times New Roman" w:hint="eastAsia"/>
          <w:b/>
          <w:bCs/>
        </w:rPr>
        <w:t>（基本同行政诉讼受案范围）</w:t>
      </w:r>
    </w:p>
    <w:p w14:paraId="74F46D7B">
      <w:pPr>
        <w:pStyle w:val="style0"/>
        <w:snapToGrid w:val="false"/>
        <w:spacing w:lineRule="auto" w:line="276"/>
        <w:ind w:firstLine="420" w:firstLineChars="200"/>
        <w:rPr>
          <w:rFonts w:cs="Times New Roman" w:hint="eastAsia"/>
          <w:color w:val="ff0000"/>
        </w:rPr>
      </w:pPr>
      <w:r>
        <w:rPr>
          <w:rFonts w:cs="Times New Roman" w:hint="eastAsia"/>
        </w:rPr>
        <w:t>对下列行政行为不服的，可以申请行政复议：（1）行政许可；（2）行政处罚；（3）行政强制措施；（4）行政强制执行；（5）部分行政确认，例如工伤认定或者不予受理工伤认定申请的决定；（6）行政征收及其补偿决定；（7）行政征用及其补偿决定；（8）不履行法定职责；（9）行政裁决；（10）行政给付；（11）政府信息公开决定；（12）滥用行政权力排除或者限制竞争的行政行为；</w:t>
      </w:r>
      <w:r>
        <w:rPr>
          <w:rFonts w:cs="Times New Roman" w:hint="eastAsia"/>
          <w:color w:val="ff0000"/>
        </w:rPr>
        <w:t>（13）行政协议；（14）行政机关</w:t>
      </w:r>
      <w:r>
        <w:rPr>
          <w:rFonts w:cs="Times New Roman" w:hint="eastAsia"/>
          <w:color w:val="ff0000"/>
        </w:rPr>
        <w:t>作出</w:t>
      </w:r>
      <w:r>
        <w:rPr>
          <w:rFonts w:cs="Times New Roman" w:hint="eastAsia"/>
          <w:color w:val="ff0000"/>
        </w:rPr>
        <w:t>的不予赔偿决定或者赔偿决定。</w:t>
      </w:r>
    </w:p>
    <w:p w14:paraId="087FF582">
      <w:pPr>
        <w:pStyle w:val="style0"/>
        <w:snapToGrid w:val="false"/>
        <w:spacing w:lineRule="auto" w:line="276"/>
        <w:ind w:firstLine="422" w:firstLineChars="200"/>
        <w:rPr>
          <w:rFonts w:cs="Times New Roman" w:hint="eastAsia"/>
          <w:b/>
          <w:bCs/>
        </w:rPr>
      </w:pPr>
      <w:r>
        <w:rPr>
          <w:rFonts w:cs="Times New Roman" w:hint="eastAsia"/>
          <w:b/>
          <w:bCs/>
        </w:rPr>
        <w:t>（三）否定列举案件</w:t>
      </w:r>
      <w:r>
        <w:rPr>
          <w:rFonts w:cs="Times New Roman" w:hint="eastAsia"/>
          <w:b/>
          <w:bCs/>
        </w:rPr>
        <w:t>（基本同行政诉讼受案范围）</w:t>
      </w:r>
    </w:p>
    <w:p w14:paraId="1C3DCB8E">
      <w:pPr>
        <w:pStyle w:val="style0"/>
        <w:snapToGrid w:val="false"/>
        <w:spacing w:lineRule="auto" w:line="276"/>
        <w:ind w:firstLine="420" w:firstLineChars="200"/>
        <w:rPr>
          <w:rFonts w:cs="Times New Roman" w:hint="eastAsia"/>
          <w:color w:val="auto"/>
        </w:rPr>
      </w:pPr>
      <w:r>
        <w:rPr>
          <w:rFonts w:cs="Times New Roman" w:hint="eastAsia"/>
          <w:color w:val="auto"/>
        </w:rPr>
        <w:t>对下列行为不服的，不能申请行政复议：（1）个人行为；（2）民事行为；（3）国家行为；（4）刑事司法行为；（5）仲裁行为；（6）行政机关公务员履行公职过程中殴打行政相对人的行为；（7）协助法院执行行为，但是超越裁判文书的执行范围、采取违法手段执行的除外；（8）行政调解；（9）行政指导；（10）过程性行为；（11）重复处理行为；（12）部分行政确认案件，例如交通事故责任认定书；（13）信访办理行为；（14）行政规范性文件；（15）内部行为。</w:t>
      </w:r>
    </w:p>
    <w:p w14:paraId="09B6D244">
      <w:pPr>
        <w:pStyle w:val="style0"/>
        <w:snapToGrid w:val="false"/>
        <w:spacing w:lineRule="auto" w:line="276"/>
        <w:ind w:firstLine="422" w:firstLineChars="200"/>
        <w:rPr>
          <w:rFonts w:cs="Times New Roman" w:hint="eastAsia"/>
          <w:b/>
          <w:bCs/>
          <w:color w:val="ff0000"/>
        </w:rPr>
      </w:pPr>
      <w:r>
        <w:rPr>
          <w:rFonts w:cs="Times New Roman" w:hint="eastAsia"/>
          <w:b/>
          <w:bCs/>
        </w:rPr>
        <w:t>（四）行政复议中规范性文件的附带审查</w:t>
      </w:r>
    </w:p>
    <w:p w14:paraId="45AD3FB6">
      <w:pPr>
        <w:pStyle w:val="style0"/>
        <w:snapToGrid w:val="false"/>
        <w:spacing w:lineRule="auto" w:line="276"/>
        <w:ind w:firstLine="420" w:firstLineChars="200"/>
        <w:rPr>
          <w:rFonts w:cs="Times New Roman" w:hint="eastAsia"/>
          <w:color w:val="auto"/>
        </w:rPr>
      </w:pPr>
      <w:r>
        <w:rPr>
          <w:rFonts w:cs="Times New Roman" w:hint="eastAsia"/>
          <w:color w:val="auto"/>
        </w:rPr>
        <w:t>行政</w:t>
      </w:r>
      <w:r>
        <w:rPr>
          <w:rFonts w:cs="Times New Roman" w:hint="eastAsia"/>
          <w:color w:val="auto"/>
        </w:rPr>
        <w:t>复议既</w:t>
      </w:r>
      <w:r>
        <w:rPr>
          <w:rFonts w:cs="Times New Roman" w:hint="eastAsia"/>
          <w:color w:val="auto"/>
        </w:rPr>
        <w:t>可以审查行政行为，</w:t>
      </w:r>
      <w:r>
        <w:rPr>
          <w:rFonts w:cs="Times New Roman" w:hint="eastAsia"/>
          <w:color w:val="ff0000"/>
        </w:rPr>
        <w:t>还可以附带审查规章以下（不含规章）的行政规范性文件，即红头文件也可以在行政复议中附带审查其合法性。</w:t>
      </w:r>
    </w:p>
    <w:p w14:paraId="43D3AC0C">
      <w:pPr>
        <w:pStyle w:val="style0"/>
        <w:snapToGrid w:val="false"/>
        <w:spacing w:lineRule="auto" w:line="276"/>
        <w:ind w:firstLine="420" w:firstLineChars="200"/>
        <w:rPr>
          <w:rFonts w:cs="华康娃娃体W5" w:hint="eastAsia"/>
        </w:rPr>
      </w:pPr>
      <w:r>
        <w:rPr>
          <w:rFonts w:cs="仿宋" w:hint="eastAsia"/>
          <w:color w:val="ff0000"/>
        </w:rPr>
        <w:t>注意：</w:t>
      </w:r>
      <w:r>
        <w:rPr>
          <w:rFonts w:cs="华康娃娃体W5" w:hint="eastAsia"/>
        </w:rPr>
        <w:t>行政法规、国务院发布的具有普遍约束力的决定命令、部门规章、地方政府规章，均不得在行政复议中附带审查。</w:t>
      </w:r>
    </w:p>
    <w:p w14:paraId="0F7B854B">
      <w:pPr>
        <w:pStyle w:val="style0"/>
        <w:snapToGrid w:val="false"/>
        <w:spacing w:lineRule="auto" w:line="276"/>
        <w:ind w:firstLine="422" w:firstLineChars="200"/>
        <w:rPr>
          <w:rFonts w:cs="Times New Roman" w:hint="eastAsia"/>
          <w:b/>
          <w:bCs/>
          <w:color w:val="auto"/>
        </w:rPr>
      </w:pPr>
      <w:r>
        <w:rPr>
          <w:rFonts w:cs="Times New Roman" w:hint="eastAsia"/>
          <w:b/>
          <w:bCs/>
          <w:color w:val="auto"/>
        </w:rPr>
        <w:t>1.</w:t>
      </w:r>
      <w:r>
        <w:rPr>
          <w:rFonts w:cs="Times New Roman" w:hint="eastAsia"/>
          <w:b/>
          <w:bCs/>
          <w:color w:val="auto"/>
        </w:rPr>
        <w:t>行政复议机关附带审查行政规范性文件应当遵守下列的程序</w:t>
      </w:r>
    </w:p>
    <w:p w14:paraId="1396142B">
      <w:pPr>
        <w:pStyle w:val="style0"/>
        <w:snapToGrid w:val="false"/>
        <w:spacing w:lineRule="auto" w:line="276"/>
        <w:ind w:firstLine="420" w:firstLineChars="200"/>
        <w:rPr>
          <w:rFonts w:cs="Times New Roman" w:hint="eastAsia"/>
          <w:color w:val="auto"/>
        </w:rPr>
      </w:pPr>
      <w:r>
        <w:rPr>
          <w:rFonts w:cs="Times New Roman" w:hint="eastAsia"/>
          <w:color w:val="auto"/>
        </w:rPr>
        <w:t>申请人提出对有关规范性文件的附带审查申请，行政复议机关有权处理的，应当在30日内依法处理。</w:t>
      </w:r>
    </w:p>
    <w:p w14:paraId="7F907083">
      <w:pPr>
        <w:pStyle w:val="style0"/>
        <w:snapToGrid w:val="false"/>
        <w:spacing w:lineRule="auto" w:line="276"/>
        <w:ind w:firstLine="420" w:firstLineChars="200"/>
        <w:rPr>
          <w:rFonts w:cs="Times New Roman" w:hint="eastAsia"/>
          <w:color w:val="ff0000"/>
        </w:rPr>
      </w:pPr>
      <w:r>
        <w:rPr>
          <w:rFonts w:cs="Times New Roman" w:hint="eastAsia"/>
          <w:color w:val="ff0000"/>
        </w:rPr>
        <w:t>行政复议机关无权处理的，应当在7日内转送有权处理的行政机关依法处理。接受转送的行政机关应当自收到转送之日起60日内，将处理意见回复转送的行政复议机关。</w:t>
      </w:r>
    </w:p>
    <w:p w14:paraId="46EB3DDF">
      <w:pPr>
        <w:pStyle w:val="style0"/>
        <w:snapToGrid w:val="false"/>
        <w:spacing w:lineRule="auto" w:line="276"/>
        <w:ind w:firstLine="422" w:firstLineChars="200"/>
        <w:rPr>
          <w:rFonts w:hint="eastAsia"/>
          <w:b/>
          <w:bCs/>
          <w:color w:val="auto"/>
          <w:kern w:val="0"/>
        </w:rPr>
      </w:pPr>
      <w:r>
        <w:rPr>
          <w:rFonts w:hint="eastAsia"/>
          <w:b/>
          <w:bCs/>
          <w:color w:val="auto"/>
          <w:kern w:val="0"/>
        </w:rPr>
        <w:t>2.</w:t>
      </w:r>
      <w:r>
        <w:rPr>
          <w:rFonts w:hint="eastAsia"/>
          <w:b/>
          <w:bCs/>
          <w:color w:val="auto"/>
          <w:kern w:val="0"/>
        </w:rPr>
        <w:t>行政复议附带审查行政规范性文件的结果</w:t>
      </w:r>
    </w:p>
    <w:p w14:paraId="49B172A5">
      <w:pPr>
        <w:pStyle w:val="style0"/>
        <w:snapToGrid w:val="false"/>
        <w:spacing w:lineRule="auto" w:line="276"/>
        <w:ind w:firstLine="420" w:firstLineChars="200"/>
        <w:rPr>
          <w:rFonts w:cs="Times New Roman" w:hint="eastAsia"/>
          <w:color w:val="auto"/>
        </w:rPr>
      </w:pPr>
      <w:r>
        <w:rPr>
          <w:rFonts w:cs="Times New Roman" w:hint="eastAsia"/>
          <w:color w:val="auto"/>
        </w:rPr>
        <w:t>（1）规范性文件合法的</w:t>
      </w:r>
    </w:p>
    <w:p w14:paraId="37880D97">
      <w:pPr>
        <w:pStyle w:val="style0"/>
        <w:snapToGrid w:val="false"/>
        <w:spacing w:lineRule="auto" w:line="276"/>
        <w:ind w:firstLine="420" w:firstLineChars="200"/>
        <w:rPr>
          <w:rFonts w:cs="Times New Roman" w:hint="eastAsia"/>
          <w:color w:val="auto"/>
        </w:rPr>
      </w:pPr>
      <w:r>
        <w:rPr>
          <w:rFonts w:cs="Times New Roman" w:hint="eastAsia"/>
          <w:color w:val="auto"/>
        </w:rPr>
        <w:t>行政复议机关认为规范性文件相关条款合法的，在行政复议决定书中一并告知。</w:t>
      </w:r>
    </w:p>
    <w:p w14:paraId="797E380A">
      <w:pPr>
        <w:pStyle w:val="style0"/>
        <w:snapToGrid w:val="false"/>
        <w:spacing w:lineRule="auto" w:line="276"/>
        <w:ind w:firstLine="420" w:firstLineChars="200"/>
        <w:rPr>
          <w:rFonts w:cs="Times New Roman" w:hint="eastAsia"/>
          <w:color w:val="auto"/>
        </w:rPr>
      </w:pPr>
      <w:r>
        <w:rPr>
          <w:rFonts w:cs="Times New Roman" w:hint="eastAsia"/>
          <w:color w:val="auto"/>
        </w:rPr>
        <w:t>（2）规范性文件违法的</w:t>
      </w:r>
    </w:p>
    <w:p w14:paraId="7A38BDD5">
      <w:pPr>
        <w:pStyle w:val="style0"/>
        <w:snapToGrid w:val="false"/>
        <w:spacing w:lineRule="auto" w:line="276"/>
        <w:ind w:firstLine="420" w:firstLineChars="200"/>
        <w:rPr>
          <w:rFonts w:cs="Times New Roman" w:hint="eastAsia"/>
          <w:color w:val="ff0000"/>
        </w:rPr>
      </w:pPr>
      <w:r>
        <w:rPr>
          <w:rFonts w:cs="Times New Roman" w:hint="eastAsia"/>
          <w:color w:val="ff0000"/>
        </w:rPr>
        <w:t>行政复议机关认为规范性文件相关条款违法的，决定停止该条款的执行，并责令制定机关予以纠正。</w:t>
      </w:r>
    </w:p>
    <w:p w14:paraId="2B71EA45">
      <w:pPr>
        <w:pStyle w:val="style0"/>
        <w:snapToGrid w:val="false"/>
        <w:spacing w:lineRule="auto" w:line="276"/>
        <w:ind w:firstLine="422" w:firstLineChars="200"/>
        <w:rPr>
          <w:rFonts w:cs="Times New Roman" w:hint="eastAsia"/>
          <w:b/>
          <w:bCs/>
          <w:color w:val="ff0000"/>
        </w:rPr>
      </w:pPr>
      <w:r>
        <w:rPr>
          <w:rFonts w:cs="Times New Roman" w:hint="eastAsia"/>
          <w:b/>
          <w:bCs/>
        </w:rPr>
        <w:t>（五）行政复议与行政诉讼的衔接关系</w:t>
      </w:r>
      <w:r>
        <w:rPr>
          <w:rFonts w:cs="Times New Roman" w:hint="eastAsia"/>
          <w:b/>
          <w:bCs/>
        </w:rPr>
        <w:t>（重点掌握复议前置情形）</w:t>
      </w:r>
    </w:p>
    <w:p w14:paraId="2D1EB05A">
      <w:pPr>
        <w:pStyle w:val="style0"/>
        <w:snapToGrid w:val="false"/>
        <w:spacing w:lineRule="auto" w:line="276"/>
        <w:ind w:firstLine="422" w:firstLineChars="200"/>
        <w:rPr>
          <w:rFonts w:hint="eastAsia"/>
          <w:b/>
          <w:bCs/>
          <w:color w:val="auto"/>
          <w:kern w:val="0"/>
        </w:rPr>
      </w:pPr>
      <w:r>
        <w:rPr>
          <w:rFonts w:hint="eastAsia"/>
          <w:b/>
          <w:bCs/>
          <w:color w:val="auto"/>
          <w:kern w:val="0"/>
        </w:rPr>
        <w:t>1．行政复议行政诉讼自由选择</w:t>
      </w:r>
    </w:p>
    <w:p w14:paraId="0D602F63">
      <w:pPr>
        <w:pStyle w:val="style0"/>
        <w:snapToGrid w:val="false"/>
        <w:spacing w:lineRule="auto" w:line="276"/>
        <w:ind w:firstLine="420" w:firstLineChars="200"/>
        <w:rPr>
          <w:rFonts w:cs="Times New Roman" w:hint="eastAsia"/>
          <w:color w:val="auto"/>
        </w:rPr>
      </w:pPr>
      <w:r>
        <w:rPr>
          <w:rFonts w:cs="Times New Roman" w:hint="eastAsia"/>
          <w:color w:val="auto"/>
        </w:rPr>
        <w:t>当事人依法既可以直接选择向法院起诉，也可以选择先向复议机关申请复议，对复议决定仍不服再提起行政诉讼。</w:t>
      </w:r>
    </w:p>
    <w:p w14:paraId="1CB8433A">
      <w:pPr>
        <w:pStyle w:val="style0"/>
        <w:snapToGrid w:val="false"/>
        <w:spacing w:lineRule="auto" w:line="276"/>
        <w:ind w:firstLine="420" w:firstLineChars="200"/>
        <w:rPr>
          <w:rFonts w:cs="Times New Roman" w:hint="eastAsia"/>
          <w:color w:val="auto"/>
        </w:rPr>
      </w:pPr>
      <w:r>
        <w:rPr>
          <w:rFonts w:cs="Times New Roman" w:hint="eastAsia"/>
          <w:color w:val="auto"/>
        </w:rPr>
        <w:t>（1）已经诉讼，不得复议</w:t>
      </w:r>
      <w:r>
        <w:rPr>
          <w:rFonts w:cs="Times New Roman" w:hint="eastAsia"/>
          <w:color w:val="auto"/>
        </w:rPr>
        <w:t>。</w:t>
      </w:r>
      <w:r>
        <w:rPr>
          <w:rFonts w:cs="Times New Roman" w:hint="eastAsia"/>
          <w:color w:val="auto"/>
        </w:rPr>
        <w:t>当事人已经对某一行政纠纷提起诉讼的，一旦法院受理，无论法院是否已经</w:t>
      </w:r>
      <w:r>
        <w:rPr>
          <w:rFonts w:cs="Times New Roman" w:hint="eastAsia"/>
          <w:color w:val="auto"/>
        </w:rPr>
        <w:t>作出</w:t>
      </w:r>
      <w:r>
        <w:rPr>
          <w:rFonts w:cs="Times New Roman" w:hint="eastAsia"/>
          <w:color w:val="auto"/>
        </w:rPr>
        <w:t>判决，当事人都不得再就同一争议申请行政复议。</w:t>
      </w:r>
    </w:p>
    <w:p w14:paraId="35CB0E87">
      <w:pPr>
        <w:pStyle w:val="style0"/>
        <w:snapToGrid w:val="false"/>
        <w:spacing w:lineRule="auto" w:line="276"/>
        <w:ind w:firstLine="420" w:firstLineChars="200"/>
        <w:rPr>
          <w:rFonts w:cs="Times New Roman" w:hint="eastAsia"/>
          <w:color w:val="auto"/>
        </w:rPr>
      </w:pPr>
      <w:r>
        <w:rPr>
          <w:rFonts w:cs="Times New Roman" w:hint="eastAsia"/>
          <w:color w:val="auto"/>
        </w:rPr>
        <w:t>（2）已经复议，暂缓诉讼</w:t>
      </w:r>
      <w:r>
        <w:rPr>
          <w:rFonts w:cs="Times New Roman" w:hint="eastAsia"/>
          <w:color w:val="auto"/>
        </w:rPr>
        <w:t>。</w:t>
      </w:r>
      <w:r>
        <w:rPr>
          <w:rFonts w:cs="Times New Roman" w:hint="eastAsia"/>
          <w:color w:val="auto"/>
        </w:rPr>
        <w:t>当事人如果就同一争议同时提起行政诉讼又申请行政复议的，应由先由立案的机关管辖；如果两机关同时受理的，则由当事人任选其一。</w:t>
      </w:r>
    </w:p>
    <w:p w14:paraId="49F91BBF">
      <w:pPr>
        <w:pStyle w:val="style0"/>
        <w:snapToGrid w:val="false"/>
        <w:spacing w:lineRule="auto" w:line="276"/>
        <w:ind w:firstLine="420" w:firstLineChars="200"/>
        <w:rPr>
          <w:rFonts w:cs="Times New Roman" w:hint="eastAsia"/>
          <w:color w:val="ff0000"/>
        </w:rPr>
      </w:pPr>
      <w:r>
        <w:rPr>
          <w:rFonts w:cs="Times New Roman" w:hint="eastAsia"/>
          <w:color w:val="ff0000"/>
        </w:rPr>
        <w:t>如当事人已经申请行政复议的，则在复议期间不得再就同一争议向法院起诉。在法定复议期间提起行政诉讼的，法院裁定不予立案。</w:t>
      </w:r>
    </w:p>
    <w:p w14:paraId="479A5921">
      <w:pPr>
        <w:pStyle w:val="style0"/>
        <w:snapToGrid w:val="false"/>
        <w:spacing w:lineRule="auto" w:line="276"/>
        <w:ind w:firstLine="420" w:firstLineChars="200"/>
        <w:rPr>
          <w:rFonts w:cs="Times New Roman" w:hint="eastAsia"/>
          <w:color w:val="auto"/>
        </w:rPr>
      </w:pPr>
      <w:r>
        <w:rPr>
          <w:rFonts w:cs="Times New Roman" w:hint="eastAsia"/>
          <w:color w:val="auto"/>
        </w:rPr>
        <w:t>（3）复后再诉，时间受限</w:t>
      </w:r>
      <w:r>
        <w:rPr>
          <w:rFonts w:cs="Times New Roman" w:hint="eastAsia"/>
          <w:color w:val="auto"/>
        </w:rPr>
        <w:t>。</w:t>
      </w:r>
      <w:r>
        <w:rPr>
          <w:rFonts w:cs="Times New Roman" w:hint="eastAsia"/>
          <w:color w:val="auto"/>
        </w:rPr>
        <w:t>原则上是15日</w:t>
      </w:r>
      <w:r>
        <w:rPr>
          <w:rFonts w:cs="Times New Roman" w:hint="eastAsia"/>
          <w:color w:val="auto"/>
        </w:rPr>
        <w:t>。</w:t>
      </w:r>
      <w:r>
        <w:rPr>
          <w:rFonts w:cs="Times New Roman" w:hint="eastAsia"/>
          <w:color w:val="auto"/>
        </w:rPr>
        <w:t>复议机关</w:t>
      </w:r>
      <w:r>
        <w:rPr>
          <w:rFonts w:cs="Times New Roman" w:hint="eastAsia"/>
          <w:color w:val="auto"/>
        </w:rPr>
        <w:t>作出</w:t>
      </w:r>
      <w:r>
        <w:rPr>
          <w:rFonts w:cs="Times New Roman" w:hint="eastAsia"/>
          <w:color w:val="auto"/>
        </w:rPr>
        <w:t>复议决定的，从当事人收到复议决定书之日起算；复议机关逾期不</w:t>
      </w:r>
      <w:r>
        <w:rPr>
          <w:rFonts w:cs="Times New Roman" w:hint="eastAsia"/>
          <w:color w:val="auto"/>
        </w:rPr>
        <w:t>作出</w:t>
      </w:r>
      <w:r>
        <w:rPr>
          <w:rFonts w:cs="Times New Roman" w:hint="eastAsia"/>
          <w:color w:val="auto"/>
        </w:rPr>
        <w:t>复议决定的，从复议审理期满之日起算。</w:t>
      </w:r>
    </w:p>
    <w:p w14:paraId="05985C4E">
      <w:pPr>
        <w:pStyle w:val="style0"/>
        <w:snapToGrid w:val="false"/>
        <w:spacing w:lineRule="auto" w:line="276"/>
        <w:ind w:firstLine="422" w:firstLineChars="200"/>
        <w:rPr>
          <w:rFonts w:hint="eastAsia"/>
          <w:b/>
          <w:bCs/>
          <w:color w:val="4472c4"/>
          <w:kern w:val="0"/>
        </w:rPr>
      </w:pPr>
      <w:r>
        <w:rPr>
          <w:rFonts w:hint="eastAsia"/>
          <w:b/>
          <w:bCs/>
          <w:color w:val="4472c4"/>
          <w:kern w:val="0"/>
        </w:rPr>
        <w:t>2．行政复议前置但</w:t>
      </w:r>
      <w:r>
        <w:rPr>
          <w:rFonts w:hint="eastAsia"/>
          <w:b/>
          <w:bCs/>
          <w:color w:val="4472c4"/>
          <w:kern w:val="0"/>
        </w:rPr>
        <w:t>不</w:t>
      </w:r>
      <w:r>
        <w:rPr>
          <w:rFonts w:hint="eastAsia"/>
          <w:b/>
          <w:bCs/>
          <w:color w:val="4472c4"/>
          <w:kern w:val="0"/>
        </w:rPr>
        <w:t>终局</w:t>
      </w:r>
    </w:p>
    <w:p w14:paraId="1845D938">
      <w:pPr>
        <w:pStyle w:val="style0"/>
        <w:snapToGrid w:val="false"/>
        <w:spacing w:lineRule="auto" w:line="276"/>
        <w:ind w:firstLine="420" w:firstLineChars="200"/>
        <w:rPr>
          <w:rFonts w:cs="Times New Roman" w:hint="eastAsia"/>
          <w:color w:val="ff0000"/>
        </w:rPr>
      </w:pPr>
      <w:r>
        <w:rPr>
          <w:rFonts w:cs="Times New Roman" w:hint="eastAsia"/>
          <w:color w:val="ff0000"/>
        </w:rPr>
        <w:t>复议前置案件，常见的是如下六类：</w:t>
      </w:r>
    </w:p>
    <w:p w14:paraId="4AAAE7B9">
      <w:pPr>
        <w:pStyle w:val="style0"/>
        <w:snapToGrid w:val="false"/>
        <w:spacing w:lineRule="auto" w:line="276"/>
        <w:ind w:firstLine="420" w:firstLineChars="200"/>
        <w:rPr>
          <w:rFonts w:cs="Times New Roman" w:hint="eastAsia"/>
          <w:color w:val="ff0000"/>
        </w:rPr>
      </w:pPr>
      <w:r>
        <w:rPr>
          <w:rFonts w:cs="Times New Roman" w:hint="eastAsia"/>
          <w:color w:val="ff0000"/>
        </w:rPr>
        <w:t>（1）行政确权</w:t>
      </w:r>
      <w:r>
        <w:rPr>
          <w:rFonts w:cs="Times New Roman" w:hint="eastAsia"/>
          <w:color w:val="ff0000"/>
        </w:rPr>
        <w:t>侵犯既</w:t>
      </w:r>
      <w:r>
        <w:rPr>
          <w:rFonts w:cs="Times New Roman" w:hint="eastAsia"/>
          <w:color w:val="ff0000"/>
        </w:rPr>
        <w:t>得自然资源权利案件</w:t>
      </w:r>
    </w:p>
    <w:p w14:paraId="1115A5DC">
      <w:pPr>
        <w:pStyle w:val="style0"/>
        <w:snapToGrid w:val="false"/>
        <w:spacing w:lineRule="auto" w:line="276"/>
        <w:ind w:firstLine="420" w:firstLineChars="200"/>
        <w:rPr>
          <w:rFonts w:cs="Times New Roman" w:hint="eastAsia"/>
          <w:color w:val="ff0000"/>
        </w:rPr>
      </w:pPr>
      <w:r>
        <w:rPr>
          <w:rFonts w:cs="Times New Roman" w:hint="eastAsia"/>
          <w:color w:val="ff0000"/>
        </w:rPr>
        <w:t>（2）涉及纳税争议的部分行政行为案件</w:t>
      </w:r>
      <w:r>
        <w:rPr>
          <w:rFonts w:cs="Times New Roman" w:hint="eastAsia"/>
          <w:color w:val="ff0000"/>
        </w:rPr>
        <w:t>，</w:t>
      </w:r>
      <w:r>
        <w:rPr>
          <w:rFonts w:cs="Times New Roman" w:hint="eastAsia"/>
          <w:color w:val="auto"/>
        </w:rPr>
        <w:t>主要情形是</w:t>
      </w:r>
      <w:r>
        <w:rPr>
          <w:rFonts w:cs="Times New Roman" w:hint="eastAsia"/>
          <w:color w:val="auto"/>
        </w:rPr>
        <w:t>“交不交、谁来交、交多少、怎么算”。</w:t>
      </w:r>
    </w:p>
    <w:p w14:paraId="06889E20">
      <w:pPr>
        <w:pStyle w:val="style0"/>
        <w:snapToGrid w:val="false"/>
        <w:spacing w:lineRule="auto" w:line="276"/>
        <w:ind w:firstLine="420" w:firstLineChars="200"/>
        <w:rPr>
          <w:rFonts w:cs="华康娃娃体W5" w:hint="eastAsia"/>
        </w:rPr>
      </w:pPr>
      <w:r>
        <w:rPr>
          <w:rFonts w:cs="汉仪书宋二简"/>
          <w:noProof/>
          <w:color w:val="ff0000"/>
        </w:rPr>
        <mc:AlternateContent>
          <mc:Choice Requires="wps">
            <w:drawing>
              <wp:anchor distT="0" distB="0" distL="0" distR="0" simplePos="false" relativeHeight="3" behindDoc="false" locked="false" layoutInCell="true" allowOverlap="true">
                <wp:simplePos x="0" y="0"/>
                <wp:positionH relativeFrom="column">
                  <wp:posOffset>58420</wp:posOffset>
                </wp:positionH>
                <wp:positionV relativeFrom="paragraph">
                  <wp:posOffset>74559</wp:posOffset>
                </wp:positionV>
                <wp:extent cx="142875" cy="142875"/>
                <wp:effectExtent l="0" t="0" r="9525" b="9525"/>
                <wp:wrapNone/>
                <wp:docPr id="1026"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6" type="#_x0000_t12" adj="4125," fillcolor="red" stroked="f" style="position:absolute;margin-left:4.6pt;margin-top:5.87pt;width:11.25pt;height:11.25pt;z-index:3;mso-position-horizontal-relative:text;mso-position-vertical-relative:text;mso-width-relative:page;mso-height-relative:page;mso-wrap-distance-left:0.0pt;mso-wrap-distance-right:0.0pt;visibility:visible;">
                <v:stroke on="f" joinstyle="miter" weight="1.0pt"/>
                <v:fill/>
              </v:shape>
            </w:pict>
          </mc:Fallback>
        </mc:AlternateContent>
      </w:r>
      <w:r>
        <w:rPr>
          <w:rFonts w:cs="仿宋" w:hint="eastAsia"/>
          <w:color w:val="ff0000"/>
        </w:rPr>
        <w:t>注意：</w:t>
      </w:r>
      <w:r>
        <w:rPr>
          <w:rFonts w:cs="华康娃娃体W5" w:hint="eastAsia"/>
        </w:rPr>
        <w:t>当事人对税务机关的处罚决定、行政强制措施以及行政强制执行不服的，既可以申请行政复议，也可以直接提起行政诉讼。</w:t>
      </w:r>
    </w:p>
    <w:p w14:paraId="2CF52E42">
      <w:pPr>
        <w:pStyle w:val="style0"/>
        <w:snapToGrid w:val="false"/>
        <w:spacing w:lineRule="auto" w:line="276"/>
        <w:ind w:firstLine="420" w:firstLineChars="200"/>
        <w:rPr>
          <w:rFonts w:cs="Times New Roman" w:hint="eastAsia"/>
          <w:color w:val="ff0000"/>
        </w:rPr>
      </w:pPr>
      <w:r>
        <w:rPr>
          <w:rFonts w:cs="Times New Roman" w:hint="eastAsia"/>
          <w:color w:val="ff0000"/>
        </w:rPr>
        <w:t>（3）禁止或限制经营者集中的行政行为案件</w:t>
      </w:r>
    </w:p>
    <w:p w14:paraId="52D10501">
      <w:pPr>
        <w:pStyle w:val="style0"/>
        <w:snapToGrid w:val="false"/>
        <w:spacing w:lineRule="auto" w:line="276"/>
        <w:ind w:firstLine="420" w:firstLineChars="200"/>
        <w:rPr>
          <w:rFonts w:cs="Times New Roman" w:hint="eastAsia"/>
          <w:color w:val="ff0000"/>
        </w:rPr>
      </w:pPr>
      <w:r>
        <w:rPr>
          <w:rFonts w:cs="Times New Roman" w:hint="eastAsia"/>
          <w:color w:val="ff0000"/>
        </w:rPr>
        <w:t>（4）申请政府信息公开，行政机关不予公开的案件</w:t>
      </w:r>
    </w:p>
    <w:p w14:paraId="0484785B">
      <w:pPr>
        <w:pStyle w:val="style0"/>
        <w:snapToGrid w:val="false"/>
        <w:spacing w:lineRule="auto" w:line="276"/>
        <w:ind w:firstLine="420" w:firstLineChars="200"/>
        <w:rPr>
          <w:rFonts w:cs="Times New Roman" w:hint="eastAsia"/>
        </w:rPr>
      </w:pPr>
      <w:r>
        <w:rPr>
          <w:rFonts w:cs="Times New Roman" w:hint="eastAsia"/>
          <w:color w:val="ff0000"/>
        </w:rPr>
        <w:t>（5）当场</w:t>
      </w:r>
      <w:r>
        <w:rPr>
          <w:rFonts w:cs="Times New Roman" w:hint="eastAsia"/>
          <w:color w:val="ff0000"/>
        </w:rPr>
        <w:t>作出</w:t>
      </w:r>
      <w:r>
        <w:rPr>
          <w:rFonts w:cs="Times New Roman" w:hint="eastAsia"/>
          <w:color w:val="ff0000"/>
        </w:rPr>
        <w:t>行政处罚决定的案件</w:t>
      </w:r>
      <w:r>
        <w:rPr>
          <w:rFonts w:cs="Times New Roman" w:hint="eastAsia"/>
          <w:color w:val="ff0000"/>
        </w:rPr>
        <w:t>，</w:t>
      </w:r>
      <w:r>
        <w:rPr>
          <w:rFonts w:cs="Times New Roman" w:hint="eastAsia"/>
          <w:color w:val="auto"/>
        </w:rPr>
        <w:t>对公民处以200元以下罚款、对单位处以3000元以下罚款以及警告处罚的，行政机关可以适用简易程序当场</w:t>
      </w:r>
      <w:r>
        <w:rPr>
          <w:rFonts w:cs="Times New Roman" w:hint="eastAsia"/>
          <w:color w:val="auto"/>
        </w:rPr>
        <w:t>作出</w:t>
      </w:r>
      <w:r>
        <w:rPr>
          <w:rFonts w:cs="Times New Roman" w:hint="eastAsia"/>
          <w:color w:val="auto"/>
        </w:rPr>
        <w:t>。</w:t>
      </w:r>
    </w:p>
    <w:p w14:paraId="5D5ADE59">
      <w:pPr>
        <w:pStyle w:val="style0"/>
        <w:snapToGrid w:val="false"/>
        <w:spacing w:lineRule="auto" w:line="276"/>
        <w:ind w:firstLine="420" w:firstLineChars="200"/>
        <w:rPr>
          <w:rFonts w:cs="Times New Roman" w:hint="eastAsia"/>
          <w:color w:val="ff0000"/>
        </w:rPr>
      </w:pPr>
      <w:r>
        <w:rPr>
          <w:rFonts w:cs="Times New Roman" w:hint="eastAsia"/>
          <w:color w:val="ff0000"/>
        </w:rPr>
        <w:t>（6）行政机关未履行法定职责的案件</w:t>
      </w:r>
      <w:r>
        <w:rPr>
          <w:rFonts w:cs="Times New Roman" w:hint="eastAsia"/>
          <w:color w:val="ff0000"/>
        </w:rPr>
        <w:t>。包括</w:t>
      </w:r>
      <w:r>
        <w:rPr>
          <w:rFonts w:cs="Times New Roman" w:hint="eastAsia"/>
          <w:color w:val="auto"/>
          <w:spacing w:val="-3"/>
        </w:rPr>
        <w:t>①积极不作为：拒绝履行。</w:t>
      </w:r>
      <w:r>
        <w:rPr>
          <w:rFonts w:cs="Times New Roman" w:hint="eastAsia"/>
          <w:color w:val="auto"/>
        </w:rPr>
        <w:t>②消极不作为：拖延履行、没有答复（。</w:t>
      </w:r>
    </w:p>
    <w:p w14:paraId="3365440C">
      <w:pPr>
        <w:pStyle w:val="style0"/>
        <w:snapToGrid w:val="false"/>
        <w:spacing w:lineRule="auto" w:line="276"/>
        <w:ind w:firstLine="420" w:firstLineChars="200"/>
        <w:rPr>
          <w:rFonts w:cs="楷体" w:hint="eastAsia"/>
        </w:rPr>
      </w:pPr>
      <w:r>
        <w:rPr>
          <w:rFonts w:hint="eastAsia"/>
          <w:color w:val="ff0000"/>
        </w:rPr>
        <w:t>记忆规则：</w:t>
      </w:r>
      <w:r>
        <w:rPr>
          <w:rFonts w:cs="楷体" w:hint="eastAsia"/>
        </w:rPr>
        <w:t>“资源纳税反垄断，政府当场不作为”。</w:t>
      </w:r>
    </w:p>
    <w:p w14:paraId="37A311F0">
      <w:pPr>
        <w:pStyle w:val="style0"/>
        <w:snapToGrid w:val="false"/>
        <w:spacing w:lineRule="auto" w:line="276"/>
        <w:ind w:firstLine="420" w:firstLineChars="200"/>
        <w:rPr>
          <w:rFonts w:cs="楷体"/>
          <w:color w:val="4472c4"/>
        </w:rPr>
      </w:pPr>
      <w:r>
        <w:rPr>
          <w:rFonts w:cs="楷体" w:hint="eastAsia"/>
          <w:color w:val="4472c4"/>
        </w:rPr>
        <w:t>裁判要点：</w:t>
      </w:r>
      <w:r>
        <w:rPr>
          <w:rFonts w:cs="楷体" w:hint="eastAsia"/>
          <w:color w:val="4472c4"/>
        </w:rPr>
        <w:t>行政复议前置案件，复议机关不予答复、</w:t>
      </w:r>
      <w:r>
        <w:rPr>
          <w:rFonts w:cs="楷体" w:hint="eastAsia"/>
          <w:color w:val="4472c4"/>
        </w:rPr>
        <w:t>作出</w:t>
      </w:r>
      <w:r>
        <w:rPr>
          <w:rFonts w:cs="楷体" w:hint="eastAsia"/>
          <w:color w:val="4472c4"/>
        </w:rPr>
        <w:t>程序性驳回复议申请决定，当事人只能对复议机关的不予答复、不予受理行为依法提起行政诉讼，无权直接起诉原行政行为。直接起诉原行政行为的，法院裁定不予立案；已经立案的，法院裁定驳回起诉。</w:t>
      </w:r>
    </w:p>
    <w:p w14:paraId="42D64303">
      <w:pPr>
        <w:pStyle w:val="style0"/>
        <w:snapToGrid w:val="false"/>
        <w:spacing w:lineRule="auto" w:line="276"/>
        <w:ind w:firstLine="420" w:firstLineChars="200"/>
        <w:rPr>
          <w:rFonts w:hint="eastAsia"/>
          <w:color w:val="auto"/>
          <w:kern w:val="0"/>
        </w:rPr>
      </w:pPr>
      <w:r>
        <w:rPr>
          <w:rFonts w:hint="eastAsia"/>
          <w:color w:val="auto"/>
          <w:kern w:val="0"/>
        </w:rPr>
        <w:t>3．行政复议终局</w:t>
      </w:r>
    </w:p>
    <w:p w14:paraId="2C93C580">
      <w:pPr>
        <w:pStyle w:val="style0"/>
        <w:snapToGrid w:val="false"/>
        <w:spacing w:lineRule="auto" w:line="276"/>
        <w:ind w:firstLine="420" w:firstLineChars="200"/>
        <w:rPr>
          <w:rFonts w:cs="Times New Roman" w:hint="eastAsia"/>
        </w:rPr>
      </w:pPr>
      <w:r>
        <w:rPr>
          <w:rFonts w:cs="Times New Roman" w:hint="eastAsia"/>
        </w:rPr>
        <w:t>（1）出入境公安机关</w:t>
      </w:r>
      <w:r>
        <w:rPr>
          <w:rFonts w:cs="Times New Roman" w:hint="eastAsia"/>
        </w:rPr>
        <w:t>作出</w:t>
      </w:r>
      <w:r>
        <w:rPr>
          <w:rFonts w:cs="Times New Roman" w:hint="eastAsia"/>
        </w:rPr>
        <w:t>的处罚决定</w:t>
      </w:r>
      <w:r>
        <w:rPr>
          <w:rFonts w:cs="Times New Roman" w:hint="eastAsia"/>
        </w:rPr>
        <w:t>。</w:t>
      </w:r>
      <w:r>
        <w:rPr>
          <w:rFonts w:cs="Times New Roman" w:hint="eastAsia"/>
        </w:rPr>
        <w:t>出入境公安机关针对外国人或者境外人实施的继续盘问、拘留审查、限制活动范围、遣送出境措施，当事人不服的，可以依法申请行政复议，该行政复议决定为最终决定。</w:t>
      </w:r>
    </w:p>
    <w:p w14:paraId="76CB85AB">
      <w:pPr>
        <w:pStyle w:val="style0"/>
        <w:snapToGrid w:val="false"/>
        <w:spacing w:lineRule="auto" w:line="276"/>
        <w:ind w:firstLine="420" w:firstLineChars="200"/>
        <w:rPr>
          <w:rFonts w:hint="eastAsia"/>
        </w:rPr>
      </w:pPr>
      <w:r>
        <w:rPr>
          <w:rFonts w:cs="Times New Roman" w:hint="eastAsia"/>
        </w:rPr>
        <w:t>（2）省部级单位对自身行为的复议决定</w:t>
      </w:r>
      <w:r>
        <w:rPr>
          <w:rFonts w:cs="Times New Roman" w:hint="eastAsia"/>
        </w:rPr>
        <w:t>。</w:t>
      </w:r>
      <w:r>
        <w:rPr>
          <w:rFonts w:cs="Times New Roman" w:hint="eastAsia"/>
        </w:rPr>
        <w:t>当事人不服省部级行政机关行政行为时，其救济途径有两种：一是直接起诉，二是向原机关申请行政复议。如果当事人选择行政复议的，对其复议决定</w:t>
      </w:r>
      <w:r>
        <w:rPr>
          <w:rFonts w:cs="Times New Roman" w:hint="eastAsia"/>
        </w:rPr>
        <w:t>不服仍</w:t>
      </w:r>
      <w:r>
        <w:rPr>
          <w:rFonts w:cs="Times New Roman" w:hint="eastAsia"/>
        </w:rPr>
        <w:t>有两种选择：一是起诉，二是申请国务院</w:t>
      </w:r>
      <w:r>
        <w:rPr>
          <w:rFonts w:cs="Times New Roman" w:hint="eastAsia"/>
        </w:rPr>
        <w:t>作出</w:t>
      </w:r>
      <w:r>
        <w:rPr>
          <w:rFonts w:cs="Times New Roman" w:hint="eastAsia"/>
        </w:rPr>
        <w:t>裁决，当事人如果选择国务院裁决，则该裁决具有终局效力，不得再对其提起行政诉讼。</w:t>
      </w:r>
      <w:r>
        <w:rPr>
          <w:rFonts w:cs="Times New Roman" w:hint="eastAsia"/>
          <w:color w:val="ee0000"/>
        </w:rPr>
        <w:t>（国务院不做行政诉讼被告）</w:t>
      </w:r>
    </w:p>
    <w:bookmarkStart w:id="2" w:name="_Toc190544252"/>
    <w:bookmarkStart w:id="3" w:name="_Toc192256150"/>
    <w:p w14:paraId="09FACD73">
      <w:pPr>
        <w:pStyle w:val="style0"/>
        <w:snapToGrid w:val="false"/>
        <w:spacing w:lineRule="auto" w:line="276"/>
        <w:ind w:firstLine="422" w:firstLineChars="200"/>
        <w:jc w:val="center"/>
        <w:rPr>
          <w:rFonts w:hint="eastAsia"/>
          <w:b/>
          <w:bCs/>
          <w:color w:val="auto"/>
        </w:rPr>
      </w:pPr>
      <w:r>
        <w:rPr>
          <w:rFonts w:hint="eastAsia"/>
          <w:b/>
          <w:bCs/>
          <w:color w:val="auto"/>
        </w:rPr>
        <w:t>考点26  行政复议的当事人</w:t>
      </w:r>
      <w:bookmarkEnd w:id="2"/>
      <w:bookmarkEnd w:id="3"/>
      <w:r>
        <w:rPr>
          <w:rFonts w:hint="default"/>
          <w:b/>
          <w:bCs/>
          <w:color w:val="auto"/>
          <w:lang w:val="en-US"/>
        </w:rPr>
        <w:t>（20:25-20:40）</w:t>
      </w:r>
    </w:p>
    <w:p w14:paraId="392DC979">
      <w:pPr>
        <w:pStyle w:val="style0"/>
        <w:snapToGrid w:val="false"/>
        <w:spacing w:lineRule="auto" w:line="276"/>
        <w:rPr>
          <w:rFonts w:hint="eastAsia"/>
          <w:b/>
          <w:bCs/>
        </w:rPr>
      </w:pPr>
      <w:r>
        <w:rPr>
          <w:rFonts w:hint="eastAsia"/>
          <w:b/>
          <w:bCs/>
        </w:rPr>
        <w:t>一、行政复议的申请人</w:t>
      </w:r>
      <w:r>
        <w:rPr>
          <w:rFonts w:hint="eastAsia"/>
          <w:b/>
          <w:bCs/>
        </w:rPr>
        <w:t>（与行政诉讼一样）</w:t>
      </w:r>
    </w:p>
    <w:p w14:paraId="3817A302">
      <w:pPr>
        <w:pStyle w:val="style0"/>
        <w:snapToGrid w:val="false"/>
        <w:spacing w:lineRule="auto" w:line="276"/>
        <w:ind w:firstLine="420" w:firstLineChars="200"/>
        <w:rPr>
          <w:rFonts w:cs="Times New Roman" w:hint="eastAsia"/>
          <w:color w:val="auto"/>
        </w:rPr>
      </w:pPr>
      <w:r>
        <w:rPr>
          <w:rFonts w:cs="Times New Roman" w:hint="eastAsia"/>
          <w:color w:val="auto"/>
        </w:rPr>
        <w:t>与被申请行政行为有法律上利害关系的公民、法人或其他组织，可以申请行政复议，作为行政复议中的申请人。</w:t>
      </w:r>
    </w:p>
    <w:p w14:paraId="1477A83E">
      <w:pPr>
        <w:pStyle w:val="style0"/>
        <w:snapToGrid w:val="false"/>
        <w:spacing w:lineRule="auto" w:line="276"/>
        <w:rPr>
          <w:rFonts w:hint="eastAsia"/>
          <w:b/>
          <w:bCs/>
        </w:rPr>
      </w:pPr>
      <w:r>
        <w:rPr>
          <w:rFonts w:hint="eastAsia"/>
          <w:b/>
          <w:bCs/>
        </w:rPr>
        <w:t>二、行政复议的被申请人</w:t>
      </w:r>
    </w:p>
    <w:p w14:paraId="4D7DFCDC">
      <w:pPr>
        <w:pStyle w:val="style0"/>
        <w:snapToGrid w:val="false"/>
        <w:spacing w:lineRule="auto" w:line="276"/>
        <w:ind w:firstLine="420" w:firstLineChars="200"/>
        <w:rPr>
          <w:rFonts w:cs="Times New Roman" w:hint="eastAsia"/>
        </w:rPr>
      </w:pPr>
      <w:r>
        <w:rPr>
          <w:rFonts w:cs="Times New Roman" w:hint="eastAsia"/>
        </w:rPr>
        <w:t>（一）确定规则</w:t>
      </w:r>
    </w:p>
    <w:p w14:paraId="24A6CC37">
      <w:pPr>
        <w:pStyle w:val="style0"/>
        <w:snapToGrid w:val="false"/>
        <w:spacing w:lineRule="auto" w:line="276"/>
        <w:ind w:firstLine="420" w:firstLineChars="200"/>
        <w:rPr>
          <w:rFonts w:cs="Times New Roman" w:hint="eastAsia"/>
          <w:color w:val="auto"/>
        </w:rPr>
      </w:pPr>
      <w:r>
        <w:rPr>
          <w:rFonts w:cs="Times New Roman" w:hint="eastAsia"/>
          <w:color w:val="auto"/>
        </w:rPr>
        <w:t>一看是否具备行政主体资格；二看申请人是否针对其提出了申请，</w:t>
      </w:r>
      <w:r>
        <w:rPr>
          <w:rFonts w:cs="Times New Roman" w:hint="eastAsia"/>
          <w:color w:val="auto"/>
        </w:rPr>
        <w:t>特殊情况有例外</w:t>
      </w:r>
      <w:r>
        <w:rPr>
          <w:rFonts w:cs="Times New Roman" w:hint="eastAsia"/>
          <w:color w:val="auto"/>
        </w:rPr>
        <w:t>。</w:t>
      </w:r>
    </w:p>
    <w:p w14:paraId="2DF520F0">
      <w:pPr>
        <w:pStyle w:val="style0"/>
        <w:snapToGrid w:val="false"/>
        <w:spacing w:lineRule="auto" w:line="276"/>
        <w:ind w:firstLine="422" w:firstLineChars="200"/>
        <w:rPr>
          <w:rFonts w:cs="Times New Roman" w:hint="eastAsia"/>
          <w:b/>
          <w:bCs/>
        </w:rPr>
      </w:pPr>
      <w:r>
        <w:rPr>
          <w:rFonts w:cs="Times New Roman" w:hint="eastAsia"/>
          <w:b/>
          <w:bCs/>
        </w:rPr>
        <w:t>（二）一般案件</w:t>
      </w:r>
    </w:p>
    <w:p w14:paraId="28FA0A50">
      <w:pPr>
        <w:pStyle w:val="style0"/>
        <w:snapToGrid w:val="false"/>
        <w:spacing w:lineRule="auto" w:line="276"/>
        <w:ind w:firstLine="420" w:firstLineChars="200"/>
        <w:rPr>
          <w:rFonts w:cs="Times New Roman" w:hint="eastAsia"/>
          <w:color w:val="auto"/>
        </w:rPr>
      </w:pPr>
      <w:r>
        <w:rPr>
          <w:rFonts w:cs="Times New Roman" w:hint="eastAsia"/>
          <w:color w:val="auto"/>
        </w:rPr>
        <w:t>作出</w:t>
      </w:r>
      <w:r>
        <w:rPr>
          <w:rFonts w:cs="Times New Roman" w:hint="eastAsia"/>
          <w:color w:val="auto"/>
        </w:rPr>
        <w:t>行政行为的行政机关或者法律、法规、规章授权的组织是被申请人。</w:t>
      </w:r>
    </w:p>
    <w:p w14:paraId="1B6A5B9B">
      <w:pPr>
        <w:pStyle w:val="style0"/>
        <w:snapToGrid w:val="false"/>
        <w:spacing w:lineRule="auto" w:line="276"/>
        <w:ind w:firstLine="422" w:firstLineChars="200"/>
        <w:rPr>
          <w:rFonts w:cs="Times New Roman" w:hint="eastAsia"/>
          <w:b/>
          <w:bCs/>
        </w:rPr>
      </w:pPr>
      <w:r>
        <w:rPr>
          <w:rFonts w:cs="Times New Roman" w:hint="eastAsia"/>
          <w:b/>
          <w:bCs/>
        </w:rPr>
        <w:t>（三）共同行政行为案件</w:t>
      </w:r>
    </w:p>
    <w:p w14:paraId="417D49FF">
      <w:pPr>
        <w:pStyle w:val="style0"/>
        <w:snapToGrid w:val="false"/>
        <w:spacing w:lineRule="auto" w:line="276"/>
        <w:ind w:firstLine="420" w:firstLineChars="200"/>
        <w:rPr>
          <w:rFonts w:cs="Times New Roman" w:hint="eastAsia"/>
          <w:color w:val="auto"/>
        </w:rPr>
      </w:pPr>
      <w:r>
        <w:rPr>
          <w:rFonts w:cs="Times New Roman" w:hint="eastAsia"/>
          <w:color w:val="auto"/>
        </w:rPr>
        <w:t>共同</w:t>
      </w:r>
      <w:r>
        <w:rPr>
          <w:rFonts w:cs="Times New Roman" w:hint="eastAsia"/>
          <w:color w:val="auto"/>
        </w:rPr>
        <w:t>作出</w:t>
      </w:r>
      <w:r>
        <w:rPr>
          <w:rFonts w:cs="Times New Roman" w:hint="eastAsia"/>
          <w:color w:val="auto"/>
        </w:rPr>
        <w:t>行政行为的行政机关是被申请人。</w:t>
      </w:r>
    </w:p>
    <w:p w14:paraId="7E8C90D4">
      <w:pPr>
        <w:pStyle w:val="style0"/>
        <w:snapToGrid w:val="false"/>
        <w:spacing w:lineRule="auto" w:line="276"/>
        <w:ind w:firstLine="422" w:firstLineChars="200"/>
        <w:rPr>
          <w:rFonts w:cs="Times New Roman" w:hint="eastAsia"/>
          <w:b/>
          <w:bCs/>
        </w:rPr>
      </w:pPr>
      <w:r>
        <w:rPr>
          <w:rFonts w:cs="Times New Roman" w:hint="eastAsia"/>
          <w:b/>
          <w:bCs/>
        </w:rPr>
        <w:t>（四）委托实施行政行为案件</w:t>
      </w:r>
    </w:p>
    <w:p w14:paraId="2F895671">
      <w:pPr>
        <w:pStyle w:val="style0"/>
        <w:snapToGrid w:val="false"/>
        <w:spacing w:lineRule="auto" w:line="276"/>
        <w:ind w:firstLine="420" w:firstLineChars="200"/>
        <w:rPr>
          <w:rFonts w:cs="Times New Roman" w:hint="eastAsia"/>
          <w:color w:val="auto"/>
        </w:rPr>
      </w:pPr>
      <w:r>
        <w:rPr>
          <w:rFonts w:cs="Times New Roman" w:hint="eastAsia"/>
          <w:color w:val="auto"/>
        </w:rPr>
        <w:t>委托的行政机关是被申请人。</w:t>
      </w:r>
    </w:p>
    <w:p w14:paraId="42C60A7D">
      <w:pPr>
        <w:pStyle w:val="style0"/>
        <w:snapToGrid w:val="false"/>
        <w:spacing w:lineRule="auto" w:line="276"/>
        <w:ind w:firstLine="422" w:firstLineChars="200"/>
        <w:rPr>
          <w:rFonts w:cs="Times New Roman" w:hint="eastAsia"/>
          <w:b/>
          <w:bCs/>
        </w:rPr>
      </w:pPr>
      <w:r>
        <w:rPr>
          <w:rFonts w:cs="Times New Roman" w:hint="eastAsia"/>
          <w:b/>
          <w:bCs/>
        </w:rPr>
        <w:t>（五）行政机关被撤销或者职权变更的案件</w:t>
      </w:r>
    </w:p>
    <w:p w14:paraId="3BB624A4">
      <w:pPr>
        <w:pStyle w:val="style0"/>
        <w:snapToGrid w:val="false"/>
        <w:spacing w:lineRule="auto" w:line="276"/>
        <w:ind w:firstLine="420" w:firstLineChars="200"/>
        <w:rPr>
          <w:rFonts w:cs="Times New Roman" w:hint="eastAsia"/>
          <w:color w:val="auto"/>
        </w:rPr>
      </w:pPr>
      <w:r>
        <w:rPr>
          <w:rFonts w:cs="Times New Roman" w:hint="eastAsia"/>
          <w:color w:val="auto"/>
        </w:rPr>
        <w:t>继续行使其职权的行政机关是被申请人。</w:t>
      </w:r>
    </w:p>
    <w:p w14:paraId="55A887C9">
      <w:pPr>
        <w:pStyle w:val="style0"/>
        <w:snapToGrid w:val="false"/>
        <w:spacing w:lineRule="auto" w:line="276"/>
        <w:ind w:firstLine="422" w:firstLineChars="200"/>
        <w:rPr>
          <w:rFonts w:cs="Times New Roman" w:hint="eastAsia"/>
          <w:b/>
          <w:bCs/>
        </w:rPr>
      </w:pPr>
      <w:r>
        <w:rPr>
          <w:rFonts w:cs="Times New Roman" w:hint="eastAsia"/>
          <w:b/>
          <w:bCs/>
        </w:rPr>
        <w:t>（六）行为经批准的案件</w:t>
      </w:r>
    </w:p>
    <w:p w14:paraId="3D6E0C8D">
      <w:pPr>
        <w:pStyle w:val="style0"/>
        <w:snapToGrid w:val="false"/>
        <w:spacing w:lineRule="auto" w:line="276"/>
        <w:ind w:firstLine="420" w:firstLineChars="200"/>
        <w:rPr>
          <w:rFonts w:cs="Times New Roman" w:hint="eastAsia"/>
          <w:color w:val="ff0000"/>
        </w:rPr>
      </w:pPr>
      <w:r>
        <w:rPr>
          <w:rFonts w:cs="Times New Roman" w:hint="eastAsia"/>
          <w:color w:val="ff0000"/>
        </w:rPr>
        <w:t>下级行政机关经上级行政机关批准</w:t>
      </w:r>
      <w:r>
        <w:rPr>
          <w:rFonts w:cs="Times New Roman" w:hint="eastAsia"/>
          <w:color w:val="ff0000"/>
        </w:rPr>
        <w:t>作出</w:t>
      </w:r>
      <w:r>
        <w:rPr>
          <w:rFonts w:cs="Times New Roman" w:hint="eastAsia"/>
          <w:color w:val="ff0000"/>
        </w:rPr>
        <w:t>行政行为的，当事人申请复议，应当按照实质标准，以具有实质拍板权的机关作为被申请人。</w:t>
      </w:r>
    </w:p>
    <w:p w14:paraId="6F1AFBEC">
      <w:pPr>
        <w:pStyle w:val="style0"/>
        <w:snapToGrid w:val="false"/>
        <w:spacing w:lineRule="auto" w:line="276"/>
        <w:ind w:firstLine="420" w:firstLineChars="200"/>
        <w:rPr>
          <w:rFonts w:cs="Times New Roman" w:hint="eastAsia"/>
          <w:color w:val="4472c4"/>
          <w:spacing w:val="-3"/>
        </w:rPr>
      </w:pPr>
      <w:r>
        <w:rPr>
          <w:rFonts w:hint="eastAsia"/>
          <w:color w:val="4472c4"/>
        </w:rPr>
        <w:t>总结归纳：</w:t>
      </w:r>
      <w:r>
        <w:rPr>
          <w:rFonts w:cs="Times New Roman" w:hint="eastAsia"/>
          <w:color w:val="4472c4"/>
          <w:spacing w:val="-3"/>
        </w:rPr>
        <w:t>下级行政机关经上级行政机关批准</w:t>
      </w:r>
      <w:r>
        <w:rPr>
          <w:rFonts w:cs="Times New Roman" w:hint="eastAsia"/>
          <w:color w:val="4472c4"/>
          <w:spacing w:val="-3"/>
        </w:rPr>
        <w:t>作出</w:t>
      </w:r>
      <w:r>
        <w:rPr>
          <w:rFonts w:cs="Times New Roman" w:hint="eastAsia"/>
          <w:color w:val="4472c4"/>
          <w:spacing w:val="-3"/>
        </w:rPr>
        <w:t>行政行为的，在行政诉讼中遵循“谁署名，谁被告”；在行政复议中遵循“谁有实质拍板权，谁为被申请人”。即“诉讼看名义，复议看职权”。</w:t>
      </w:r>
    </w:p>
    <w:p w14:paraId="6C5D4288">
      <w:pPr>
        <w:pStyle w:val="style0"/>
        <w:snapToGrid w:val="false"/>
        <w:spacing w:lineRule="auto" w:line="276"/>
        <w:rPr>
          <w:rFonts w:hint="eastAsia"/>
          <w:b/>
          <w:bCs/>
        </w:rPr>
      </w:pPr>
      <w:r>
        <w:rPr>
          <w:rFonts w:hint="eastAsia"/>
          <w:b/>
          <w:bCs/>
        </w:rPr>
        <w:t>三、行政复议的第三人</w:t>
      </w:r>
    </w:p>
    <w:p w14:paraId="50CE559D">
      <w:pPr>
        <w:pStyle w:val="style0"/>
        <w:snapToGrid w:val="false"/>
        <w:spacing w:lineRule="auto" w:line="276"/>
        <w:ind w:firstLine="420" w:firstLineChars="200"/>
        <w:rPr>
          <w:rFonts w:cs="Times New Roman" w:hint="eastAsia"/>
          <w:color w:val="auto"/>
        </w:rPr>
      </w:pPr>
      <w:r>
        <w:rPr>
          <w:rFonts w:cs="Times New Roman" w:hint="eastAsia"/>
          <w:color w:val="auto"/>
        </w:rPr>
        <w:t>行政复议第三人，是同被申请的行政行为有利害关系，参加行政复议的其他公民、法人或者其他组织。</w:t>
      </w:r>
    </w:p>
    <w:p w14:paraId="59C83F51">
      <w:pPr>
        <w:pStyle w:val="style0"/>
        <w:snapToGrid w:val="false"/>
        <w:spacing w:lineRule="auto" w:line="276"/>
        <w:ind w:firstLine="420" w:firstLineChars="200"/>
        <w:rPr>
          <w:rFonts w:cs="Times New Roman" w:hint="eastAsia"/>
          <w:color w:val="ff0000"/>
        </w:rPr>
      </w:pPr>
      <w:r>
        <w:rPr>
          <w:rFonts w:cs="Times New Roman" w:hint="eastAsia"/>
          <w:color w:val="ff0000"/>
        </w:rPr>
        <w:t>行政复议机构通知第三人参加行政复议，而第三人不参加行政复议的，不影响行政复议案件的审理。</w:t>
      </w:r>
    </w:p>
    <w:bookmarkStart w:id="4" w:name="_Toc190544253"/>
    <w:bookmarkStart w:id="5" w:name="_Toc192256151"/>
    <w:p w14:paraId="15E72F50">
      <w:pPr>
        <w:pStyle w:val="style0"/>
        <w:snapToGrid w:val="false"/>
        <w:spacing w:lineRule="auto" w:line="276"/>
        <w:ind w:firstLine="422" w:firstLineChars="200"/>
        <w:jc w:val="center"/>
        <w:rPr>
          <w:rFonts w:hint="eastAsia"/>
          <w:b/>
          <w:bCs/>
          <w:color w:val="auto"/>
        </w:rPr>
      </w:pPr>
      <w:r>
        <w:rPr>
          <w:rFonts w:hint="eastAsia"/>
          <w:b/>
          <w:bCs/>
          <w:color w:val="auto"/>
        </w:rPr>
        <w:t>考点27  行政复议机关的确定</w:t>
      </w:r>
      <w:bookmarkEnd w:id="4"/>
      <w:bookmarkEnd w:id="5"/>
      <w:r>
        <w:rPr>
          <w:rFonts w:hint="default"/>
          <w:b/>
          <w:bCs/>
          <w:color w:val="auto"/>
          <w:lang w:val="en-US"/>
        </w:rPr>
        <w:t>（20:40-21:00）</w:t>
      </w:r>
    </w:p>
    <w:p w14:paraId="3CAE0B6F">
      <w:pPr>
        <w:pStyle w:val="style0"/>
        <w:snapToGrid w:val="false"/>
        <w:spacing w:lineRule="auto" w:line="276"/>
        <w:rPr>
          <w:rFonts w:hint="eastAsia"/>
          <w:b/>
          <w:bCs/>
        </w:rPr>
      </w:pPr>
      <w:r>
        <w:rPr>
          <w:rFonts w:hint="eastAsia"/>
          <w:b/>
          <w:bCs/>
        </w:rPr>
        <w:t>一、县级以上地方人民政府作为行政复议机关</w:t>
      </w:r>
    </w:p>
    <w:p w14:paraId="7BF97C49">
      <w:pPr>
        <w:pStyle w:val="style0"/>
        <w:snapToGrid w:val="false"/>
        <w:spacing w:lineRule="auto" w:line="276"/>
        <w:ind w:firstLine="422" w:firstLineChars="200"/>
        <w:rPr>
          <w:rFonts w:cs="Times New Roman" w:hint="eastAsia"/>
          <w:b/>
          <w:bCs/>
        </w:rPr>
      </w:pPr>
      <w:r>
        <w:rPr>
          <w:rFonts w:cs="Times New Roman" w:hint="eastAsia"/>
          <w:b/>
          <w:bCs/>
        </w:rPr>
        <w:t>（一）县级以上地方各级人民政府作为复议机关</w:t>
      </w:r>
    </w:p>
    <w:p w14:paraId="091A774A">
      <w:pPr>
        <w:pStyle w:val="style0"/>
        <w:snapToGrid w:val="false"/>
        <w:spacing w:lineRule="auto" w:line="276"/>
        <w:ind w:firstLine="420" w:firstLineChars="200"/>
        <w:rPr>
          <w:rFonts w:cs="Times New Roman" w:hint="eastAsia"/>
        </w:rPr>
      </w:pPr>
      <w:r>
        <w:rPr>
          <w:rFonts w:cs="Times New Roman" w:hint="eastAsia"/>
        </w:rPr>
        <w:t>（1）</w:t>
      </w:r>
      <w:r>
        <w:rPr>
          <w:rFonts w:cs="Times New Roman" w:hint="eastAsia"/>
          <w:color w:val="4472c4"/>
        </w:rPr>
        <w:t>对本级人民政府工作部门</w:t>
      </w:r>
      <w:r>
        <w:rPr>
          <w:rFonts w:cs="Times New Roman" w:hint="eastAsia"/>
          <w:color w:val="4472c4"/>
        </w:rPr>
        <w:t>作出</w:t>
      </w:r>
      <w:r>
        <w:rPr>
          <w:rFonts w:cs="Times New Roman" w:hint="eastAsia"/>
          <w:color w:val="4472c4"/>
        </w:rPr>
        <w:t>的行政行为不服的；</w:t>
      </w:r>
      <w:r>
        <w:rPr>
          <w:rFonts w:cs="Times New Roman" w:hint="eastAsia"/>
          <w:color w:val="4472c4"/>
        </w:rPr>
        <w:t>（不可以再找上级部门复议）</w:t>
      </w:r>
    </w:p>
    <w:p w14:paraId="575F0655">
      <w:pPr>
        <w:pStyle w:val="style0"/>
        <w:snapToGrid w:val="false"/>
        <w:spacing w:lineRule="auto" w:line="276"/>
        <w:ind w:firstLine="420" w:firstLineChars="200"/>
        <w:rPr>
          <w:rFonts w:cs="Times New Roman" w:hint="eastAsia"/>
        </w:rPr>
      </w:pPr>
      <w:r>
        <w:rPr>
          <w:rFonts w:cs="Times New Roman" w:hint="eastAsia"/>
        </w:rPr>
        <w:t>（2）对下一级人民政府</w:t>
      </w:r>
      <w:r>
        <w:rPr>
          <w:rFonts w:cs="Times New Roman" w:hint="eastAsia"/>
        </w:rPr>
        <w:t>作出</w:t>
      </w:r>
      <w:r>
        <w:rPr>
          <w:rFonts w:cs="Times New Roman" w:hint="eastAsia"/>
        </w:rPr>
        <w:t>的行政行为不服的；</w:t>
      </w:r>
    </w:p>
    <w:p w14:paraId="7382CA69">
      <w:pPr>
        <w:pStyle w:val="style0"/>
        <w:snapToGrid w:val="false"/>
        <w:spacing w:lineRule="auto" w:line="276"/>
        <w:ind w:firstLine="420" w:firstLineChars="200"/>
        <w:rPr>
          <w:rFonts w:cs="Times New Roman" w:hint="eastAsia"/>
        </w:rPr>
      </w:pPr>
      <w:r>
        <w:rPr>
          <w:rFonts w:cs="Times New Roman" w:hint="eastAsia"/>
        </w:rPr>
        <w:t>（3）对本级人民政府依法设立的派出机关</w:t>
      </w:r>
      <w:r>
        <w:rPr>
          <w:rFonts w:cs="Times New Roman" w:hint="eastAsia"/>
        </w:rPr>
        <w:t>作出</w:t>
      </w:r>
      <w:r>
        <w:rPr>
          <w:rFonts w:cs="Times New Roman" w:hint="eastAsia"/>
        </w:rPr>
        <w:t>的行政行为不服的；</w:t>
      </w:r>
    </w:p>
    <w:p w14:paraId="7B9C0EAF">
      <w:pPr>
        <w:pStyle w:val="style0"/>
        <w:snapToGrid w:val="false"/>
        <w:spacing w:lineRule="auto" w:line="276"/>
        <w:ind w:firstLine="420" w:firstLineChars="200"/>
        <w:rPr>
          <w:rFonts w:cs="Times New Roman" w:hint="eastAsia"/>
        </w:rPr>
      </w:pPr>
      <w:r>
        <w:rPr>
          <w:rFonts w:cs="Times New Roman" w:hint="eastAsia"/>
        </w:rPr>
        <w:t>（4）对本级人民政府管理的法律、法规、规章授权的组织</w:t>
      </w:r>
      <w:r>
        <w:rPr>
          <w:rFonts w:cs="Times New Roman" w:hint="eastAsia"/>
        </w:rPr>
        <w:t>作出</w:t>
      </w:r>
      <w:r>
        <w:rPr>
          <w:rFonts w:cs="Times New Roman" w:hint="eastAsia"/>
        </w:rPr>
        <w:t>的行政行为不服的；</w:t>
      </w:r>
    </w:p>
    <w:p w14:paraId="2CEC492F">
      <w:pPr>
        <w:pStyle w:val="style0"/>
        <w:snapToGrid w:val="false"/>
        <w:spacing w:lineRule="auto" w:line="276"/>
        <w:ind w:firstLine="420" w:firstLineChars="200"/>
        <w:rPr>
          <w:rFonts w:cs="Times New Roman" w:hint="eastAsia"/>
        </w:rPr>
      </w:pPr>
      <w:r>
        <w:rPr>
          <w:rFonts w:cs="Times New Roman" w:hint="eastAsia"/>
        </w:rPr>
        <w:t>（5）对本级人民政府工作部门管理的法律、法规、规章授权的组织</w:t>
      </w:r>
      <w:r>
        <w:rPr>
          <w:rFonts w:cs="Times New Roman" w:hint="eastAsia"/>
        </w:rPr>
        <w:t>作出</w:t>
      </w:r>
      <w:r>
        <w:rPr>
          <w:rFonts w:cs="Times New Roman" w:hint="eastAsia"/>
        </w:rPr>
        <w:t>的行政行为不服的；</w:t>
      </w:r>
    </w:p>
    <w:p w14:paraId="7FC0626B">
      <w:pPr>
        <w:pStyle w:val="style0"/>
        <w:snapToGrid w:val="false"/>
        <w:spacing w:lineRule="auto" w:line="276"/>
        <w:ind w:firstLine="420" w:firstLineChars="200"/>
        <w:rPr>
          <w:rFonts w:cs="Times New Roman" w:hint="eastAsia"/>
        </w:rPr>
      </w:pPr>
      <w:r>
        <w:rPr>
          <w:rFonts w:cs="Times New Roman" w:hint="eastAsia"/>
        </w:rPr>
        <w:t>（6）对县级以上地方各级人民政府工作部门依法设立的派出机构依照法律、法规、规章规定，以派出机构的名义</w:t>
      </w:r>
      <w:r>
        <w:rPr>
          <w:rFonts w:cs="Times New Roman" w:hint="eastAsia"/>
        </w:rPr>
        <w:t>作出</w:t>
      </w:r>
      <w:r>
        <w:rPr>
          <w:rFonts w:cs="Times New Roman" w:hint="eastAsia"/>
        </w:rPr>
        <w:t>的行政行为不服的行政复议案件。</w:t>
      </w:r>
    </w:p>
    <w:p w14:paraId="78CC35FA">
      <w:pPr>
        <w:pStyle w:val="style0"/>
        <w:snapToGrid w:val="false"/>
        <w:spacing w:lineRule="auto" w:line="276"/>
        <w:ind w:firstLine="420" w:firstLineChars="200"/>
        <w:rPr>
          <w:rFonts w:cs="华康娃娃体W5" w:hint="eastAsia"/>
        </w:rPr>
      </w:pPr>
      <w:r>
        <w:rPr>
          <w:rFonts w:hint="eastAsia"/>
          <w:color w:val="ff0000"/>
        </w:rPr>
        <w:t>注意：</w:t>
      </w:r>
      <w:bookmarkStart w:id="6" w:name="_Hlk175161572"/>
      <w:r>
        <w:rPr>
          <w:rFonts w:cs="华康娃娃体W5" w:hint="eastAsia"/>
        </w:rPr>
        <w:t>对直辖市、设区的市人民政府工作部门按照行政区划设立的派出机构</w:t>
      </w:r>
      <w:r>
        <w:rPr>
          <w:rFonts w:cs="华康娃娃体W5" w:hint="eastAsia"/>
        </w:rPr>
        <w:t>作出</w:t>
      </w:r>
      <w:r>
        <w:rPr>
          <w:rFonts w:cs="华康娃娃体W5" w:hint="eastAsia"/>
        </w:rPr>
        <w:t>的行政行为不服，申请行政复议的，市人民政府和派出机构所在地的区人民政府均是行政复议机关。</w:t>
      </w:r>
      <w:bookmarkEnd w:id="6"/>
    </w:p>
    <w:p w14:paraId="4D3FB493">
      <w:pPr>
        <w:pStyle w:val="style0"/>
        <w:snapToGrid w:val="false"/>
        <w:spacing w:lineRule="auto" w:line="276"/>
        <w:ind w:firstLine="422" w:firstLineChars="200"/>
        <w:rPr>
          <w:rFonts w:cs="Times New Roman" w:hint="eastAsia"/>
          <w:b/>
          <w:bCs/>
        </w:rPr>
      </w:pPr>
      <w:r>
        <w:rPr>
          <w:rFonts w:cs="Times New Roman" w:hint="eastAsia"/>
          <w:b/>
          <w:bCs/>
        </w:rPr>
        <w:t>（二）省级政府作为行政复议机关</w:t>
      </w:r>
    </w:p>
    <w:p w14:paraId="0A605C61">
      <w:pPr>
        <w:pStyle w:val="style0"/>
        <w:snapToGrid w:val="false"/>
        <w:spacing w:lineRule="auto" w:line="276"/>
        <w:ind w:firstLine="420" w:firstLineChars="200"/>
        <w:rPr>
          <w:rFonts w:cs="Times New Roman" w:hint="eastAsia"/>
          <w:color w:val="auto"/>
        </w:rPr>
      </w:pPr>
      <w:r>
        <w:rPr>
          <w:rFonts w:cs="Times New Roman" w:hint="eastAsia"/>
          <w:color w:val="auto"/>
        </w:rPr>
        <w:t>省、自治区、直辖市人民政府同时管辖对本机关</w:t>
      </w:r>
      <w:r>
        <w:rPr>
          <w:rFonts w:cs="Times New Roman" w:hint="eastAsia"/>
          <w:color w:val="auto"/>
        </w:rPr>
        <w:t>作出</w:t>
      </w:r>
      <w:r>
        <w:rPr>
          <w:rFonts w:cs="Times New Roman" w:hint="eastAsia"/>
          <w:color w:val="auto"/>
        </w:rPr>
        <w:t>的行政行为不服的行政复议案件。</w:t>
      </w:r>
    </w:p>
    <w:p w14:paraId="2DC4A15F">
      <w:pPr>
        <w:pStyle w:val="style0"/>
        <w:snapToGrid w:val="false"/>
        <w:spacing w:lineRule="auto" w:line="276"/>
        <w:rPr>
          <w:rFonts w:hint="eastAsia"/>
          <w:b/>
          <w:bCs/>
        </w:rPr>
      </w:pPr>
      <w:r>
        <w:rPr>
          <w:rFonts w:hint="eastAsia"/>
          <w:b/>
          <w:bCs/>
        </w:rPr>
        <w:t>二、地方人民政府司法行政部门作为被申请人时的复议机关</w:t>
      </w:r>
    </w:p>
    <w:p w14:paraId="6B6F92D3">
      <w:pPr>
        <w:pStyle w:val="style0"/>
        <w:snapToGrid w:val="false"/>
        <w:spacing w:lineRule="auto" w:line="276"/>
        <w:ind w:firstLine="420" w:firstLineChars="200"/>
        <w:rPr>
          <w:rFonts w:cs="Times New Roman" w:hint="eastAsia"/>
          <w:color w:val="ff0000"/>
        </w:rPr>
      </w:pPr>
      <w:r>
        <w:rPr>
          <w:rFonts w:cs="Times New Roman" w:hint="eastAsia"/>
          <w:color w:val="ff0000"/>
        </w:rPr>
        <w:t>对履行行政复议机构职责的地方人民政府司法行政部门的行政行为不服的，可以向本级人民政府申请行政复议，也可以向上一级司法行政部门申请行政复议。</w:t>
      </w:r>
    </w:p>
    <w:p w14:paraId="242ECDC2">
      <w:pPr>
        <w:pStyle w:val="style0"/>
        <w:snapToGrid w:val="false"/>
        <w:spacing w:lineRule="auto" w:line="276"/>
        <w:rPr>
          <w:rFonts w:hint="eastAsia"/>
          <w:b/>
          <w:bCs/>
        </w:rPr>
      </w:pPr>
      <w:r>
        <w:rPr>
          <w:rFonts w:hint="eastAsia"/>
          <w:b/>
          <w:bCs/>
        </w:rPr>
        <w:t>三、国务院部门作为行政复议机关</w:t>
      </w:r>
    </w:p>
    <w:p w14:paraId="16E49A9B">
      <w:pPr>
        <w:pStyle w:val="style0"/>
        <w:snapToGrid w:val="false"/>
        <w:spacing w:lineRule="auto" w:line="276"/>
        <w:ind w:firstLine="420" w:firstLineChars="200"/>
        <w:rPr>
          <w:rFonts w:cs="Times New Roman" w:hint="eastAsia"/>
          <w:color w:val="auto"/>
        </w:rPr>
      </w:pPr>
      <w:r>
        <w:rPr>
          <w:rFonts w:cs="Times New Roman" w:hint="eastAsia"/>
          <w:color w:val="auto"/>
        </w:rPr>
        <w:t>（1）对本部门</w:t>
      </w:r>
      <w:r>
        <w:rPr>
          <w:rFonts w:cs="Times New Roman" w:hint="eastAsia"/>
          <w:color w:val="auto"/>
        </w:rPr>
        <w:t>作出</w:t>
      </w:r>
      <w:r>
        <w:rPr>
          <w:rFonts w:cs="Times New Roman" w:hint="eastAsia"/>
          <w:color w:val="auto"/>
        </w:rPr>
        <w:t>的行政行为不服的；</w:t>
      </w:r>
    </w:p>
    <w:p w14:paraId="5B0BF6DC">
      <w:pPr>
        <w:pStyle w:val="style0"/>
        <w:snapToGrid w:val="false"/>
        <w:spacing w:lineRule="auto" w:line="276"/>
        <w:ind w:firstLine="420" w:firstLineChars="200"/>
        <w:rPr>
          <w:rFonts w:cs="Times New Roman" w:hint="eastAsia"/>
          <w:color w:val="auto"/>
        </w:rPr>
      </w:pPr>
      <w:r>
        <w:rPr>
          <w:rFonts w:cs="Times New Roman" w:hint="eastAsia"/>
          <w:color w:val="auto"/>
        </w:rPr>
        <w:t>（2）对本部门依法设立的派出机构依照法律、行政法规、部门规章规定，以派出机构的名义</w:t>
      </w:r>
      <w:r>
        <w:rPr>
          <w:rFonts w:cs="Times New Roman" w:hint="eastAsia"/>
          <w:color w:val="auto"/>
        </w:rPr>
        <w:t>作出</w:t>
      </w:r>
      <w:r>
        <w:rPr>
          <w:rFonts w:cs="Times New Roman" w:hint="eastAsia"/>
          <w:color w:val="auto"/>
        </w:rPr>
        <w:t>的行政行为不服的；</w:t>
      </w:r>
    </w:p>
    <w:p w14:paraId="3D7FB2BA">
      <w:pPr>
        <w:pStyle w:val="style0"/>
        <w:snapToGrid w:val="false"/>
        <w:spacing w:lineRule="auto" w:line="276"/>
        <w:ind w:firstLine="420" w:firstLineChars="200"/>
        <w:rPr>
          <w:rFonts w:cs="华康娃娃体W5" w:hint="eastAsia"/>
        </w:rPr>
      </w:pPr>
      <w:r>
        <w:rPr>
          <w:rFonts w:cs="汉仪书宋二简"/>
          <w:noProof/>
          <w:color w:val="ff0000"/>
        </w:rPr>
        <mc:AlternateContent>
          <mc:Choice Requires="wps">
            <w:drawing>
              <wp:anchor distT="0" distB="0" distL="0" distR="0" simplePos="false" relativeHeight="4" behindDoc="false" locked="false" layoutInCell="true" allowOverlap="true">
                <wp:simplePos x="0" y="0"/>
                <wp:positionH relativeFrom="column">
                  <wp:posOffset>41275</wp:posOffset>
                </wp:positionH>
                <wp:positionV relativeFrom="paragraph">
                  <wp:posOffset>82921</wp:posOffset>
                </wp:positionV>
                <wp:extent cx="142875" cy="142875"/>
                <wp:effectExtent l="0" t="0" r="9525" b="9525"/>
                <wp:wrapNone/>
                <wp:docPr id="1027"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7" type="#_x0000_t12" adj="4125," fillcolor="red" stroked="f" style="position:absolute;margin-left:3.25pt;margin-top:6.53pt;width:11.25pt;height:11.25pt;z-index:4;mso-position-horizontal-relative:text;mso-position-vertical-relative:text;mso-width-relative:page;mso-height-relative:page;mso-wrap-distance-left:0.0pt;mso-wrap-distance-right:0.0pt;visibility:visible;">
                <v:stroke on="f" joinstyle="miter" weight="1.0pt"/>
                <v:fill/>
              </v:shape>
            </w:pict>
          </mc:Fallback>
        </mc:AlternateContent>
      </w:r>
      <w:r>
        <w:rPr>
          <w:rFonts w:cs="汉仪书宋二简" w:hint="eastAsia"/>
          <w:color w:val="ff0000"/>
          <w:kern w:val="0"/>
        </w:rPr>
        <w:t>注意：</w:t>
      </w:r>
      <w:r>
        <w:rPr>
          <w:rFonts w:cs="华康娃娃体W5" w:hint="eastAsia"/>
        </w:rPr>
        <w:t>对国务院部门</w:t>
      </w:r>
      <w:r>
        <w:rPr>
          <w:rFonts w:cs="华康娃娃体W5" w:hint="eastAsia"/>
        </w:rPr>
        <w:t>作出</w:t>
      </w:r>
      <w:r>
        <w:rPr>
          <w:rFonts w:cs="华康娃娃体W5" w:hint="eastAsia"/>
        </w:rPr>
        <w:t>的行政行为不服，申请行政复议的，国务院部门自己是复议机关。对国务院部门</w:t>
      </w:r>
      <w:r>
        <w:rPr>
          <w:rFonts w:cs="华康娃娃体W5" w:hint="eastAsia"/>
        </w:rPr>
        <w:t>作出</w:t>
      </w:r>
      <w:r>
        <w:rPr>
          <w:rFonts w:cs="华康娃娃体W5" w:hint="eastAsia"/>
        </w:rPr>
        <w:t>的行政复议决定不服的，可以向人民法院提起行政诉讼；也可以向国务院申请裁决，国务院</w:t>
      </w:r>
      <w:r>
        <w:rPr>
          <w:rFonts w:cs="华康娃娃体W5" w:hint="eastAsia"/>
        </w:rPr>
        <w:t>作出</w:t>
      </w:r>
      <w:r>
        <w:rPr>
          <w:rFonts w:cs="华康娃娃体W5" w:hint="eastAsia"/>
        </w:rPr>
        <w:t>的裁决具有终局性，不可以提起行政诉讼。</w:t>
      </w:r>
    </w:p>
    <w:p w14:paraId="66F85373">
      <w:pPr>
        <w:pStyle w:val="style0"/>
        <w:snapToGrid w:val="false"/>
        <w:spacing w:lineRule="auto" w:line="276"/>
        <w:rPr>
          <w:rFonts w:hint="eastAsia"/>
          <w:b/>
          <w:bCs/>
        </w:rPr>
      </w:pPr>
      <w:r>
        <w:rPr>
          <w:rFonts w:hint="eastAsia"/>
          <w:b/>
          <w:bCs/>
        </w:rPr>
        <w:t>四、垂直领导部门作为被申请人时的复议机关</w:t>
      </w:r>
    </w:p>
    <w:p w14:paraId="5FA6405C">
      <w:pPr>
        <w:pStyle w:val="style0"/>
        <w:snapToGrid w:val="false"/>
        <w:spacing w:lineRule="auto" w:line="276"/>
        <w:ind w:firstLine="420" w:firstLineChars="200"/>
        <w:rPr>
          <w:rFonts w:cs="Times New Roman" w:hint="eastAsia"/>
        </w:rPr>
      </w:pPr>
      <w:r>
        <w:rPr>
          <w:rFonts w:cs="Times New Roman" w:hint="eastAsia"/>
        </w:rPr>
        <w:t>垂直领导部门作为被申请人的，由被申请人的上一级主管部门作为复议机关。</w:t>
      </w:r>
    </w:p>
    <w:p w14:paraId="0800049C">
      <w:pPr>
        <w:pStyle w:val="style0"/>
        <w:snapToGrid w:val="false"/>
        <w:spacing w:lineRule="auto" w:line="276"/>
        <w:ind w:firstLine="420" w:firstLineChars="200"/>
        <w:rPr>
          <w:rFonts w:cs="Times New Roman" w:hint="eastAsia"/>
        </w:rPr>
      </w:pPr>
      <w:r>
        <w:rPr>
          <w:rFonts w:cs="Times New Roman" w:hint="eastAsia"/>
        </w:rPr>
        <w:t>垂直领导部门，即从中央到基层均实行垂直领导的部门，具体包括金融、外汇、海关、税务、国安五</w:t>
      </w:r>
      <w:r>
        <w:rPr>
          <w:rFonts w:cs="Times New Roman" w:hint="eastAsia"/>
        </w:rPr>
        <w:t>个</w:t>
      </w:r>
      <w:r>
        <w:rPr>
          <w:rFonts w:cs="Times New Roman" w:hint="eastAsia"/>
        </w:rPr>
        <w:t>部门。</w:t>
      </w:r>
    </w:p>
    <w:bookmarkStart w:id="7" w:name="_Toc190544254"/>
    <w:bookmarkStart w:id="8" w:name="_Toc192256152"/>
    <w:p w14:paraId="0AB55C7E">
      <w:pPr>
        <w:pStyle w:val="style0"/>
        <w:snapToGrid w:val="false"/>
        <w:spacing w:lineRule="auto" w:line="276"/>
        <w:ind w:firstLine="422" w:firstLineChars="200"/>
        <w:jc w:val="center"/>
        <w:rPr>
          <w:rFonts w:hint="eastAsia"/>
          <w:b/>
          <w:bCs/>
          <w:color w:val="auto"/>
        </w:rPr>
      </w:pPr>
      <w:r>
        <w:rPr>
          <w:rFonts w:hint="eastAsia"/>
          <w:b/>
          <w:bCs/>
          <w:color w:val="auto"/>
        </w:rPr>
        <w:t>考点28  行政复议的程序</w:t>
      </w:r>
      <w:bookmarkEnd w:id="7"/>
      <w:bookmarkEnd w:id="8"/>
      <w:r>
        <w:rPr>
          <w:rFonts w:hint="default"/>
          <w:b/>
          <w:bCs/>
          <w:color w:val="auto"/>
          <w:lang w:val="en-US"/>
        </w:rPr>
        <w:t>（21:10-21:30）</w:t>
      </w:r>
    </w:p>
    <w:p w14:paraId="47F42F97">
      <w:pPr>
        <w:pStyle w:val="style0"/>
        <w:snapToGrid w:val="false"/>
        <w:spacing w:lineRule="auto" w:line="276"/>
        <w:rPr>
          <w:rFonts w:hint="eastAsia"/>
          <w:b/>
          <w:bCs/>
        </w:rPr>
      </w:pPr>
      <w:r>
        <w:rPr>
          <w:rFonts w:hint="eastAsia"/>
          <w:b/>
          <w:bCs/>
        </w:rPr>
        <w:t>一、申请</w:t>
      </w:r>
    </w:p>
    <w:p w14:paraId="276D4937">
      <w:pPr>
        <w:pStyle w:val="style0"/>
        <w:snapToGrid w:val="false"/>
        <w:spacing w:lineRule="auto" w:line="276"/>
        <w:ind w:firstLine="422" w:firstLineChars="200"/>
        <w:rPr>
          <w:rFonts w:cs="Times New Roman" w:hint="eastAsia"/>
          <w:b/>
          <w:bCs/>
          <w:color w:val="ff0000"/>
        </w:rPr>
      </w:pPr>
      <w:r>
        <w:rPr>
          <w:rFonts w:cs="Times New Roman" w:hint="eastAsia"/>
          <w:b/>
          <w:bCs/>
        </w:rPr>
        <w:t>（一）申请期限</w:t>
      </w:r>
    </w:p>
    <w:p w14:paraId="269E945B">
      <w:pPr>
        <w:pStyle w:val="style0"/>
        <w:snapToGrid w:val="false"/>
        <w:spacing w:lineRule="auto" w:line="276"/>
        <w:ind w:firstLine="420" w:firstLineChars="200"/>
        <w:rPr>
          <w:rFonts w:hint="eastAsia"/>
          <w:color w:val="auto"/>
          <w:kern w:val="0"/>
        </w:rPr>
      </w:pPr>
      <w:r>
        <w:rPr>
          <w:rFonts w:hint="eastAsia"/>
          <w:color w:val="auto"/>
          <w:kern w:val="0"/>
        </w:rPr>
        <w:t>1．期限</w:t>
      </w:r>
    </w:p>
    <w:p w14:paraId="2CAE2494">
      <w:pPr>
        <w:pStyle w:val="style0"/>
        <w:snapToGrid w:val="false"/>
        <w:spacing w:lineRule="auto" w:line="276"/>
        <w:ind w:firstLine="420" w:firstLineChars="200"/>
        <w:rPr>
          <w:rFonts w:cs="Times New Roman" w:hint="eastAsia"/>
          <w:color w:val="auto"/>
        </w:rPr>
      </w:pPr>
      <w:r>
        <w:rPr>
          <w:rFonts w:cs="Times New Roman" w:hint="eastAsia"/>
          <w:color w:val="auto"/>
        </w:rPr>
        <w:t>（1）如果被申请的行政行为是作为的，其申请期限按以下规则起算：</w:t>
      </w:r>
    </w:p>
    <w:p w14:paraId="2FBDFA1D">
      <w:pPr>
        <w:pStyle w:val="style0"/>
        <w:snapToGrid w:val="false"/>
        <w:spacing w:lineRule="auto" w:line="276"/>
        <w:ind w:firstLine="420" w:firstLineChars="200"/>
        <w:rPr>
          <w:rFonts w:cs="Times New Roman" w:hint="eastAsia"/>
          <w:color w:val="auto"/>
        </w:rPr>
      </w:pPr>
      <w:r>
        <w:rPr>
          <w:rFonts w:cs="Times New Roman" w:hint="eastAsia"/>
          <w:color w:val="auto"/>
        </w:rPr>
        <w:t>①全知道：自知道行为之日起60日内提出行政复议申请，法律规定的申请期限超过60日的除外。</w:t>
      </w:r>
    </w:p>
    <w:p w14:paraId="2630F4CA">
      <w:pPr>
        <w:pStyle w:val="style0"/>
        <w:snapToGrid w:val="false"/>
        <w:spacing w:lineRule="auto" w:line="276"/>
        <w:ind w:firstLine="420" w:firstLineChars="200"/>
        <w:rPr>
          <w:rFonts w:cs="Times New Roman" w:hint="eastAsia"/>
          <w:color w:val="auto"/>
        </w:rPr>
      </w:pPr>
      <w:r>
        <w:rPr>
          <w:rFonts w:cs="Times New Roman" w:hint="eastAsia"/>
          <w:color w:val="auto"/>
        </w:rPr>
        <w:t>②全不知：自申请人实际知道或者应当知道行为之日起60日内提出行政复议申请，但是因不动产提出的行政复议申请</w:t>
      </w:r>
      <w:r>
        <w:rPr>
          <w:rFonts w:cs="Times New Roman" w:hint="eastAsia"/>
          <w:color w:val="auto"/>
        </w:rPr>
        <w:t>自行政</w:t>
      </w:r>
      <w:r>
        <w:rPr>
          <w:rFonts w:cs="Times New Roman" w:hint="eastAsia"/>
          <w:color w:val="auto"/>
        </w:rPr>
        <w:t>行为</w:t>
      </w:r>
      <w:r>
        <w:rPr>
          <w:rFonts w:cs="Times New Roman" w:hint="eastAsia"/>
          <w:color w:val="auto"/>
        </w:rPr>
        <w:t>作出</w:t>
      </w:r>
      <w:r>
        <w:rPr>
          <w:rFonts w:cs="Times New Roman" w:hint="eastAsia"/>
          <w:color w:val="auto"/>
        </w:rPr>
        <w:t>之日起超过20年，其他行政复议申请</w:t>
      </w:r>
      <w:r>
        <w:rPr>
          <w:rFonts w:cs="Times New Roman" w:hint="eastAsia"/>
          <w:color w:val="auto"/>
        </w:rPr>
        <w:t>自行政</w:t>
      </w:r>
      <w:r>
        <w:rPr>
          <w:rFonts w:cs="Times New Roman" w:hint="eastAsia"/>
          <w:color w:val="auto"/>
        </w:rPr>
        <w:t>行为</w:t>
      </w:r>
      <w:r>
        <w:rPr>
          <w:rFonts w:cs="Times New Roman" w:hint="eastAsia"/>
          <w:color w:val="auto"/>
        </w:rPr>
        <w:t>作出</w:t>
      </w:r>
      <w:r>
        <w:rPr>
          <w:rFonts w:cs="Times New Roman" w:hint="eastAsia"/>
          <w:color w:val="auto"/>
        </w:rPr>
        <w:t>之日起超过5年的，行政复议机关不予受理。</w:t>
      </w:r>
    </w:p>
    <w:p w14:paraId="3F2BC372">
      <w:pPr>
        <w:pStyle w:val="style0"/>
        <w:snapToGrid w:val="false"/>
        <w:spacing w:lineRule="auto" w:line="276"/>
        <w:ind w:firstLine="420" w:firstLineChars="200"/>
        <w:rPr>
          <w:rFonts w:cs="Times New Roman" w:hint="eastAsia"/>
          <w:color w:val="ff0000"/>
        </w:rPr>
      </w:pPr>
      <w:r>
        <w:rPr>
          <w:rFonts w:cs="Times New Roman" w:hint="eastAsia"/>
          <w:color w:val="ff0000"/>
        </w:rPr>
        <w:t>③知一半：</w:t>
      </w:r>
      <w:r>
        <w:rPr>
          <w:rFonts w:cs="Times New Roman" w:hint="eastAsia"/>
          <w:color w:val="ff0000"/>
        </w:rPr>
        <w:t>作出</w:t>
      </w:r>
      <w:r>
        <w:rPr>
          <w:rFonts w:cs="Times New Roman" w:hint="eastAsia"/>
          <w:color w:val="ff0000"/>
        </w:rPr>
        <w:t>行政行为时，未告知申请人申请行政复议的权利、行政复议机关和申请期限的，申请期限自其知道或应当知道申请行政复议的权利、行政复议机关和申请期限之日起计算，但是自知道或应当知道行政行为内容之日起最长不得超过1年。</w:t>
      </w:r>
    </w:p>
    <w:p w14:paraId="0CF5D2FF">
      <w:pPr>
        <w:pStyle w:val="style0"/>
        <w:snapToGrid w:val="false"/>
        <w:spacing w:lineRule="auto" w:line="276"/>
        <w:ind w:firstLine="420" w:firstLineChars="200"/>
        <w:rPr>
          <w:rFonts w:cs="Times New Roman" w:hint="eastAsia"/>
          <w:color w:val="auto"/>
        </w:rPr>
      </w:pPr>
      <w:r>
        <w:rPr>
          <w:rFonts w:cs="Times New Roman" w:hint="eastAsia"/>
          <w:color w:val="auto"/>
        </w:rPr>
        <w:t>（2）如果被申请的行政行为是不作为的，其申请期限按以下规则起算：</w:t>
      </w:r>
    </w:p>
    <w:p w14:paraId="4DAC274D">
      <w:pPr>
        <w:pStyle w:val="style0"/>
        <w:snapToGrid w:val="false"/>
        <w:spacing w:lineRule="auto" w:line="276"/>
        <w:ind w:firstLine="420" w:firstLineChars="200"/>
        <w:rPr>
          <w:rFonts w:cs="Times New Roman" w:hint="eastAsia"/>
          <w:color w:val="auto"/>
        </w:rPr>
      </w:pPr>
      <w:r>
        <w:rPr>
          <w:rFonts w:cs="Times New Roman" w:hint="eastAsia"/>
          <w:color w:val="auto"/>
        </w:rPr>
        <w:t>①有规定履行期限的，</w:t>
      </w:r>
      <w:r>
        <w:rPr>
          <w:rFonts w:cs="Times New Roman" w:hint="eastAsia"/>
          <w:color w:val="auto"/>
        </w:rPr>
        <w:t>自履行</w:t>
      </w:r>
      <w:r>
        <w:rPr>
          <w:rFonts w:cs="Times New Roman" w:hint="eastAsia"/>
          <w:color w:val="auto"/>
        </w:rPr>
        <w:t>期限届满之日起计算。</w:t>
      </w:r>
    </w:p>
    <w:p w14:paraId="606C8452">
      <w:pPr>
        <w:pStyle w:val="style0"/>
        <w:snapToGrid w:val="false"/>
        <w:spacing w:lineRule="auto" w:line="276"/>
        <w:ind w:firstLine="420" w:firstLineChars="200"/>
        <w:rPr>
          <w:rFonts w:cs="Times New Roman" w:hint="eastAsia"/>
          <w:color w:val="auto"/>
        </w:rPr>
      </w:pPr>
      <w:r>
        <w:rPr>
          <w:rFonts w:cs="Times New Roman" w:hint="eastAsia"/>
          <w:color w:val="auto"/>
        </w:rPr>
        <w:t>②没有规定履行期限的，</w:t>
      </w:r>
      <w:r>
        <w:rPr>
          <w:rFonts w:cs="Times New Roman" w:hint="eastAsia"/>
          <w:color w:val="auto"/>
        </w:rPr>
        <w:t>自行政</w:t>
      </w:r>
      <w:r>
        <w:rPr>
          <w:rFonts w:cs="Times New Roman" w:hint="eastAsia"/>
          <w:color w:val="auto"/>
        </w:rPr>
        <w:t>机关收到申请满60日起计算。</w:t>
      </w:r>
    </w:p>
    <w:p w14:paraId="7F2E557D">
      <w:pPr>
        <w:pStyle w:val="style0"/>
        <w:snapToGrid w:val="false"/>
        <w:spacing w:lineRule="auto" w:line="276"/>
        <w:ind w:firstLine="420" w:firstLineChars="200"/>
        <w:rPr>
          <w:rFonts w:cs="Times New Roman" w:hint="eastAsia"/>
          <w:color w:val="auto"/>
        </w:rPr>
      </w:pPr>
      <w:r>
        <w:rPr>
          <w:rFonts w:cs="Times New Roman" w:hint="eastAsia"/>
          <w:color w:val="auto"/>
        </w:rPr>
        <w:t>③当事人在紧急情况下请求行政机关履行法定职责，行政机关不履行的，可以立即申请复议。</w:t>
      </w:r>
    </w:p>
    <w:p w14:paraId="2F92A947">
      <w:pPr>
        <w:pStyle w:val="style0"/>
        <w:snapToGrid w:val="false"/>
        <w:spacing w:lineRule="auto" w:line="276"/>
        <w:ind w:firstLine="422" w:firstLineChars="200"/>
        <w:rPr>
          <w:rFonts w:cs="Times New Roman" w:hint="eastAsia"/>
          <w:b/>
          <w:bCs/>
        </w:rPr>
      </w:pPr>
      <w:r>
        <w:rPr>
          <w:rFonts w:cs="Times New Roman" w:hint="eastAsia"/>
          <w:b/>
          <w:bCs/>
        </w:rPr>
        <w:t>（二）申请方式</w:t>
      </w:r>
    </w:p>
    <w:p w14:paraId="2874CEDA">
      <w:pPr>
        <w:pStyle w:val="style0"/>
        <w:snapToGrid w:val="false"/>
        <w:spacing w:lineRule="auto" w:line="276"/>
        <w:ind w:firstLine="420" w:firstLineChars="200"/>
        <w:rPr>
          <w:rFonts w:hint="eastAsia"/>
          <w:color w:val="auto"/>
          <w:kern w:val="0"/>
        </w:rPr>
      </w:pPr>
      <w:r>
        <w:rPr>
          <w:rFonts w:hint="eastAsia"/>
          <w:color w:val="auto"/>
          <w:kern w:val="0"/>
        </w:rPr>
        <w:t>1．书面申请</w:t>
      </w:r>
    </w:p>
    <w:p w14:paraId="6D2CE4EE">
      <w:pPr>
        <w:pStyle w:val="style0"/>
        <w:snapToGrid w:val="false"/>
        <w:spacing w:lineRule="auto" w:line="276"/>
        <w:ind w:firstLine="420" w:firstLineChars="200"/>
        <w:rPr>
          <w:rFonts w:hint="eastAsia"/>
          <w:color w:val="auto"/>
          <w:kern w:val="0"/>
        </w:rPr>
      </w:pPr>
      <w:r>
        <w:rPr>
          <w:rFonts w:hint="eastAsia"/>
          <w:color w:val="auto"/>
          <w:kern w:val="0"/>
        </w:rPr>
        <w:t>2．口头申请</w:t>
      </w:r>
    </w:p>
    <w:p w14:paraId="2E52698B">
      <w:pPr>
        <w:pStyle w:val="style0"/>
        <w:snapToGrid w:val="false"/>
        <w:spacing w:lineRule="auto" w:line="276"/>
        <w:ind w:firstLine="420" w:firstLineChars="200"/>
        <w:rPr>
          <w:rFonts w:hint="eastAsia"/>
          <w:color w:val="4472c4"/>
          <w:kern w:val="0"/>
        </w:rPr>
      </w:pPr>
      <w:r>
        <w:rPr>
          <w:rFonts w:hint="eastAsia"/>
          <w:color w:val="4472c4"/>
          <w:kern w:val="0"/>
        </w:rPr>
        <w:t>3．提交申请</w:t>
      </w:r>
    </w:p>
    <w:p w14:paraId="2AA7BDC2">
      <w:pPr>
        <w:pStyle w:val="style0"/>
        <w:snapToGrid w:val="false"/>
        <w:spacing w:lineRule="auto" w:line="276"/>
        <w:ind w:firstLine="420" w:firstLineChars="200"/>
        <w:rPr>
          <w:rFonts w:cs="Times New Roman" w:hint="eastAsia"/>
          <w:color w:val="auto"/>
        </w:rPr>
      </w:pPr>
      <w:r>
        <w:rPr>
          <w:rFonts w:cs="Times New Roman" w:hint="eastAsia"/>
          <w:color w:val="auto"/>
        </w:rPr>
        <w:t>原则：直接向行政复议机关提交行政复议申请。</w:t>
      </w:r>
    </w:p>
    <w:p w14:paraId="237DDBCC">
      <w:pPr>
        <w:pStyle w:val="style0"/>
        <w:snapToGrid w:val="false"/>
        <w:spacing w:lineRule="auto" w:line="276"/>
        <w:ind w:firstLine="420" w:firstLineChars="200"/>
        <w:rPr>
          <w:rFonts w:cs="Times New Roman" w:hint="eastAsia"/>
          <w:color w:val="ff0000"/>
        </w:rPr>
      </w:pPr>
      <w:r>
        <w:rPr>
          <w:rFonts w:cs="Times New Roman" w:hint="eastAsia"/>
          <w:color w:val="ff0000"/>
        </w:rPr>
        <w:t>例外：对当场</w:t>
      </w:r>
      <w:r>
        <w:rPr>
          <w:rFonts w:cs="Times New Roman" w:hint="eastAsia"/>
          <w:color w:val="ff0000"/>
        </w:rPr>
        <w:t>作出</w:t>
      </w:r>
      <w:r>
        <w:rPr>
          <w:rFonts w:cs="Times New Roman" w:hint="eastAsia"/>
          <w:color w:val="ff0000"/>
        </w:rPr>
        <w:t>或者依据电子技术监控设备记录的违法事实</w:t>
      </w:r>
      <w:r>
        <w:rPr>
          <w:rFonts w:cs="Times New Roman" w:hint="eastAsia"/>
          <w:color w:val="ff0000"/>
        </w:rPr>
        <w:t>作出</w:t>
      </w:r>
      <w:r>
        <w:rPr>
          <w:rFonts w:cs="Times New Roman" w:hint="eastAsia"/>
          <w:color w:val="ff0000"/>
        </w:rPr>
        <w:t>的行政处罚决定不服申请行政复议的，可以通过</w:t>
      </w:r>
      <w:r>
        <w:rPr>
          <w:rFonts w:cs="Times New Roman" w:hint="eastAsia"/>
          <w:color w:val="ff0000"/>
        </w:rPr>
        <w:t>作出</w:t>
      </w:r>
      <w:r>
        <w:rPr>
          <w:rFonts w:cs="Times New Roman" w:hint="eastAsia"/>
          <w:color w:val="ff0000"/>
        </w:rPr>
        <w:t>行政处罚决定的行政机关提交行政复议申请。行政机关收到行政复议申请后，应当及时处理；认为需要维持行政处罚决定的，应当自收到行政复议申请之日起5日内转送行政复议机关。</w:t>
      </w:r>
    </w:p>
    <w:p w14:paraId="142629D4">
      <w:pPr>
        <w:pStyle w:val="style0"/>
        <w:snapToGrid w:val="false"/>
        <w:spacing w:lineRule="auto" w:line="276"/>
        <w:rPr>
          <w:rFonts w:hint="eastAsia"/>
          <w:b/>
          <w:bCs/>
        </w:rPr>
      </w:pPr>
      <w:r>
        <w:rPr>
          <w:rFonts w:hint="eastAsia"/>
          <w:b/>
          <w:bCs/>
        </w:rPr>
        <w:t>二、受理</w:t>
      </w:r>
    </w:p>
    <w:p w14:paraId="7761DC93">
      <w:pPr>
        <w:pStyle w:val="style0"/>
        <w:snapToGrid w:val="false"/>
        <w:spacing w:lineRule="auto" w:line="276"/>
        <w:ind w:firstLine="420" w:firstLineChars="200"/>
        <w:rPr>
          <w:rFonts w:cs="Times New Roman" w:hint="eastAsia"/>
          <w:color w:val="auto"/>
        </w:rPr>
      </w:pPr>
      <w:r>
        <w:rPr>
          <w:rFonts w:cs="Times New Roman" w:hint="eastAsia"/>
          <w:color w:val="auto"/>
        </w:rPr>
        <w:t>（1）对不符合前款规定的行政复议申请，行政复议机关应当在审查期限内决定不予受理并说明理由。</w:t>
      </w:r>
    </w:p>
    <w:p w14:paraId="0057FB2D">
      <w:pPr>
        <w:pStyle w:val="style0"/>
        <w:snapToGrid w:val="false"/>
        <w:spacing w:lineRule="auto" w:line="276"/>
        <w:ind w:firstLine="420" w:firstLineChars="200"/>
        <w:rPr>
          <w:rFonts w:cs="Times New Roman" w:hint="eastAsia"/>
          <w:color w:val="auto"/>
        </w:rPr>
      </w:pPr>
      <w:r>
        <w:rPr>
          <w:rFonts w:cs="Times New Roman" w:hint="eastAsia"/>
          <w:color w:val="auto"/>
        </w:rPr>
        <w:t>（2）不属于本机关管辖的，还应当在不予受理决定中告知申请人有管辖权的行政复议机关。</w:t>
      </w:r>
    </w:p>
    <w:p w14:paraId="4A4BA5EB">
      <w:pPr>
        <w:pStyle w:val="style0"/>
        <w:snapToGrid w:val="false"/>
        <w:spacing w:lineRule="auto" w:line="276"/>
        <w:ind w:firstLine="420" w:firstLineChars="200"/>
        <w:rPr>
          <w:rFonts w:cs="Times New Roman" w:hint="eastAsia"/>
          <w:color w:val="auto"/>
        </w:rPr>
      </w:pPr>
      <w:r>
        <w:rPr>
          <w:rFonts w:cs="Times New Roman" w:hint="eastAsia"/>
          <w:color w:val="auto"/>
        </w:rPr>
        <w:t>（3）行政复议申请的审查期限届满，行政复议机关未</w:t>
      </w:r>
      <w:r>
        <w:rPr>
          <w:rFonts w:cs="Times New Roman" w:hint="eastAsia"/>
          <w:color w:val="auto"/>
        </w:rPr>
        <w:t>作出</w:t>
      </w:r>
      <w:r>
        <w:rPr>
          <w:rFonts w:cs="Times New Roman" w:hint="eastAsia"/>
          <w:color w:val="auto"/>
        </w:rPr>
        <w:t>不予受理决定的，审查期限届满之日起视为受理。</w:t>
      </w:r>
    </w:p>
    <w:p w14:paraId="464AB8EA">
      <w:pPr>
        <w:pStyle w:val="style0"/>
        <w:snapToGrid w:val="false"/>
        <w:spacing w:lineRule="auto" w:line="276"/>
        <w:ind w:firstLine="420" w:firstLineChars="200"/>
        <w:rPr>
          <w:rFonts w:cs="Times New Roman" w:hint="eastAsia"/>
          <w:color w:val="ff0000"/>
        </w:rPr>
      </w:pPr>
      <w:r>
        <w:rPr>
          <w:rFonts w:cs="Times New Roman" w:hint="eastAsia"/>
          <w:color w:val="ff0000"/>
        </w:rPr>
        <w:t>（4）行政复议申请材料不齐全或者表述不清楚，无法判断行政复议申请是否符合规定的，行政复议机关应当自收到申请之日起5日内一次性书面通知申请人补正。申请人应当自收到补正通知之日起10日内提交补正材料。无正当理由逾期</w:t>
      </w:r>
      <w:r>
        <w:rPr>
          <w:rFonts w:cs="Times New Roman" w:hint="eastAsia"/>
          <w:color w:val="ff0000"/>
        </w:rPr>
        <w:t>不</w:t>
      </w:r>
      <w:r>
        <w:rPr>
          <w:rFonts w:cs="Times New Roman" w:hint="eastAsia"/>
          <w:color w:val="ff0000"/>
        </w:rPr>
        <w:t>补正的，视为申请人放弃行政复议申请，并记录在案。</w:t>
      </w:r>
    </w:p>
    <w:p w14:paraId="3A275844">
      <w:pPr>
        <w:pStyle w:val="style0"/>
        <w:snapToGrid w:val="false"/>
        <w:spacing w:lineRule="auto" w:line="276"/>
        <w:rPr>
          <w:rFonts w:hint="eastAsia"/>
          <w:b/>
          <w:bCs/>
          <w:color w:val="ff0000"/>
        </w:rPr>
      </w:pPr>
      <w:r>
        <w:rPr>
          <w:rFonts w:hint="eastAsia"/>
          <w:b/>
          <w:bCs/>
        </w:rPr>
        <w:t>三、审理</w:t>
      </w:r>
    </w:p>
    <w:p w14:paraId="1271ECD1">
      <w:pPr>
        <w:pStyle w:val="style0"/>
        <w:snapToGrid w:val="false"/>
        <w:spacing w:lineRule="auto" w:line="276"/>
        <w:ind w:firstLine="422" w:firstLineChars="200"/>
        <w:rPr>
          <w:rFonts w:cs="Times New Roman" w:hint="eastAsia"/>
          <w:b/>
          <w:bCs/>
        </w:rPr>
      </w:pPr>
      <w:r>
        <w:rPr>
          <w:rFonts w:cs="Times New Roman" w:hint="eastAsia"/>
          <w:b/>
          <w:bCs/>
        </w:rPr>
        <w:t>（一）普通程序</w:t>
      </w:r>
    </w:p>
    <w:p w14:paraId="43BB8B07">
      <w:pPr>
        <w:pStyle w:val="style0"/>
        <w:snapToGrid w:val="false"/>
        <w:spacing w:lineRule="auto" w:line="276"/>
        <w:ind w:firstLine="420" w:firstLineChars="200"/>
        <w:rPr>
          <w:rFonts w:hint="eastAsia"/>
          <w:color w:val="ff0000"/>
          <w:kern w:val="0"/>
        </w:rPr>
      </w:pPr>
      <w:r>
        <w:rPr>
          <w:rFonts w:hint="eastAsia"/>
          <w:color w:val="auto"/>
          <w:kern w:val="0"/>
        </w:rPr>
        <w:t>1</w:t>
      </w:r>
      <w:r>
        <w:rPr>
          <w:rFonts w:hint="eastAsia"/>
          <w:color w:val="auto"/>
          <w:kern w:val="0"/>
        </w:rPr>
        <w:t>．组织听证</w:t>
      </w:r>
    </w:p>
    <w:p w14:paraId="0CD1641D">
      <w:pPr>
        <w:pStyle w:val="style0"/>
        <w:snapToGrid w:val="false"/>
        <w:spacing w:lineRule="auto" w:line="276"/>
        <w:ind w:firstLine="420" w:firstLineChars="200"/>
        <w:rPr>
          <w:rFonts w:cs="Times New Roman" w:hint="eastAsia"/>
          <w:color w:val="auto"/>
        </w:rPr>
      </w:pPr>
      <w:r>
        <w:rPr>
          <w:rFonts w:cs="Times New Roman" w:hint="eastAsia"/>
          <w:color w:val="auto"/>
        </w:rPr>
        <w:t>（1）听证范围</w:t>
      </w:r>
    </w:p>
    <w:p w14:paraId="57FA5479">
      <w:pPr>
        <w:pStyle w:val="style0"/>
        <w:snapToGrid w:val="false"/>
        <w:spacing w:lineRule="auto" w:line="276"/>
        <w:ind w:firstLine="420" w:firstLineChars="200"/>
        <w:rPr>
          <w:rFonts w:cs="Times New Roman" w:hint="eastAsia"/>
          <w:color w:val="ff0000"/>
        </w:rPr>
      </w:pPr>
      <w:r>
        <w:rPr>
          <w:rFonts w:cs="Times New Roman" w:hint="eastAsia"/>
          <w:color w:val="ff0000"/>
        </w:rPr>
        <w:t>审理重大、疑难、复杂的行政复议案件，行政复议机构应当组织听证。</w:t>
      </w:r>
    </w:p>
    <w:p w14:paraId="398778AE">
      <w:pPr>
        <w:pStyle w:val="style0"/>
        <w:snapToGrid w:val="false"/>
        <w:spacing w:lineRule="auto" w:line="276"/>
        <w:ind w:firstLine="420" w:firstLineChars="200"/>
        <w:rPr>
          <w:rFonts w:cs="Times New Roman" w:hint="eastAsia"/>
          <w:color w:val="ff0000"/>
        </w:rPr>
      </w:pPr>
      <w:r>
        <w:rPr>
          <w:rFonts w:cs="Times New Roman" w:hint="eastAsia"/>
          <w:color w:val="ff0000"/>
        </w:rPr>
        <w:t>行政复议机构认为有必要听证，或者申请人请求听证的，行政复议机构可以组织听证。</w:t>
      </w:r>
    </w:p>
    <w:p w14:paraId="1D2D7312">
      <w:pPr>
        <w:pStyle w:val="style0"/>
        <w:snapToGrid w:val="false"/>
        <w:spacing w:lineRule="auto" w:line="276"/>
        <w:ind w:firstLine="420" w:firstLineChars="200"/>
        <w:rPr>
          <w:rFonts w:cs="Times New Roman" w:hint="eastAsia"/>
          <w:color w:val="auto"/>
        </w:rPr>
      </w:pPr>
      <w:r>
        <w:rPr>
          <w:rFonts w:cs="Times New Roman" w:hint="eastAsia"/>
          <w:color w:val="auto"/>
        </w:rPr>
        <w:t>（2）组成人员</w:t>
      </w:r>
    </w:p>
    <w:p w14:paraId="73A4346E">
      <w:pPr>
        <w:pStyle w:val="style0"/>
        <w:snapToGrid w:val="false"/>
        <w:spacing w:lineRule="auto" w:line="276"/>
        <w:ind w:firstLine="420" w:firstLineChars="200"/>
        <w:rPr>
          <w:rFonts w:cs="Times New Roman" w:hint="eastAsia"/>
          <w:color w:val="auto"/>
        </w:rPr>
      </w:pPr>
      <w:r>
        <w:rPr>
          <w:rFonts w:cs="Times New Roman" w:hint="eastAsia"/>
          <w:color w:val="auto"/>
        </w:rPr>
        <w:t>听证由1名行政复议人员任主持人，2名以上行政复议人员任听证员，1名记录员制作听证笔录。</w:t>
      </w:r>
    </w:p>
    <w:p w14:paraId="7D7C5751">
      <w:pPr>
        <w:pStyle w:val="style0"/>
        <w:snapToGrid w:val="false"/>
        <w:spacing w:lineRule="auto" w:line="276"/>
        <w:ind w:firstLine="420" w:firstLineChars="200"/>
        <w:rPr>
          <w:rFonts w:cs="Times New Roman" w:hint="eastAsia"/>
          <w:color w:val="auto"/>
        </w:rPr>
      </w:pPr>
      <w:r>
        <w:rPr>
          <w:rFonts w:cs="Times New Roman" w:hint="eastAsia"/>
          <w:color w:val="auto"/>
        </w:rPr>
        <w:t>（3）听证程序</w:t>
      </w:r>
    </w:p>
    <w:p w14:paraId="262ECC44">
      <w:pPr>
        <w:pStyle w:val="style0"/>
        <w:snapToGrid w:val="false"/>
        <w:spacing w:lineRule="auto" w:line="276"/>
        <w:ind w:firstLine="420" w:firstLineChars="200"/>
        <w:rPr>
          <w:rFonts w:cs="Times New Roman" w:hint="eastAsia"/>
          <w:color w:val="auto"/>
        </w:rPr>
      </w:pPr>
      <w:r>
        <w:rPr>
          <w:rFonts w:cs="Times New Roman" w:hint="eastAsia"/>
          <w:color w:val="auto"/>
        </w:rPr>
        <w:t>于举行</w:t>
      </w:r>
      <w:r>
        <w:rPr>
          <w:rFonts w:cs="Times New Roman" w:hint="eastAsia"/>
          <w:color w:val="auto"/>
        </w:rPr>
        <w:t>听证的5日前将听证的时间、地点和</w:t>
      </w:r>
      <w:r>
        <w:rPr>
          <w:rFonts w:cs="Times New Roman" w:hint="eastAsia"/>
          <w:color w:val="auto"/>
        </w:rPr>
        <w:t>拟听证</w:t>
      </w:r>
      <w:r>
        <w:rPr>
          <w:rFonts w:cs="Times New Roman" w:hint="eastAsia"/>
          <w:color w:val="auto"/>
        </w:rPr>
        <w:t>事项书面通知当事人。</w:t>
      </w:r>
    </w:p>
    <w:p w14:paraId="6C5F20B2">
      <w:pPr>
        <w:pStyle w:val="style0"/>
        <w:snapToGrid w:val="false"/>
        <w:spacing w:lineRule="auto" w:line="276"/>
        <w:ind w:firstLine="420" w:firstLineChars="200"/>
        <w:rPr>
          <w:rFonts w:cs="Times New Roman" w:hint="eastAsia"/>
          <w:color w:val="auto"/>
        </w:rPr>
      </w:pPr>
      <w:r>
        <w:rPr>
          <w:rFonts w:cs="Times New Roman" w:hint="eastAsia"/>
          <w:color w:val="auto"/>
        </w:rPr>
        <w:t>申请人无正当理由拒不参加听证的，视为放弃听证权利。</w:t>
      </w:r>
    </w:p>
    <w:p w14:paraId="18763E42">
      <w:pPr>
        <w:pStyle w:val="style0"/>
        <w:snapToGrid w:val="false"/>
        <w:spacing w:lineRule="auto" w:line="276"/>
        <w:ind w:firstLine="420" w:firstLineChars="200"/>
        <w:rPr>
          <w:rFonts w:cs="Times New Roman" w:hint="eastAsia"/>
          <w:color w:val="ff0000"/>
        </w:rPr>
      </w:pPr>
      <w:r>
        <w:rPr>
          <w:rFonts w:cs="Times New Roman" w:hint="eastAsia"/>
          <w:color w:val="ff0000"/>
        </w:rPr>
        <w:t>被申请人的负责人应当参加听证。不能参加的，应当说明理由并委托相应的工作人员参加听证。</w:t>
      </w:r>
    </w:p>
    <w:p w14:paraId="0B3F2B8B">
      <w:pPr>
        <w:pStyle w:val="style0"/>
        <w:snapToGrid w:val="false"/>
        <w:spacing w:lineRule="auto" w:line="276"/>
        <w:ind w:firstLine="420" w:firstLineChars="200"/>
        <w:rPr>
          <w:rFonts w:cs="Times New Roman" w:hint="eastAsia"/>
          <w:color w:val="auto"/>
        </w:rPr>
      </w:pPr>
      <w:r>
        <w:rPr>
          <w:rFonts w:cs="Times New Roman" w:hint="eastAsia"/>
          <w:color w:val="auto"/>
        </w:rPr>
        <w:t>（4）听证笔录</w:t>
      </w:r>
    </w:p>
    <w:p w14:paraId="11762481">
      <w:pPr>
        <w:pStyle w:val="style0"/>
        <w:snapToGrid w:val="false"/>
        <w:spacing w:lineRule="auto" w:line="276"/>
        <w:ind w:firstLine="420" w:firstLineChars="200"/>
        <w:rPr>
          <w:rFonts w:cs="Times New Roman" w:hint="eastAsia"/>
          <w:color w:val="ff0000"/>
        </w:rPr>
      </w:pPr>
      <w:r>
        <w:rPr>
          <w:rFonts w:cs="Times New Roman" w:hint="eastAsia"/>
          <w:color w:val="ff0000"/>
        </w:rPr>
        <w:t>经过听证的复议案件，应当根据听证笔录、审查认定的事实和证据，</w:t>
      </w:r>
      <w:r>
        <w:rPr>
          <w:rFonts w:cs="Times New Roman" w:hint="eastAsia"/>
          <w:color w:val="ff0000"/>
        </w:rPr>
        <w:t>作出</w:t>
      </w:r>
      <w:r>
        <w:rPr>
          <w:rFonts w:cs="Times New Roman" w:hint="eastAsia"/>
          <w:color w:val="ff0000"/>
        </w:rPr>
        <w:t>复议决定。</w:t>
      </w:r>
    </w:p>
    <w:p w14:paraId="2FC289EE">
      <w:pPr>
        <w:pStyle w:val="style0"/>
        <w:snapToGrid w:val="false"/>
        <w:spacing w:lineRule="auto" w:line="276"/>
        <w:ind w:firstLine="420" w:firstLineChars="200"/>
        <w:rPr>
          <w:rFonts w:hint="eastAsia"/>
          <w:color w:val="ff0000"/>
          <w:kern w:val="0"/>
        </w:rPr>
      </w:pPr>
      <w:r>
        <w:rPr>
          <w:rFonts w:hint="eastAsia"/>
          <w:color w:val="auto"/>
          <w:kern w:val="0"/>
        </w:rPr>
        <w:t>2</w:t>
      </w:r>
      <w:r>
        <w:rPr>
          <w:rFonts w:hint="eastAsia"/>
          <w:color w:val="auto"/>
          <w:kern w:val="0"/>
        </w:rPr>
        <w:t>．提请咨询</w:t>
      </w:r>
    </w:p>
    <w:p w14:paraId="55323478">
      <w:pPr>
        <w:pStyle w:val="style0"/>
        <w:snapToGrid w:val="false"/>
        <w:spacing w:lineRule="auto" w:line="276"/>
        <w:ind w:firstLine="420" w:firstLineChars="200"/>
        <w:rPr>
          <w:rFonts w:cs="Times New Roman" w:hint="eastAsia"/>
          <w:color w:val="auto"/>
        </w:rPr>
      </w:pPr>
      <w:r>
        <w:rPr>
          <w:rFonts w:cs="Times New Roman" w:hint="eastAsia"/>
          <w:color w:val="auto"/>
        </w:rPr>
        <w:t>（1）咨询组织</w:t>
      </w:r>
    </w:p>
    <w:p w14:paraId="0213C49A">
      <w:pPr>
        <w:pStyle w:val="style0"/>
        <w:snapToGrid w:val="false"/>
        <w:spacing w:lineRule="auto" w:line="276"/>
        <w:ind w:firstLine="420" w:firstLineChars="200"/>
        <w:rPr>
          <w:rFonts w:cs="Times New Roman" w:hint="eastAsia"/>
          <w:color w:val="auto"/>
        </w:rPr>
      </w:pPr>
      <w:r>
        <w:rPr>
          <w:rFonts w:cs="Times New Roman" w:hint="eastAsia"/>
          <w:color w:val="auto"/>
        </w:rPr>
        <w:t>县级以上各级人民政府应当建立相关政府部门、专家、学者等参与的行政复议委员会。</w:t>
      </w:r>
    </w:p>
    <w:p w14:paraId="4B69F5BA">
      <w:pPr>
        <w:pStyle w:val="style0"/>
        <w:snapToGrid w:val="false"/>
        <w:spacing w:lineRule="auto" w:line="276"/>
        <w:ind w:firstLine="420" w:firstLineChars="200"/>
        <w:rPr>
          <w:rFonts w:cs="Times New Roman" w:hint="eastAsia"/>
          <w:color w:val="auto"/>
        </w:rPr>
      </w:pPr>
      <w:r>
        <w:rPr>
          <w:rFonts w:cs="Times New Roman" w:hint="eastAsia"/>
          <w:color w:val="auto"/>
        </w:rPr>
        <w:t>（2）咨询情形</w:t>
      </w:r>
    </w:p>
    <w:p w14:paraId="3B04B9BD">
      <w:pPr>
        <w:pStyle w:val="style0"/>
        <w:snapToGrid w:val="false"/>
        <w:spacing w:lineRule="auto" w:line="276"/>
        <w:ind w:firstLine="432" w:firstLineChars="200"/>
        <w:rPr>
          <w:rFonts w:cs="Times New Roman" w:hint="eastAsia"/>
          <w:color w:val="ff0000"/>
          <w:spacing w:val="3"/>
        </w:rPr>
      </w:pPr>
      <w:r>
        <w:rPr>
          <w:rFonts w:cs="Times New Roman" w:hint="eastAsia"/>
          <w:color w:val="ff0000"/>
          <w:spacing w:val="3"/>
        </w:rPr>
        <w:t>审理行政复议案件涉及下列情形之一的，行政复议机构应当提请行政复议委员会提出咨询意见：</w:t>
      </w:r>
    </w:p>
    <w:p w14:paraId="48AD5980">
      <w:pPr>
        <w:pStyle w:val="style0"/>
        <w:snapToGrid w:val="false"/>
        <w:spacing w:lineRule="auto" w:line="276"/>
        <w:ind w:firstLine="420" w:firstLineChars="200"/>
        <w:rPr>
          <w:rFonts w:cs="Times New Roman" w:hint="eastAsia"/>
          <w:color w:val="ff0000"/>
        </w:rPr>
      </w:pPr>
      <w:r>
        <w:rPr>
          <w:rFonts w:cs="Times New Roman" w:hint="eastAsia"/>
          <w:color w:val="ff0000"/>
        </w:rPr>
        <w:t>①重大、疑难、复杂的案件。②专业性、技术性较强的案件。③省级政府作为被申请人的案件。④行政复议机构认为有必要的案件。</w:t>
      </w:r>
    </w:p>
    <w:p w14:paraId="3D4F5014">
      <w:pPr>
        <w:pStyle w:val="style0"/>
        <w:snapToGrid w:val="false"/>
        <w:spacing w:lineRule="auto" w:line="276"/>
        <w:ind w:firstLine="420" w:firstLineChars="200"/>
        <w:rPr>
          <w:rFonts w:cs="Times New Roman" w:hint="eastAsia"/>
          <w:color w:val="auto"/>
        </w:rPr>
      </w:pPr>
      <w:r>
        <w:rPr>
          <w:rFonts w:cs="Times New Roman" w:hint="eastAsia"/>
          <w:color w:val="auto"/>
        </w:rPr>
        <w:t>（3）咨询记录</w:t>
      </w:r>
    </w:p>
    <w:p w14:paraId="26BFDB2B">
      <w:pPr>
        <w:pStyle w:val="style0"/>
        <w:snapToGrid w:val="false"/>
        <w:spacing w:lineRule="auto" w:line="276"/>
        <w:ind w:firstLine="420" w:firstLineChars="200"/>
        <w:rPr>
          <w:rFonts w:cs="Times New Roman" w:hint="eastAsia"/>
          <w:color w:val="auto"/>
        </w:rPr>
      </w:pPr>
      <w:r>
        <w:rPr>
          <w:rFonts w:cs="Times New Roman" w:hint="eastAsia"/>
          <w:color w:val="auto"/>
        </w:rPr>
        <w:t>行政复议机构应当记录行政复议委员会的咨询意见。</w:t>
      </w:r>
    </w:p>
    <w:p w14:paraId="2947DA89">
      <w:pPr>
        <w:pStyle w:val="style0"/>
        <w:snapToGrid w:val="false"/>
        <w:spacing w:lineRule="auto" w:line="276"/>
        <w:ind w:firstLine="420" w:firstLineChars="200"/>
        <w:rPr>
          <w:rFonts w:cs="Times New Roman" w:hint="eastAsia"/>
          <w:color w:val="auto"/>
        </w:rPr>
      </w:pPr>
      <w:r>
        <w:rPr>
          <w:rFonts w:cs="Times New Roman" w:hint="eastAsia"/>
          <w:color w:val="auto"/>
        </w:rPr>
        <w:t>（4）咨询效力</w:t>
      </w:r>
    </w:p>
    <w:p w14:paraId="44979269">
      <w:pPr>
        <w:pStyle w:val="style0"/>
        <w:snapToGrid w:val="false"/>
        <w:spacing w:lineRule="auto" w:line="276"/>
        <w:ind w:firstLine="420" w:firstLineChars="200"/>
        <w:rPr>
          <w:rFonts w:cs="Times New Roman" w:hint="eastAsia"/>
          <w:color w:val="ff0000"/>
        </w:rPr>
      </w:pPr>
      <w:r>
        <w:rPr>
          <w:rFonts w:cs="Times New Roman" w:hint="eastAsia"/>
          <w:color w:val="ff0000"/>
        </w:rPr>
        <w:t>行政复议机关应当将咨询意见作为</w:t>
      </w:r>
      <w:r>
        <w:rPr>
          <w:rFonts w:cs="Times New Roman" w:hint="eastAsia"/>
          <w:color w:val="ff0000"/>
        </w:rPr>
        <w:t>作出</w:t>
      </w:r>
      <w:r>
        <w:rPr>
          <w:rFonts w:cs="Times New Roman" w:hint="eastAsia"/>
          <w:color w:val="ff0000"/>
        </w:rPr>
        <w:t>行政复议决定的重要参考依据。</w:t>
      </w:r>
    </w:p>
    <w:p w14:paraId="2CBCE7D3">
      <w:pPr>
        <w:pStyle w:val="style0"/>
        <w:snapToGrid w:val="false"/>
        <w:spacing w:lineRule="auto" w:line="276"/>
        <w:ind w:firstLine="422" w:firstLineChars="200"/>
        <w:rPr>
          <w:rFonts w:cs="Times New Roman" w:hint="eastAsia"/>
          <w:b/>
          <w:bCs/>
          <w:color w:val="ff0000"/>
        </w:rPr>
      </w:pPr>
      <w:r>
        <w:rPr>
          <w:rFonts w:cs="Times New Roman" w:hint="eastAsia"/>
          <w:b/>
          <w:bCs/>
        </w:rPr>
        <w:t>（二）简易程序</w:t>
      </w:r>
    </w:p>
    <w:p w14:paraId="6616466B">
      <w:pPr>
        <w:pStyle w:val="style0"/>
        <w:snapToGrid w:val="false"/>
        <w:spacing w:lineRule="auto" w:line="276"/>
        <w:ind w:firstLine="420" w:firstLineChars="200"/>
        <w:rPr>
          <w:rFonts w:hint="eastAsia"/>
          <w:color w:val="auto"/>
          <w:kern w:val="0"/>
        </w:rPr>
      </w:pPr>
      <w:r>
        <w:rPr>
          <w:rFonts w:hint="eastAsia"/>
          <w:color w:val="auto"/>
          <w:kern w:val="0"/>
        </w:rPr>
        <w:t>1．适用范围</w:t>
      </w:r>
    </w:p>
    <w:p w14:paraId="7F985C9F">
      <w:pPr>
        <w:pStyle w:val="style0"/>
        <w:snapToGrid w:val="false"/>
        <w:spacing w:lineRule="auto" w:line="276"/>
        <w:ind w:firstLine="420" w:firstLineChars="200"/>
        <w:rPr>
          <w:rFonts w:cs="Times New Roman" w:hint="eastAsia"/>
          <w:color w:val="ff0000"/>
        </w:rPr>
      </w:pPr>
      <w:r>
        <w:rPr>
          <w:rFonts w:cs="Times New Roman" w:hint="eastAsia"/>
          <w:color w:val="ff0000"/>
        </w:rPr>
        <w:t>（1）法定案件</w:t>
      </w:r>
    </w:p>
    <w:p w14:paraId="1326333B">
      <w:pPr>
        <w:pStyle w:val="style0"/>
        <w:snapToGrid w:val="false"/>
        <w:spacing w:lineRule="auto" w:line="276"/>
        <w:ind w:firstLine="420" w:firstLineChars="200"/>
        <w:rPr>
          <w:rFonts w:cs="Times New Roman" w:hint="eastAsia"/>
          <w:color w:val="ff0000"/>
        </w:rPr>
      </w:pPr>
      <w:r>
        <w:rPr>
          <w:rFonts w:cs="Times New Roman" w:hint="eastAsia"/>
          <w:color w:val="ff0000"/>
        </w:rPr>
        <w:t>事实清楚、权利义务关系明确、争议不大的下列案件，可以适用简易程序：</w:t>
      </w:r>
    </w:p>
    <w:p w14:paraId="652833E6">
      <w:pPr>
        <w:pStyle w:val="style0"/>
        <w:snapToGrid w:val="false"/>
        <w:spacing w:lineRule="auto" w:line="276"/>
        <w:ind w:firstLine="420" w:firstLineChars="200"/>
        <w:rPr>
          <w:rFonts w:cs="Times New Roman" w:hint="eastAsia"/>
          <w:color w:val="ff0000"/>
        </w:rPr>
      </w:pPr>
      <w:r>
        <w:rPr>
          <w:rFonts w:cs="Times New Roman" w:hint="eastAsia"/>
          <w:color w:val="ff0000"/>
        </w:rPr>
        <w:t>①被申请行政复议的行政行为是当场</w:t>
      </w:r>
      <w:r>
        <w:rPr>
          <w:rFonts w:cs="Times New Roman" w:hint="eastAsia"/>
          <w:color w:val="ff0000"/>
        </w:rPr>
        <w:t>作出</w:t>
      </w:r>
      <w:r>
        <w:rPr>
          <w:rFonts w:cs="Times New Roman" w:hint="eastAsia"/>
          <w:color w:val="ff0000"/>
        </w:rPr>
        <w:t>。②被申请行政复议的行政行为是警告或者通报批评。③案件涉及款额3000元以下。④属于政府信息公开案件。</w:t>
      </w:r>
    </w:p>
    <w:p w14:paraId="525BD9D1">
      <w:pPr>
        <w:pStyle w:val="style0"/>
        <w:snapToGrid w:val="false"/>
        <w:spacing w:lineRule="auto" w:line="276"/>
        <w:ind w:firstLine="420" w:firstLineChars="200"/>
        <w:rPr>
          <w:rFonts w:cs="Times New Roman" w:hint="eastAsia"/>
          <w:color w:val="ff0000"/>
        </w:rPr>
      </w:pPr>
      <w:r>
        <w:rPr>
          <w:rFonts w:cs="Times New Roman" w:hint="eastAsia"/>
          <w:color w:val="ff0000"/>
        </w:rPr>
        <w:t>（2）合意案件</w:t>
      </w:r>
    </w:p>
    <w:p w14:paraId="28C009E8">
      <w:pPr>
        <w:pStyle w:val="style0"/>
        <w:snapToGrid w:val="false"/>
        <w:spacing w:lineRule="auto" w:line="276"/>
        <w:ind w:firstLine="420" w:firstLineChars="200"/>
        <w:rPr>
          <w:rFonts w:cs="Times New Roman" w:hint="eastAsia"/>
          <w:color w:val="ff0000"/>
        </w:rPr>
      </w:pPr>
      <w:r>
        <w:rPr>
          <w:rFonts w:cs="Times New Roman" w:hint="eastAsia"/>
          <w:color w:val="ff0000"/>
        </w:rPr>
        <w:t>当事人各方同意适用简易程序的案件，可以适用简易程序。</w:t>
      </w:r>
    </w:p>
    <w:p w14:paraId="288A6DBC">
      <w:pPr>
        <w:pStyle w:val="style0"/>
        <w:snapToGrid w:val="false"/>
        <w:spacing w:lineRule="auto" w:line="276"/>
        <w:ind w:firstLine="420" w:firstLineChars="200"/>
        <w:rPr>
          <w:rFonts w:hint="eastAsia"/>
          <w:color w:val="auto"/>
          <w:kern w:val="0"/>
        </w:rPr>
      </w:pPr>
      <w:r>
        <w:rPr>
          <w:rFonts w:hint="eastAsia"/>
          <w:color w:val="auto"/>
          <w:kern w:val="0"/>
        </w:rPr>
        <w:t>2</w:t>
      </w:r>
      <w:r>
        <w:rPr>
          <w:rFonts w:hint="eastAsia"/>
          <w:color w:val="auto"/>
          <w:kern w:val="0"/>
        </w:rPr>
        <w:t>．审理方式</w:t>
      </w:r>
    </w:p>
    <w:p w14:paraId="61A07D0B">
      <w:pPr>
        <w:pStyle w:val="style0"/>
        <w:snapToGrid w:val="false"/>
        <w:spacing w:lineRule="auto" w:line="276"/>
        <w:ind w:firstLine="420" w:firstLineChars="200"/>
        <w:rPr>
          <w:rFonts w:cs="Times New Roman" w:hint="eastAsia"/>
          <w:color w:val="auto"/>
        </w:rPr>
      </w:pPr>
      <w:r>
        <w:rPr>
          <w:rFonts w:cs="Times New Roman" w:hint="eastAsia"/>
          <w:color w:val="auto"/>
        </w:rPr>
        <w:t>适用简易程序审理的行政复议案件，可以书面审理。</w:t>
      </w:r>
    </w:p>
    <w:p w14:paraId="15DC0A3B">
      <w:pPr>
        <w:pStyle w:val="style0"/>
        <w:snapToGrid w:val="false"/>
        <w:spacing w:lineRule="auto" w:line="276"/>
        <w:ind w:firstLine="422" w:firstLineChars="200"/>
        <w:rPr>
          <w:rFonts w:cs="Times New Roman" w:hint="eastAsia"/>
          <w:b/>
          <w:bCs/>
          <w:color w:val="ff0000"/>
        </w:rPr>
      </w:pPr>
      <w:r>
        <w:rPr>
          <w:rFonts w:cs="Times New Roman" w:hint="eastAsia"/>
          <w:b/>
          <w:bCs/>
        </w:rPr>
        <w:t>（三）行政复议中止</w:t>
      </w:r>
    </w:p>
    <w:p w14:paraId="35813CCC">
      <w:pPr>
        <w:pStyle w:val="style0"/>
        <w:snapToGrid w:val="false"/>
        <w:spacing w:lineRule="auto" w:line="276"/>
        <w:ind w:firstLine="420" w:firstLineChars="200"/>
        <w:rPr>
          <w:rFonts w:cs="Times New Roman" w:hint="eastAsia"/>
          <w:color w:val="ff0000"/>
        </w:rPr>
      </w:pPr>
      <w:r>
        <w:rPr>
          <w:rFonts w:cs="Times New Roman" w:hint="eastAsia"/>
          <w:color w:val="ff0000"/>
        </w:rPr>
        <w:t>行政复议期间有下列情形之一的，行政复议中止：</w:t>
      </w:r>
    </w:p>
    <w:p w14:paraId="3A061CE6">
      <w:pPr>
        <w:pStyle w:val="style0"/>
        <w:snapToGrid w:val="false"/>
        <w:spacing w:lineRule="auto" w:line="276"/>
        <w:ind w:firstLine="420" w:firstLineChars="200"/>
        <w:rPr>
          <w:rFonts w:cs="Times New Roman" w:hint="eastAsia"/>
          <w:color w:val="ff0000"/>
        </w:rPr>
      </w:pPr>
      <w:r>
        <w:rPr>
          <w:rFonts w:cs="Times New Roman" w:hint="eastAsia"/>
          <w:color w:val="auto"/>
        </w:rPr>
        <w:t>（1）</w:t>
      </w:r>
      <w:r>
        <w:rPr>
          <w:rFonts w:cs="Times New Roman" w:hint="eastAsia"/>
          <w:color w:val="ff0000"/>
        </w:rPr>
        <w:t>作为申请人的公民死亡，其近亲属尚未确定是否参加行政复议；</w:t>
      </w:r>
    </w:p>
    <w:bookmarkStart w:id="9" w:name="tiao_39_kuan_1_xiang_2"/>
    <w:bookmarkEnd w:id="9"/>
    <w:p w14:paraId="178F85A3">
      <w:pPr>
        <w:pStyle w:val="style0"/>
        <w:snapToGrid w:val="false"/>
        <w:spacing w:lineRule="auto" w:line="276"/>
        <w:ind w:firstLine="420" w:firstLineChars="200"/>
        <w:rPr>
          <w:rFonts w:cs="Times New Roman" w:hint="eastAsia"/>
          <w:color w:val="auto"/>
        </w:rPr>
      </w:pPr>
      <w:r>
        <w:rPr>
          <w:rFonts w:cs="Times New Roman" w:hint="eastAsia"/>
          <w:color w:val="auto"/>
        </w:rPr>
        <w:t>（2）作为申请人的公民丧失参加行政复议的行为能力，尚未确定法定代理人参加行政复议；</w:t>
      </w:r>
    </w:p>
    <w:bookmarkStart w:id="10" w:name="tiao_39_kuan_1_xiang_3"/>
    <w:bookmarkEnd w:id="10"/>
    <w:p w14:paraId="78068F22">
      <w:pPr>
        <w:pStyle w:val="style0"/>
        <w:snapToGrid w:val="false"/>
        <w:spacing w:lineRule="auto" w:line="276"/>
        <w:ind w:firstLine="420" w:firstLineChars="200"/>
        <w:rPr>
          <w:rFonts w:cs="Times New Roman" w:hint="eastAsia"/>
          <w:color w:val="auto"/>
        </w:rPr>
      </w:pPr>
      <w:r>
        <w:rPr>
          <w:rFonts w:cs="Times New Roman" w:hint="eastAsia"/>
          <w:color w:val="auto"/>
        </w:rPr>
        <w:t>（3）作为申请人的公民下落不明；</w:t>
      </w:r>
    </w:p>
    <w:bookmarkStart w:id="11" w:name="tiao_39_kuan_1_xiang_4"/>
    <w:bookmarkEnd w:id="11"/>
    <w:p w14:paraId="2EAE1226">
      <w:pPr>
        <w:pStyle w:val="style0"/>
        <w:snapToGrid w:val="false"/>
        <w:spacing w:lineRule="auto" w:line="276"/>
        <w:ind w:firstLine="420" w:firstLineChars="200"/>
        <w:rPr>
          <w:rFonts w:cs="Times New Roman" w:hint="eastAsia"/>
          <w:color w:val="auto"/>
        </w:rPr>
      </w:pPr>
      <w:r>
        <w:rPr>
          <w:rFonts w:cs="Times New Roman" w:hint="eastAsia"/>
          <w:color w:val="auto"/>
        </w:rPr>
        <w:t>（4）作为申请人的法人或者其他组织终止，尚未确定权利义务承受人；</w:t>
      </w:r>
    </w:p>
    <w:bookmarkStart w:id="12" w:name="tiao_39_kuan_1_xiang_5"/>
    <w:bookmarkEnd w:id="12"/>
    <w:p w14:paraId="66FB0CF3">
      <w:pPr>
        <w:pStyle w:val="style0"/>
        <w:snapToGrid w:val="false"/>
        <w:spacing w:lineRule="auto" w:line="276"/>
        <w:ind w:firstLine="420" w:firstLineChars="200"/>
        <w:rPr>
          <w:rFonts w:cs="Times New Roman" w:hint="eastAsia"/>
          <w:color w:val="auto"/>
        </w:rPr>
      </w:pPr>
      <w:r>
        <w:rPr>
          <w:rFonts w:cs="Times New Roman" w:hint="eastAsia"/>
          <w:color w:val="auto"/>
        </w:rPr>
        <w:t>（5）申请人、被申请人因不可抗力或者其他正当理由，不能参加行政复议；</w:t>
      </w:r>
    </w:p>
    <w:bookmarkStart w:id="13" w:name="tiao_39_kuan_1_xiang_6"/>
    <w:bookmarkEnd w:id="13"/>
    <w:p w14:paraId="482CBB9D">
      <w:pPr>
        <w:pStyle w:val="style0"/>
        <w:snapToGrid w:val="false"/>
        <w:spacing w:lineRule="auto" w:line="276"/>
        <w:ind w:firstLine="420" w:firstLineChars="200"/>
        <w:rPr>
          <w:rFonts w:cs="Times New Roman" w:hint="eastAsia"/>
          <w:color w:val="ff0000"/>
        </w:rPr>
      </w:pPr>
      <w:r>
        <w:rPr>
          <w:rFonts w:cs="Times New Roman" w:hint="eastAsia"/>
          <w:color w:val="auto"/>
        </w:rPr>
        <w:t>（6）</w:t>
      </w:r>
      <w:r>
        <w:rPr>
          <w:rFonts w:cs="Times New Roman" w:hint="eastAsia"/>
          <w:color w:val="ff0000"/>
        </w:rPr>
        <w:t>依照本法规定进行调解、和解，申请人和被申请人同意中止；</w:t>
      </w:r>
    </w:p>
    <w:bookmarkStart w:id="14" w:name="tiao_39_kuan_1_xiang_7"/>
    <w:bookmarkEnd w:id="14"/>
    <w:p w14:paraId="7726611B">
      <w:pPr>
        <w:pStyle w:val="style0"/>
        <w:snapToGrid w:val="false"/>
        <w:spacing w:lineRule="auto" w:line="276"/>
        <w:ind w:firstLine="420" w:firstLineChars="200"/>
        <w:rPr>
          <w:rFonts w:cs="Times New Roman" w:hint="eastAsia"/>
          <w:color w:val="ff0000"/>
        </w:rPr>
      </w:pPr>
      <w:r>
        <w:rPr>
          <w:rFonts w:cs="Times New Roman" w:hint="eastAsia"/>
          <w:color w:val="auto"/>
        </w:rPr>
        <w:t>（7）</w:t>
      </w:r>
      <w:r>
        <w:rPr>
          <w:rFonts w:cs="Times New Roman" w:hint="eastAsia"/>
          <w:color w:val="ff0000"/>
        </w:rPr>
        <w:t>行政复议案件涉及的法律适用问题需要有权机关</w:t>
      </w:r>
      <w:r>
        <w:rPr>
          <w:rFonts w:cs="Times New Roman" w:hint="eastAsia"/>
          <w:color w:val="ff0000"/>
        </w:rPr>
        <w:t>作出</w:t>
      </w:r>
      <w:r>
        <w:rPr>
          <w:rFonts w:cs="Times New Roman" w:hint="eastAsia"/>
          <w:color w:val="ff0000"/>
        </w:rPr>
        <w:t>解释或者确认；</w:t>
      </w:r>
    </w:p>
    <w:bookmarkStart w:id="15" w:name="tiao_39_kuan_1_xiang_8"/>
    <w:bookmarkEnd w:id="15"/>
    <w:p w14:paraId="1668384E">
      <w:pPr>
        <w:pStyle w:val="style0"/>
        <w:snapToGrid w:val="false"/>
        <w:spacing w:lineRule="auto" w:line="276"/>
        <w:ind w:firstLine="420" w:firstLineChars="200"/>
        <w:rPr>
          <w:rFonts w:cs="Times New Roman" w:hint="eastAsia"/>
          <w:color w:val="auto"/>
        </w:rPr>
      </w:pPr>
      <w:r>
        <w:rPr>
          <w:rFonts w:cs="Times New Roman" w:hint="eastAsia"/>
          <w:color w:val="auto"/>
        </w:rPr>
        <w:t>（8）行政复议案件审理需要以其他案件的审理结果为依据，而其他案件尚未审结；</w:t>
      </w:r>
    </w:p>
    <w:bookmarkStart w:id="16" w:name="tiao_39_kuan_1_xiang_9"/>
    <w:bookmarkEnd w:id="16"/>
    <w:p w14:paraId="3744C69A">
      <w:pPr>
        <w:pStyle w:val="style0"/>
        <w:snapToGrid w:val="false"/>
        <w:spacing w:lineRule="auto" w:line="276"/>
        <w:ind w:firstLine="420" w:firstLineChars="200"/>
        <w:rPr>
          <w:rFonts w:cs="Times New Roman" w:hint="eastAsia"/>
          <w:color w:val="ff00ff"/>
        </w:rPr>
      </w:pPr>
      <w:r>
        <w:rPr>
          <w:rFonts w:cs="Times New Roman" w:hint="eastAsia"/>
          <w:color w:val="auto"/>
        </w:rPr>
        <w:t>（9）行政复议机关无权审查规范性文件，需要转交有权机关审查，审查结论尚未</w:t>
      </w:r>
      <w:r>
        <w:rPr>
          <w:rFonts w:cs="Times New Roman" w:hint="eastAsia"/>
          <w:color w:val="auto"/>
        </w:rPr>
        <w:t>作出</w:t>
      </w:r>
      <w:r>
        <w:rPr>
          <w:rFonts w:cs="Times New Roman" w:hint="eastAsia"/>
          <w:color w:val="auto"/>
        </w:rPr>
        <w:t>；</w:t>
      </w:r>
    </w:p>
    <w:bookmarkStart w:id="17" w:name="tiao_39_kuan_1_xiang_10"/>
    <w:bookmarkEnd w:id="17"/>
    <w:p w14:paraId="6483D99C">
      <w:pPr>
        <w:pStyle w:val="style0"/>
        <w:snapToGrid w:val="false"/>
        <w:spacing w:lineRule="auto" w:line="276"/>
        <w:ind w:firstLine="420" w:firstLineChars="200"/>
        <w:rPr>
          <w:rFonts w:cs="Times New Roman" w:hint="eastAsia"/>
          <w:color w:val="auto"/>
        </w:rPr>
      </w:pPr>
      <w:r>
        <w:rPr>
          <w:rFonts w:cs="Times New Roman" w:hint="eastAsia"/>
          <w:color w:val="auto"/>
        </w:rPr>
        <w:t>（10）需要中止行政复议的其他情形。</w:t>
      </w:r>
    </w:p>
    <w:p w14:paraId="74C57C33">
      <w:pPr>
        <w:pStyle w:val="style0"/>
        <w:snapToGrid w:val="false"/>
        <w:spacing w:lineRule="auto" w:line="276"/>
        <w:rPr>
          <w:rFonts w:hint="eastAsia"/>
          <w:b/>
          <w:bCs/>
        </w:rPr>
      </w:pPr>
      <w:r>
        <w:rPr>
          <w:rFonts w:hint="eastAsia"/>
          <w:b/>
          <w:bCs/>
        </w:rPr>
        <w:t>四、决定</w:t>
      </w:r>
    </w:p>
    <w:p w14:paraId="573A98C0">
      <w:pPr>
        <w:pStyle w:val="style0"/>
        <w:snapToGrid w:val="false"/>
        <w:spacing w:lineRule="auto" w:line="276"/>
        <w:ind w:firstLine="422" w:firstLineChars="200"/>
        <w:rPr>
          <w:rFonts w:cs="Times New Roman" w:hint="eastAsia"/>
          <w:b/>
          <w:bCs/>
          <w:color w:val="ff0000"/>
        </w:rPr>
      </w:pPr>
      <w:r>
        <w:rPr>
          <w:rFonts w:cs="Times New Roman" w:hint="eastAsia"/>
          <w:b/>
          <w:bCs/>
        </w:rPr>
        <w:t>（一）决定期限</w:t>
      </w:r>
    </w:p>
    <w:p w14:paraId="7E02F110">
      <w:pPr>
        <w:pStyle w:val="style0"/>
        <w:snapToGrid w:val="false"/>
        <w:spacing w:lineRule="auto" w:line="276"/>
        <w:ind w:firstLine="420" w:firstLineChars="200"/>
        <w:rPr>
          <w:rFonts w:cs="Times New Roman" w:hint="eastAsia"/>
          <w:color w:val="auto"/>
        </w:rPr>
      </w:pPr>
      <w:r>
        <w:rPr>
          <w:rFonts w:cs="Times New Roman" w:hint="eastAsia"/>
          <w:color w:val="auto"/>
        </w:rPr>
        <w:t>原则：复议机关应当自受理申请之日起60日内</w:t>
      </w:r>
      <w:r>
        <w:rPr>
          <w:rFonts w:cs="Times New Roman" w:hint="eastAsia"/>
          <w:color w:val="auto"/>
        </w:rPr>
        <w:t>作出</w:t>
      </w:r>
      <w:r>
        <w:rPr>
          <w:rFonts w:cs="Times New Roman" w:hint="eastAsia"/>
          <w:color w:val="auto"/>
        </w:rPr>
        <w:t>复议决定；但是法律规定的行政复</w:t>
      </w:r>
      <w:r>
        <w:rPr>
          <w:rFonts w:cs="Times New Roman" w:hint="eastAsia"/>
          <w:color w:val="auto"/>
        </w:rPr>
        <w:t>议期限少于60日的除外。情况复杂，不能在规定期限内结案的，经复议机关负责人批准可以适当延长，并告知申请人和被申请人，但延长期限最多不超过30日。</w:t>
      </w:r>
    </w:p>
    <w:p w14:paraId="2167F069">
      <w:pPr>
        <w:pStyle w:val="style0"/>
        <w:snapToGrid w:val="false"/>
        <w:spacing w:lineRule="auto" w:line="276"/>
        <w:ind w:firstLine="420" w:firstLineChars="200"/>
        <w:rPr>
          <w:rFonts w:cs="Times New Roman" w:hint="eastAsia"/>
          <w:color w:val="ff0000"/>
        </w:rPr>
      </w:pPr>
      <w:r>
        <w:rPr>
          <w:rFonts w:cs="Times New Roman" w:hint="eastAsia"/>
          <w:color w:val="ff0000"/>
        </w:rPr>
        <w:t>例外：适用简易程序审理的行政复议案件，自受理申请之日起30日内</w:t>
      </w:r>
      <w:r>
        <w:rPr>
          <w:rFonts w:cs="Times New Roman" w:hint="eastAsia"/>
          <w:color w:val="ff0000"/>
        </w:rPr>
        <w:t>作出</w:t>
      </w:r>
      <w:r>
        <w:rPr>
          <w:rFonts w:cs="Times New Roman" w:hint="eastAsia"/>
          <w:color w:val="ff0000"/>
        </w:rPr>
        <w:t>行政复议决定。</w:t>
      </w:r>
    </w:p>
    <w:p w14:paraId="2B7EAE3C">
      <w:pPr>
        <w:pStyle w:val="style0"/>
        <w:snapToGrid w:val="false"/>
        <w:spacing w:lineRule="auto" w:line="276"/>
        <w:ind w:firstLine="422" w:firstLineChars="200"/>
        <w:rPr>
          <w:rFonts w:cs="Times New Roman" w:hint="eastAsia"/>
          <w:b/>
          <w:bCs/>
        </w:rPr>
      </w:pPr>
      <w:r>
        <w:rPr>
          <w:rFonts w:cs="Times New Roman" w:hint="eastAsia"/>
          <w:b/>
          <w:bCs/>
        </w:rPr>
        <w:t>（二）决定原则</w:t>
      </w:r>
    </w:p>
    <w:p w14:paraId="2A5BEC65">
      <w:pPr>
        <w:pStyle w:val="style0"/>
        <w:snapToGrid w:val="false"/>
        <w:spacing w:lineRule="auto" w:line="276"/>
        <w:ind w:firstLine="420" w:firstLineChars="200"/>
        <w:rPr>
          <w:rFonts w:cs="Times New Roman" w:hint="eastAsia"/>
          <w:color w:val="auto"/>
        </w:rPr>
      </w:pPr>
      <w:r>
        <w:rPr>
          <w:rFonts w:cs="Times New Roman" w:hint="eastAsia"/>
          <w:color w:val="auto"/>
        </w:rPr>
        <w:t>行政机关不得</w:t>
      </w:r>
      <w:r>
        <w:rPr>
          <w:rFonts w:cs="Times New Roman" w:hint="eastAsia"/>
          <w:color w:val="auto"/>
        </w:rPr>
        <w:t>作出</w:t>
      </w:r>
      <w:r>
        <w:rPr>
          <w:rFonts w:cs="Times New Roman" w:hint="eastAsia"/>
          <w:color w:val="auto"/>
        </w:rPr>
        <w:t>对申请人更为不利的复议决定，但是第三人提出相反请求的除外。</w:t>
      </w:r>
    </w:p>
    <w:p w14:paraId="2388A93F">
      <w:pPr>
        <w:pStyle w:val="style0"/>
        <w:snapToGrid w:val="false"/>
        <w:spacing w:lineRule="auto" w:line="276"/>
        <w:ind w:firstLine="422" w:firstLineChars="200"/>
        <w:rPr>
          <w:rFonts w:cs="Times New Roman" w:hint="eastAsia"/>
          <w:b/>
          <w:bCs/>
        </w:rPr>
      </w:pPr>
      <w:r>
        <w:rPr>
          <w:rFonts w:cs="Times New Roman" w:hint="eastAsia"/>
          <w:b/>
          <w:bCs/>
        </w:rPr>
        <w:t>（三）决定效力</w:t>
      </w:r>
    </w:p>
    <w:p w14:paraId="4CD1A576">
      <w:pPr>
        <w:pStyle w:val="style0"/>
        <w:snapToGrid w:val="false"/>
        <w:spacing w:lineRule="auto" w:line="276"/>
        <w:ind w:firstLine="420" w:firstLineChars="200"/>
        <w:rPr>
          <w:rFonts w:cs="Times New Roman" w:hint="eastAsia"/>
          <w:color w:val="auto"/>
        </w:rPr>
      </w:pPr>
      <w:r>
        <w:rPr>
          <w:rFonts w:cs="Times New Roman" w:hint="eastAsia"/>
          <w:color w:val="auto"/>
        </w:rPr>
        <w:t>行政复议机关</w:t>
      </w:r>
      <w:r>
        <w:rPr>
          <w:rFonts w:cs="Times New Roman" w:hint="eastAsia"/>
          <w:color w:val="auto"/>
        </w:rPr>
        <w:t>作出</w:t>
      </w:r>
      <w:r>
        <w:rPr>
          <w:rFonts w:cs="Times New Roman" w:hint="eastAsia"/>
          <w:color w:val="auto"/>
        </w:rPr>
        <w:t>行政复议决定，应当制作行政复议决定书，并加盖行政复议机关印章。</w:t>
      </w:r>
    </w:p>
    <w:p w14:paraId="21C575F6">
      <w:pPr>
        <w:pStyle w:val="style0"/>
        <w:snapToGrid w:val="false"/>
        <w:spacing w:lineRule="auto" w:line="276"/>
        <w:ind w:firstLine="420" w:firstLineChars="200"/>
        <w:rPr>
          <w:rFonts w:cs="Times New Roman" w:hint="eastAsia"/>
          <w:color w:val="auto"/>
        </w:rPr>
      </w:pPr>
      <w:r>
        <w:rPr>
          <w:rFonts w:cs="Times New Roman" w:hint="eastAsia"/>
          <w:color w:val="auto"/>
        </w:rPr>
        <w:t>行政复议决定书一经送达，即发生法律效力。</w:t>
      </w:r>
    </w:p>
    <w:bookmarkStart w:id="18" w:name="_Toc190544255"/>
    <w:bookmarkStart w:id="19" w:name="_Toc192256153"/>
    <w:p w14:paraId="33014865">
      <w:pPr>
        <w:pStyle w:val="style0"/>
        <w:snapToGrid w:val="false"/>
        <w:spacing w:lineRule="auto" w:line="276"/>
        <w:ind w:firstLine="422" w:firstLineChars="200"/>
        <w:jc w:val="center"/>
        <w:rPr>
          <w:rFonts w:hint="eastAsia"/>
          <w:b/>
          <w:bCs/>
          <w:color w:val="auto"/>
        </w:rPr>
      </w:pPr>
      <w:r>
        <w:rPr>
          <w:rFonts w:hint="eastAsia"/>
          <w:b/>
          <w:bCs/>
          <w:color w:val="auto"/>
        </w:rPr>
        <w:t>考点29  行政复议的结案和执行</w:t>
      </w:r>
      <w:bookmarkEnd w:id="18"/>
      <w:bookmarkEnd w:id="19"/>
      <w:r>
        <w:rPr>
          <w:rFonts w:hint="default"/>
          <w:b/>
          <w:bCs/>
          <w:color w:val="auto"/>
          <w:lang w:val="en-US"/>
        </w:rPr>
        <w:t>（21:30-22:03）</w:t>
      </w:r>
    </w:p>
    <w:p w14:paraId="35AC9A32">
      <w:pPr>
        <w:pStyle w:val="style0"/>
        <w:snapToGrid w:val="false"/>
        <w:spacing w:lineRule="auto" w:line="276"/>
        <w:rPr>
          <w:rFonts w:hint="eastAsia"/>
          <w:b/>
          <w:bCs/>
        </w:rPr>
      </w:pPr>
      <w:r>
        <w:rPr>
          <w:rFonts w:hint="eastAsia"/>
          <w:b/>
          <w:bCs/>
        </w:rPr>
        <w:t>一、行政复议的结案方式</w:t>
      </w:r>
    </w:p>
    <w:p w14:paraId="39A44F66">
      <w:pPr>
        <w:pStyle w:val="style0"/>
        <w:snapToGrid w:val="false"/>
        <w:spacing w:lineRule="auto" w:line="276"/>
        <w:ind w:firstLine="422" w:firstLineChars="200"/>
        <w:rPr>
          <w:rFonts w:cs="Times New Roman" w:hint="eastAsia"/>
          <w:b/>
          <w:bCs/>
        </w:rPr>
      </w:pPr>
      <w:r>
        <w:rPr>
          <w:rFonts w:cs="Times New Roman" w:hint="eastAsia"/>
          <w:b/>
          <w:bCs/>
        </w:rPr>
        <w:t>（一）不</w:t>
      </w:r>
      <w:r>
        <w:rPr>
          <w:rFonts w:cs="Times New Roman" w:hint="eastAsia"/>
          <w:b/>
          <w:bCs/>
        </w:rPr>
        <w:t>作出</w:t>
      </w:r>
      <w:r>
        <w:rPr>
          <w:rFonts w:cs="Times New Roman" w:hint="eastAsia"/>
          <w:b/>
          <w:bCs/>
        </w:rPr>
        <w:t>复议决定的结案</w:t>
      </w:r>
    </w:p>
    <w:p w14:paraId="22022CCA">
      <w:pPr>
        <w:pStyle w:val="style0"/>
        <w:snapToGrid w:val="false"/>
        <w:spacing w:lineRule="auto" w:line="276"/>
        <w:ind w:firstLine="420" w:firstLineChars="200"/>
        <w:rPr>
          <w:rFonts w:hint="eastAsia"/>
          <w:color w:val="auto"/>
          <w:kern w:val="0"/>
        </w:rPr>
      </w:pPr>
      <w:r>
        <w:rPr>
          <w:rFonts w:hint="eastAsia"/>
          <w:color w:val="auto"/>
          <w:kern w:val="0"/>
        </w:rPr>
        <w:t>1．和解结案</w:t>
      </w:r>
    </w:p>
    <w:p w14:paraId="7F1A92F3">
      <w:pPr>
        <w:pStyle w:val="style0"/>
        <w:snapToGrid w:val="false"/>
        <w:spacing w:lineRule="auto" w:line="276"/>
        <w:ind w:firstLine="420" w:firstLineChars="200"/>
        <w:rPr>
          <w:rFonts w:cs="Times New Roman" w:hint="eastAsia"/>
          <w:color w:val="auto"/>
        </w:rPr>
      </w:pPr>
      <w:r>
        <w:rPr>
          <w:rFonts w:cs="Times New Roman" w:hint="eastAsia"/>
          <w:color w:val="auto"/>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39846F16">
      <w:pPr>
        <w:pStyle w:val="style0"/>
        <w:snapToGrid w:val="false"/>
        <w:spacing w:lineRule="auto" w:line="276"/>
        <w:ind w:firstLine="420" w:firstLineChars="200"/>
        <w:rPr>
          <w:rFonts w:hint="eastAsia"/>
          <w:color w:val="ff0000"/>
          <w:kern w:val="0"/>
        </w:rPr>
      </w:pPr>
      <w:r>
        <w:rPr>
          <w:rFonts w:hint="eastAsia"/>
          <w:color w:val="auto"/>
          <w:kern w:val="0"/>
        </w:rPr>
        <w:t>2．调解结案</w:t>
      </w:r>
    </w:p>
    <w:p w14:paraId="28A66DBE">
      <w:pPr>
        <w:pStyle w:val="style0"/>
        <w:snapToGrid w:val="false"/>
        <w:spacing w:lineRule="auto" w:line="276"/>
        <w:ind w:firstLine="420" w:firstLineChars="200"/>
        <w:rPr>
          <w:rFonts w:cs="Times New Roman" w:hint="eastAsia"/>
          <w:color w:val="ff0000"/>
        </w:rPr>
      </w:pPr>
      <w:r>
        <w:rPr>
          <w:rFonts w:cs="Times New Roman" w:hint="eastAsia"/>
          <w:color w:val="ff0000"/>
        </w:rPr>
        <w:t>当事人经调解达成协议的，行政复议机关应当制作行政复议调解书，经各方当事人签字或者签章，并加盖行政复议机关印章，即具有法律效力。</w:t>
      </w:r>
    </w:p>
    <w:p w14:paraId="36F4754B">
      <w:pPr>
        <w:pStyle w:val="style0"/>
        <w:snapToGrid w:val="false"/>
        <w:spacing w:lineRule="auto" w:line="276"/>
        <w:ind w:firstLine="420" w:firstLineChars="200"/>
        <w:rPr>
          <w:rFonts w:cs="Times New Roman" w:hint="eastAsia"/>
          <w:color w:val="auto"/>
        </w:rPr>
      </w:pPr>
      <w:r>
        <w:rPr>
          <w:rFonts w:cs="Times New Roman" w:hint="eastAsia"/>
          <w:color w:val="auto"/>
        </w:rPr>
        <w:t>调解未达成协议或者调解书生效前一方反悔的，行政复议机关应当依法审查或者及时</w:t>
      </w:r>
      <w:r>
        <w:rPr>
          <w:rFonts w:cs="Times New Roman" w:hint="eastAsia"/>
          <w:color w:val="auto"/>
        </w:rPr>
        <w:t>作出</w:t>
      </w:r>
      <w:r>
        <w:rPr>
          <w:rFonts w:cs="Times New Roman" w:hint="eastAsia"/>
          <w:color w:val="auto"/>
        </w:rPr>
        <w:t>行政复议决定。</w:t>
      </w:r>
    </w:p>
    <w:p w14:paraId="5B44A1C0">
      <w:pPr>
        <w:pStyle w:val="style0"/>
        <w:snapToGrid w:val="false"/>
        <w:spacing w:lineRule="auto" w:line="276"/>
        <w:ind w:firstLine="422" w:firstLineChars="200"/>
        <w:rPr>
          <w:rFonts w:cs="Times New Roman" w:hint="eastAsia"/>
          <w:b/>
          <w:bCs/>
        </w:rPr>
      </w:pPr>
      <w:r>
        <w:rPr>
          <w:rFonts w:cs="Times New Roman" w:hint="eastAsia"/>
          <w:b/>
          <w:bCs/>
        </w:rPr>
        <w:t>（二）</w:t>
      </w:r>
      <w:r>
        <w:rPr>
          <w:rFonts w:cs="Times New Roman" w:hint="eastAsia"/>
          <w:b/>
          <w:bCs/>
        </w:rPr>
        <w:t>作出</w:t>
      </w:r>
      <w:r>
        <w:rPr>
          <w:rFonts w:cs="Times New Roman" w:hint="eastAsia"/>
          <w:b/>
          <w:bCs/>
        </w:rPr>
        <w:t>复议决定的结案方式</w:t>
      </w:r>
    </w:p>
    <w:p w14:paraId="72FE24FA">
      <w:pPr>
        <w:pStyle w:val="style0"/>
        <w:snapToGrid w:val="false"/>
        <w:spacing w:lineRule="auto" w:line="276"/>
        <w:ind w:firstLine="420" w:firstLineChars="200"/>
        <w:rPr>
          <w:rFonts w:hint="eastAsia"/>
          <w:color w:val="auto"/>
          <w:kern w:val="0"/>
        </w:rPr>
      </w:pPr>
      <w:r>
        <w:rPr>
          <w:rFonts w:hint="eastAsia"/>
          <w:color w:val="auto"/>
          <w:kern w:val="0"/>
        </w:rPr>
        <w:t>1．被申请人获胜的决定</w:t>
      </w:r>
    </w:p>
    <w:p w14:paraId="40EBCE56">
      <w:pPr>
        <w:pStyle w:val="style0"/>
        <w:snapToGrid w:val="false"/>
        <w:spacing w:lineRule="auto" w:line="276"/>
        <w:ind w:firstLine="420" w:firstLineChars="200"/>
        <w:rPr>
          <w:rFonts w:cs="Times New Roman" w:hint="eastAsia"/>
          <w:color w:val="auto"/>
        </w:rPr>
      </w:pPr>
      <w:r>
        <w:rPr>
          <w:rFonts w:cs="Times New Roman" w:hint="eastAsia"/>
          <w:color w:val="auto"/>
        </w:rPr>
        <w:t>（1）维持决定</w:t>
      </w:r>
      <w:r>
        <w:rPr>
          <w:rFonts w:cs="Times New Roman" w:hint="eastAsia"/>
          <w:color w:val="auto"/>
        </w:rPr>
        <w:t>。</w:t>
      </w:r>
      <w:r>
        <w:rPr>
          <w:rFonts w:cs="Times New Roman" w:hint="eastAsia"/>
          <w:color w:val="auto"/>
        </w:rPr>
        <w:t>行政行为认定事实清楚，证据确凿，适用依据正确，程序合法，内容适当的，行政复议机关决定维持该行政行为。</w:t>
      </w:r>
    </w:p>
    <w:p w14:paraId="08957416">
      <w:pPr>
        <w:pStyle w:val="style0"/>
        <w:snapToGrid w:val="false"/>
        <w:spacing w:lineRule="auto" w:line="276"/>
        <w:ind w:firstLine="420" w:firstLineChars="200"/>
        <w:rPr>
          <w:rFonts w:cs="Times New Roman" w:hint="eastAsia"/>
          <w:color w:val="auto"/>
        </w:rPr>
      </w:pPr>
      <w:r>
        <w:rPr>
          <w:rFonts w:cs="Times New Roman" w:hint="eastAsia"/>
          <w:color w:val="auto"/>
        </w:rPr>
        <w:t>（2）驳回决定</w:t>
      </w:r>
      <w:r>
        <w:rPr>
          <w:rFonts w:cs="Times New Roman" w:hint="eastAsia"/>
          <w:color w:val="auto"/>
        </w:rPr>
        <w:t>。</w:t>
      </w:r>
      <w:r>
        <w:rPr>
          <w:rFonts w:cs="Times New Roman" w:hint="eastAsia"/>
          <w:color w:val="auto"/>
        </w:rPr>
        <w:t>行政复议机关受理申请人认为被申请人不履行法定职责的行政复议申请后，发现被申请人没有相应法定职责或者在受理前已经履行法定职责的，决定驳回申请人的行政复议请求。</w:t>
      </w:r>
    </w:p>
    <w:p w14:paraId="689336B9">
      <w:pPr>
        <w:pStyle w:val="style0"/>
        <w:snapToGrid w:val="false"/>
        <w:spacing w:lineRule="auto" w:line="276"/>
        <w:ind w:firstLine="420" w:firstLineChars="200"/>
        <w:rPr>
          <w:rFonts w:hint="eastAsia"/>
          <w:color w:val="auto"/>
          <w:kern w:val="0"/>
        </w:rPr>
      </w:pPr>
      <w:r>
        <w:rPr>
          <w:rFonts w:hint="eastAsia"/>
          <w:color w:val="auto"/>
          <w:kern w:val="0"/>
        </w:rPr>
        <w:t>2．申请人获胜的决定</w:t>
      </w:r>
    </w:p>
    <w:p w14:paraId="72A74307">
      <w:pPr>
        <w:pStyle w:val="style0"/>
        <w:snapToGrid w:val="false"/>
        <w:spacing w:lineRule="auto" w:line="276"/>
        <w:ind w:firstLine="420" w:firstLineChars="200"/>
        <w:rPr>
          <w:rFonts w:cs="Times New Roman" w:hint="eastAsia"/>
          <w:color w:val="ff0000"/>
        </w:rPr>
      </w:pPr>
      <w:r>
        <w:rPr>
          <w:rFonts w:cs="Times New Roman" w:hint="eastAsia"/>
          <w:color w:val="auto"/>
        </w:rPr>
        <w:t>（1）</w:t>
      </w:r>
      <w:r>
        <w:rPr>
          <w:rFonts w:cs="Times New Roman" w:hint="eastAsia"/>
          <w:color w:val="ff0000"/>
        </w:rPr>
        <w:t>撤销决定</w:t>
      </w:r>
    </w:p>
    <w:p w14:paraId="341A4D65">
      <w:pPr>
        <w:pStyle w:val="style0"/>
        <w:snapToGrid w:val="false"/>
        <w:spacing w:lineRule="auto" w:line="276"/>
        <w:ind w:firstLine="420" w:firstLineChars="200"/>
        <w:rPr>
          <w:rFonts w:cs="Times New Roman" w:hint="eastAsia"/>
          <w:color w:val="ff0000"/>
        </w:rPr>
      </w:pPr>
      <w:r>
        <w:rPr>
          <w:rFonts w:cs="Times New Roman" w:hint="eastAsia"/>
          <w:color w:val="ff0000"/>
        </w:rPr>
        <w:t>行政行为有下列情形之一的，行政复议机关决定撤销或者部分撤销该行政行为，并可以责令被申请人在一定期限内重新</w:t>
      </w:r>
      <w:r>
        <w:rPr>
          <w:rFonts w:cs="Times New Roman" w:hint="eastAsia"/>
          <w:color w:val="ff0000"/>
        </w:rPr>
        <w:t>作出</w:t>
      </w:r>
      <w:r>
        <w:rPr>
          <w:rFonts w:cs="Times New Roman" w:hint="eastAsia"/>
          <w:color w:val="ff0000"/>
        </w:rPr>
        <w:t>行政行为：①主要事实不清、证据不足；②违反法定程序；③适用的依据不合法；④超越职权；⑤滥用职权。</w:t>
      </w:r>
    </w:p>
    <w:p w14:paraId="7017F5C1">
      <w:pPr>
        <w:pStyle w:val="style0"/>
        <w:snapToGrid w:val="false"/>
        <w:spacing w:lineRule="auto" w:line="276"/>
        <w:ind w:firstLine="420" w:firstLineChars="200"/>
        <w:rPr>
          <w:rFonts w:cs="华康娃娃体W5" w:hint="eastAsia"/>
        </w:rPr>
      </w:pPr>
      <w:r>
        <w:rPr>
          <w:rFonts w:cs="汉仪书宋二简"/>
          <w:noProof/>
          <w:color w:val="ff0000"/>
        </w:rPr>
        <mc:AlternateContent>
          <mc:Choice Requires="wps">
            <w:drawing>
              <wp:anchor distT="0" distB="0" distL="0" distR="0" simplePos="false" relativeHeight="5" behindDoc="false" locked="false" layoutInCell="true" allowOverlap="true">
                <wp:simplePos x="0" y="0"/>
                <wp:positionH relativeFrom="column">
                  <wp:posOffset>57785</wp:posOffset>
                </wp:positionH>
                <wp:positionV relativeFrom="paragraph">
                  <wp:posOffset>75194</wp:posOffset>
                </wp:positionV>
                <wp:extent cx="142875" cy="142875"/>
                <wp:effectExtent l="0" t="0" r="9525" b="9525"/>
                <wp:wrapNone/>
                <wp:docPr id="1028"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8" type="#_x0000_t12" adj="4125," fillcolor="red" stroked="f" style="position:absolute;margin-left:4.55pt;margin-top:5.92pt;width:11.25pt;height:11.25pt;z-index:5;mso-position-horizontal-relative:text;mso-position-vertical-relative:text;mso-width-relative:page;mso-height-relative:page;mso-wrap-distance-left:0.0pt;mso-wrap-distance-right:0.0pt;visibility:visible;">
                <v:stroke on="f" joinstyle="miter" weight="1.0pt"/>
                <v:fill/>
              </v:shape>
            </w:pict>
          </mc:Fallback>
        </mc:AlternateContent>
      </w:r>
      <w:r>
        <w:rPr>
          <w:rFonts w:cs="汉仪书宋二简" w:hint="eastAsia"/>
          <w:color w:val="ff0000"/>
          <w:kern w:val="0"/>
        </w:rPr>
        <w:t>注意：</w:t>
      </w:r>
      <w:r>
        <w:rPr>
          <w:rFonts w:cs="华康娃娃体W5" w:hint="eastAsia"/>
        </w:rPr>
        <w:t>行政复议机关责令被申请人重新</w:t>
      </w:r>
      <w:r>
        <w:rPr>
          <w:rFonts w:cs="华康娃娃体W5" w:hint="eastAsia"/>
        </w:rPr>
        <w:t>作出</w:t>
      </w:r>
      <w:r>
        <w:rPr>
          <w:rFonts w:cs="华康娃娃体W5" w:hint="eastAsia"/>
        </w:rPr>
        <w:t>行政行为的，被申请人不得以同一事实和理由</w:t>
      </w:r>
      <w:r>
        <w:rPr>
          <w:rFonts w:cs="华康娃娃体W5" w:hint="eastAsia"/>
        </w:rPr>
        <w:t>作出</w:t>
      </w:r>
      <w:r>
        <w:rPr>
          <w:rFonts w:cs="华康娃娃体W5" w:hint="eastAsia"/>
        </w:rPr>
        <w:t>与被申请行政复议的行政行为相同或者基本相同的行政行为，但是行政复议机关以违反法定程序为由决定撤销或者部分撤销的除外。</w:t>
      </w:r>
    </w:p>
    <w:p w14:paraId="623BD3B0">
      <w:pPr>
        <w:pStyle w:val="style0"/>
        <w:snapToGrid w:val="false"/>
        <w:spacing w:lineRule="auto" w:line="276"/>
        <w:ind w:firstLine="420" w:firstLineChars="200"/>
        <w:rPr>
          <w:rFonts w:cs="Times New Roman" w:hint="eastAsia"/>
          <w:color w:val="ff0000"/>
        </w:rPr>
      </w:pPr>
      <w:r>
        <w:rPr>
          <w:rFonts w:cs="Times New Roman" w:hint="eastAsia"/>
          <w:color w:val="auto"/>
        </w:rPr>
        <w:t>（2）</w:t>
      </w:r>
      <w:r>
        <w:rPr>
          <w:rFonts w:cs="Times New Roman" w:hint="eastAsia"/>
          <w:color w:val="ff0000"/>
        </w:rPr>
        <w:t>变更决定</w:t>
      </w:r>
    </w:p>
    <w:p w14:paraId="02C93CD6">
      <w:pPr>
        <w:pStyle w:val="style0"/>
        <w:snapToGrid w:val="false"/>
        <w:spacing w:lineRule="auto" w:line="276"/>
        <w:ind w:firstLine="420" w:firstLineChars="200"/>
        <w:rPr>
          <w:rFonts w:cs="Times New Roman" w:hint="eastAsia"/>
          <w:color w:val="ff0000"/>
        </w:rPr>
      </w:pPr>
      <w:r>
        <w:rPr>
          <w:rFonts w:cs="Times New Roman" w:hint="eastAsia"/>
          <w:color w:val="ff0000"/>
        </w:rPr>
        <w:t>行政行为有下列情形之一的，行政复议机关决定变更该行政行为：①事实清楚，证据确凿，适用依据正确，程序合法，但是内容不适当；②事实清楚，证据确凿，程序合法，但是未正确适用依据；③事实不清、证据不足，经行政复议机关查清事实和证据。</w:t>
      </w:r>
    </w:p>
    <w:p w14:paraId="7D2F9A81">
      <w:pPr>
        <w:pStyle w:val="style0"/>
        <w:snapToGrid w:val="false"/>
        <w:spacing w:lineRule="auto" w:line="276"/>
        <w:ind w:firstLine="420" w:firstLineChars="200"/>
        <w:rPr>
          <w:rFonts w:cs="华康娃娃体W5" w:hint="eastAsia"/>
        </w:rPr>
      </w:pPr>
      <w:r>
        <w:rPr>
          <w:rFonts w:cs="汉仪书宋二简"/>
          <w:noProof/>
          <w:color w:val="ff0000"/>
        </w:rPr>
        <mc:AlternateContent>
          <mc:Choice Requires="wps">
            <w:drawing>
              <wp:anchor distT="0" distB="0" distL="0" distR="0" simplePos="false" relativeHeight="6" behindDoc="false" locked="false" layoutInCell="true" allowOverlap="true">
                <wp:simplePos x="0" y="0"/>
                <wp:positionH relativeFrom="column">
                  <wp:posOffset>74930</wp:posOffset>
                </wp:positionH>
                <wp:positionV relativeFrom="paragraph">
                  <wp:posOffset>82921</wp:posOffset>
                </wp:positionV>
                <wp:extent cx="142875" cy="142875"/>
                <wp:effectExtent l="0" t="0" r="9525" b="9525"/>
                <wp:wrapNone/>
                <wp:docPr id="1029"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29" type="#_x0000_t12" adj="4125," fillcolor="red" stroked="f" style="position:absolute;margin-left:5.9pt;margin-top:6.53pt;width:11.25pt;height:11.25pt;z-index:6;mso-position-horizontal-relative:text;mso-position-vertical-relative:text;mso-width-relative:page;mso-height-relative:page;mso-wrap-distance-left:0.0pt;mso-wrap-distance-right:0.0pt;visibility:visible;">
                <v:stroke on="f" joinstyle="miter" weight="1.0pt"/>
                <v:fill/>
              </v:shape>
            </w:pict>
          </mc:Fallback>
        </mc:AlternateContent>
      </w:r>
      <w:r>
        <w:rPr>
          <w:rFonts w:cs="汉仪书宋二简" w:hint="eastAsia"/>
          <w:color w:val="ff0000"/>
          <w:kern w:val="0"/>
        </w:rPr>
        <w:t>注意：</w:t>
      </w:r>
      <w:r>
        <w:rPr>
          <w:rFonts w:cs="华康娃娃体W5" w:hint="eastAsia"/>
        </w:rPr>
        <w:t>行政复议机关不得</w:t>
      </w:r>
      <w:r>
        <w:rPr>
          <w:rFonts w:cs="华康娃娃体W5" w:hint="eastAsia"/>
        </w:rPr>
        <w:t>作出</w:t>
      </w:r>
      <w:r>
        <w:rPr>
          <w:rFonts w:cs="华康娃娃体W5" w:hint="eastAsia"/>
        </w:rPr>
        <w:t>对申请人更为不利的变更决定，但是第三人提出相反请求的除外。</w:t>
      </w:r>
    </w:p>
    <w:p w14:paraId="26736CB3">
      <w:pPr>
        <w:pStyle w:val="style0"/>
        <w:snapToGrid w:val="false"/>
        <w:spacing w:lineRule="auto" w:line="276"/>
        <w:ind w:firstLine="420" w:firstLineChars="200"/>
        <w:rPr>
          <w:rFonts w:cs="Times New Roman" w:hint="eastAsia"/>
          <w:color w:val="auto"/>
        </w:rPr>
      </w:pPr>
      <w:r>
        <w:rPr>
          <w:rFonts w:cs="Times New Roman" w:hint="eastAsia"/>
          <w:color w:val="auto"/>
        </w:rPr>
        <w:t>（3）履行决定</w:t>
      </w:r>
    </w:p>
    <w:p w14:paraId="351DE785">
      <w:pPr>
        <w:pStyle w:val="style0"/>
        <w:snapToGrid w:val="false"/>
        <w:spacing w:lineRule="auto" w:line="276"/>
        <w:ind w:firstLine="420" w:firstLineChars="200"/>
        <w:rPr>
          <w:rFonts w:cs="Times New Roman" w:hint="eastAsia"/>
          <w:color w:val="auto"/>
        </w:rPr>
      </w:pPr>
      <w:r>
        <w:rPr>
          <w:rFonts w:cs="Times New Roman" w:hint="eastAsia"/>
          <w:color w:val="auto"/>
        </w:rPr>
        <w:t>被申请人不履行法定职责的，行政复议机关决定被申请人在一定期限内履行。</w:t>
      </w:r>
    </w:p>
    <w:p w14:paraId="5747A0A6">
      <w:pPr>
        <w:pStyle w:val="style0"/>
        <w:snapToGrid w:val="false"/>
        <w:spacing w:lineRule="auto" w:line="276"/>
        <w:ind w:firstLine="420" w:firstLineChars="200"/>
        <w:rPr>
          <w:rFonts w:cs="Times New Roman" w:hint="eastAsia"/>
          <w:color w:val="auto"/>
        </w:rPr>
      </w:pPr>
      <w:r>
        <w:rPr>
          <w:rFonts w:cs="Times New Roman" w:hint="eastAsia"/>
          <w:color w:val="auto"/>
        </w:rPr>
        <w:t>（4）确认无效</w:t>
      </w:r>
    </w:p>
    <w:p w14:paraId="71EAD725">
      <w:pPr>
        <w:pStyle w:val="style0"/>
        <w:snapToGrid w:val="false"/>
        <w:spacing w:lineRule="auto" w:line="276"/>
        <w:ind w:firstLine="420" w:firstLineChars="200"/>
        <w:rPr>
          <w:rFonts w:cs="Times New Roman" w:hint="eastAsia"/>
          <w:color w:val="auto"/>
        </w:rPr>
      </w:pPr>
      <w:r>
        <w:rPr>
          <w:rFonts w:cs="Times New Roman" w:hint="eastAsia"/>
          <w:color w:val="auto"/>
        </w:rPr>
        <w:t>行政行为有实施主体不具有行政主体资格或者没有依据等重大且明显违法情形，申请人申请确认行政行为无效的，行政复议机关确认该行政行为无效。</w:t>
      </w:r>
    </w:p>
    <w:p w14:paraId="594C9449">
      <w:pPr>
        <w:pStyle w:val="style0"/>
        <w:snapToGrid w:val="false"/>
        <w:spacing w:lineRule="auto" w:line="276"/>
        <w:ind w:firstLine="420" w:firstLineChars="200"/>
        <w:rPr>
          <w:rFonts w:cs="Times New Roman" w:hint="eastAsia"/>
          <w:color w:val="auto"/>
        </w:rPr>
      </w:pPr>
      <w:r>
        <w:rPr>
          <w:rFonts w:cs="Times New Roman" w:hint="eastAsia"/>
          <w:color w:val="auto"/>
        </w:rPr>
        <w:t>（5）确认违法</w:t>
      </w:r>
    </w:p>
    <w:p w14:paraId="0EC89DF5">
      <w:pPr>
        <w:pStyle w:val="style0"/>
        <w:snapToGrid w:val="false"/>
        <w:spacing w:lineRule="auto" w:line="276"/>
        <w:ind w:firstLine="420" w:firstLineChars="200"/>
        <w:rPr>
          <w:rFonts w:cs="Times New Roman" w:hint="eastAsia"/>
          <w:color w:val="auto"/>
        </w:rPr>
      </w:pPr>
      <w:r>
        <w:rPr>
          <w:rFonts w:cs="Times New Roman" w:hint="eastAsia"/>
          <w:color w:val="auto"/>
        </w:rPr>
        <w:t>①依法应予撤销，但是撤销会给国家利益、社会公共利益造成重大损害；</w:t>
      </w:r>
    </w:p>
    <w:p w14:paraId="416076ED">
      <w:pPr>
        <w:pStyle w:val="style0"/>
        <w:snapToGrid w:val="false"/>
        <w:spacing w:lineRule="auto" w:line="276"/>
        <w:ind w:firstLine="420" w:firstLineChars="200"/>
        <w:rPr>
          <w:rFonts w:cs="Times New Roman" w:hint="eastAsia"/>
          <w:color w:val="auto"/>
        </w:rPr>
      </w:pPr>
      <w:r>
        <w:rPr>
          <w:rFonts w:cs="Times New Roman" w:hint="eastAsia"/>
          <w:color w:val="auto"/>
        </w:rPr>
        <w:t>②程序轻微违法，但是对申请人权利不产生实际影响；</w:t>
      </w:r>
    </w:p>
    <w:p w14:paraId="2CBF4168">
      <w:pPr>
        <w:pStyle w:val="style0"/>
        <w:snapToGrid w:val="false"/>
        <w:spacing w:lineRule="auto" w:line="276"/>
        <w:ind w:firstLine="420" w:firstLineChars="200"/>
        <w:rPr>
          <w:rFonts w:cs="Times New Roman" w:hint="eastAsia"/>
          <w:color w:val="auto"/>
        </w:rPr>
      </w:pPr>
      <w:r>
        <w:rPr>
          <w:rFonts w:cs="Times New Roman" w:hint="eastAsia"/>
          <w:color w:val="auto"/>
        </w:rPr>
        <w:t>③行政行为违法，但是不具有可撤销内容；</w:t>
      </w:r>
    </w:p>
    <w:p w14:paraId="403D0E6B">
      <w:pPr>
        <w:pStyle w:val="style0"/>
        <w:snapToGrid w:val="false"/>
        <w:spacing w:lineRule="auto" w:line="276"/>
        <w:ind w:firstLine="420" w:firstLineChars="200"/>
        <w:rPr>
          <w:rFonts w:cs="Times New Roman" w:hint="eastAsia"/>
          <w:color w:val="auto"/>
        </w:rPr>
      </w:pPr>
      <w:r>
        <w:rPr>
          <w:rFonts w:cs="Times New Roman" w:hint="eastAsia"/>
          <w:color w:val="auto"/>
        </w:rPr>
        <w:t>④被申请人改变</w:t>
      </w:r>
      <w:r>
        <w:rPr>
          <w:rFonts w:cs="Times New Roman" w:hint="eastAsia"/>
          <w:color w:val="auto"/>
        </w:rPr>
        <w:t>原违法</w:t>
      </w:r>
      <w:r>
        <w:rPr>
          <w:rFonts w:cs="Times New Roman" w:hint="eastAsia"/>
          <w:color w:val="auto"/>
        </w:rPr>
        <w:t>行政行为，申请人仍要求撤销或者确认该行政行为违法；</w:t>
      </w:r>
    </w:p>
    <w:p w14:paraId="736F3792">
      <w:pPr>
        <w:pStyle w:val="style0"/>
        <w:snapToGrid w:val="false"/>
        <w:spacing w:lineRule="auto" w:line="276"/>
        <w:ind w:firstLine="420" w:firstLineChars="200"/>
        <w:rPr>
          <w:rFonts w:cs="Times New Roman" w:hint="eastAsia"/>
          <w:color w:val="auto"/>
        </w:rPr>
      </w:pPr>
      <w:r>
        <w:rPr>
          <w:rFonts w:cs="Times New Roman" w:hint="eastAsia"/>
          <w:color w:val="auto"/>
        </w:rPr>
        <w:t>⑤被申请人不履行或者拖延履行法定职责，责令履行没有意义。</w:t>
      </w:r>
    </w:p>
    <w:p w14:paraId="0CB3D1DE">
      <w:pPr>
        <w:pStyle w:val="style0"/>
        <w:snapToGrid w:val="false"/>
        <w:spacing w:lineRule="auto" w:line="276"/>
        <w:rPr>
          <w:rFonts w:hint="eastAsia"/>
          <w:b/>
          <w:bCs/>
        </w:rPr>
      </w:pPr>
      <w:r>
        <w:rPr>
          <w:rFonts w:hint="eastAsia"/>
          <w:b/>
          <w:bCs/>
        </w:rPr>
        <w:t>二、行政复议中附带审查国家赔偿的处理</w:t>
      </w:r>
    </w:p>
    <w:p w14:paraId="257B3391">
      <w:pPr>
        <w:pStyle w:val="style0"/>
        <w:snapToGrid w:val="false"/>
        <w:spacing w:lineRule="auto" w:line="276"/>
        <w:ind w:firstLine="422" w:firstLineChars="200"/>
        <w:rPr>
          <w:rFonts w:cs="Times New Roman" w:hint="eastAsia"/>
          <w:b/>
          <w:bCs/>
        </w:rPr>
      </w:pPr>
      <w:r>
        <w:rPr>
          <w:rFonts w:cs="Times New Roman" w:hint="eastAsia"/>
          <w:b/>
          <w:bCs/>
        </w:rPr>
        <w:t>（一）依申请</w:t>
      </w:r>
      <w:r>
        <w:rPr>
          <w:rFonts w:cs="Times New Roman" w:hint="eastAsia"/>
          <w:b/>
          <w:bCs/>
        </w:rPr>
        <w:t>作出</w:t>
      </w:r>
      <w:r>
        <w:rPr>
          <w:rFonts w:cs="Times New Roman" w:hint="eastAsia"/>
          <w:b/>
          <w:bCs/>
        </w:rPr>
        <w:t>的赔偿决定</w:t>
      </w:r>
    </w:p>
    <w:p w14:paraId="02760318">
      <w:pPr>
        <w:pStyle w:val="style0"/>
        <w:snapToGrid w:val="false"/>
        <w:spacing w:lineRule="auto" w:line="276"/>
        <w:ind w:firstLine="420" w:firstLineChars="200"/>
        <w:rPr>
          <w:rFonts w:cs="Times New Roman" w:hint="eastAsia"/>
          <w:color w:val="auto"/>
        </w:rPr>
      </w:pPr>
      <w:r>
        <w:rPr>
          <w:rFonts w:cs="Times New Roman" w:hint="eastAsia"/>
          <w:color w:val="auto"/>
        </w:rPr>
        <w:t>申请人在申请行政复议时一并提出行政赔偿请求，行政复议机关对依照《国家赔偿法》的有关规定应当不予赔偿的，在</w:t>
      </w:r>
      <w:r>
        <w:rPr>
          <w:rFonts w:cs="Times New Roman" w:hint="eastAsia"/>
          <w:color w:val="auto"/>
        </w:rPr>
        <w:t>作出</w:t>
      </w:r>
      <w:r>
        <w:rPr>
          <w:rFonts w:cs="Times New Roman" w:hint="eastAsia"/>
          <w:color w:val="auto"/>
        </w:rPr>
        <w:t>行政复议决定时，应当同时决定驳回行政赔偿请求。</w:t>
      </w:r>
    </w:p>
    <w:p w14:paraId="5298DA12">
      <w:pPr>
        <w:pStyle w:val="style0"/>
        <w:snapToGrid w:val="false"/>
        <w:spacing w:lineRule="auto" w:line="276"/>
        <w:ind w:firstLine="422" w:firstLineChars="200"/>
        <w:rPr>
          <w:rFonts w:cs="Times New Roman" w:hint="eastAsia"/>
          <w:b/>
          <w:bCs/>
        </w:rPr>
      </w:pPr>
      <w:r>
        <w:rPr>
          <w:rFonts w:cs="Times New Roman" w:hint="eastAsia"/>
          <w:b/>
          <w:bCs/>
        </w:rPr>
        <w:t>（二）依职权</w:t>
      </w:r>
      <w:r>
        <w:rPr>
          <w:rFonts w:cs="Times New Roman" w:hint="eastAsia"/>
          <w:b/>
          <w:bCs/>
        </w:rPr>
        <w:t>作出</w:t>
      </w:r>
      <w:r>
        <w:rPr>
          <w:rFonts w:cs="Times New Roman" w:hint="eastAsia"/>
          <w:b/>
          <w:bCs/>
        </w:rPr>
        <w:t>的赔偿决定</w:t>
      </w:r>
    </w:p>
    <w:p w14:paraId="4CF2BB7E">
      <w:pPr>
        <w:pStyle w:val="style0"/>
        <w:snapToGrid w:val="false"/>
        <w:spacing w:lineRule="auto" w:line="276"/>
        <w:ind w:firstLine="420" w:firstLineChars="200"/>
        <w:rPr>
          <w:rFonts w:cs="Times New Roman" w:hint="eastAsia"/>
          <w:color w:val="auto"/>
        </w:rPr>
      </w:pPr>
      <w:r>
        <w:rPr>
          <w:rFonts w:cs="Times New Roman" w:hint="eastAsia"/>
          <w:color w:val="auto"/>
        </w:rPr>
        <w:t>申请人在申请行政复议时没有提出行政赔偿请求的，但是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14:paraId="74308748">
      <w:pPr>
        <w:pStyle w:val="style0"/>
        <w:snapToGrid w:val="false"/>
        <w:spacing w:lineRule="auto" w:line="276"/>
        <w:rPr>
          <w:rFonts w:hint="eastAsia"/>
          <w:b/>
          <w:bCs/>
        </w:rPr>
      </w:pPr>
      <w:r>
        <w:rPr>
          <w:rFonts w:hint="eastAsia"/>
          <w:b/>
          <w:bCs/>
        </w:rPr>
        <w:t>三、行政复议指导和监督</w:t>
      </w:r>
    </w:p>
    <w:p w14:paraId="10951C5B">
      <w:pPr>
        <w:pStyle w:val="style0"/>
        <w:snapToGrid w:val="false"/>
        <w:spacing w:lineRule="auto" w:line="276"/>
        <w:ind w:firstLine="420" w:firstLineChars="200"/>
        <w:rPr>
          <w:rFonts w:cs="Times New Roman" w:hint="eastAsia"/>
          <w:color w:val="ff0000"/>
        </w:rPr>
      </w:pPr>
      <w:r>
        <w:rPr>
          <w:rFonts w:cs="Times New Roman" w:hint="eastAsia"/>
          <w:color w:val="ff0000"/>
        </w:rPr>
        <w:t>县级以上地方各级人民政府办理以本级人民政府工作部门为被申请人的行政复议案件，应当将发生法律效力的行政复议决定书、意见书同时</w:t>
      </w:r>
      <w:r>
        <w:rPr>
          <w:rFonts w:cs="Times New Roman" w:hint="eastAsia"/>
          <w:color w:val="ff0000"/>
        </w:rPr>
        <w:t>抄告被申请人</w:t>
      </w:r>
      <w:r>
        <w:rPr>
          <w:rFonts w:cs="Times New Roman" w:hint="eastAsia"/>
          <w:color w:val="ff0000"/>
        </w:rPr>
        <w:t>的上一级主管部门。</w:t>
      </w:r>
    </w:p>
    <w:p w14:paraId="5D9F97A3">
      <w:pPr>
        <w:pStyle w:val="style0"/>
        <w:snapToGrid w:val="false"/>
        <w:spacing w:lineRule="auto" w:line="276"/>
        <w:rPr>
          <w:rFonts w:hint="eastAsia"/>
          <w:b/>
          <w:bCs/>
        </w:rPr>
      </w:pPr>
      <w:r>
        <w:rPr>
          <w:rFonts w:hint="eastAsia"/>
          <w:b/>
          <w:bCs/>
        </w:rPr>
        <w:t>四、行政复议决定的执行</w:t>
      </w:r>
    </w:p>
    <w:p w14:paraId="4E891DEF">
      <w:pPr>
        <w:pStyle w:val="style0"/>
        <w:snapToGrid w:val="false"/>
        <w:spacing w:lineRule="auto" w:line="276"/>
        <w:ind w:firstLine="422" w:firstLineChars="200"/>
        <w:rPr>
          <w:rFonts w:cs="Times New Roman" w:hint="eastAsia"/>
          <w:b/>
          <w:bCs/>
        </w:rPr>
      </w:pPr>
      <w:r>
        <w:rPr>
          <w:rFonts w:cs="Times New Roman" w:hint="eastAsia"/>
          <w:b/>
          <w:bCs/>
        </w:rPr>
        <w:t>（一）被申请人不履行复议决定的执行</w:t>
      </w:r>
    </w:p>
    <w:p w14:paraId="7D4E2BDE">
      <w:pPr>
        <w:pStyle w:val="style0"/>
        <w:snapToGrid w:val="false"/>
        <w:spacing w:lineRule="auto" w:line="276"/>
        <w:ind w:firstLine="420" w:firstLineChars="200"/>
        <w:rPr>
          <w:rFonts w:cs="Times New Roman" w:hint="eastAsia"/>
          <w:color w:val="ff0000"/>
        </w:rPr>
      </w:pPr>
      <w:r>
        <w:rPr>
          <w:rFonts w:cs="Times New Roman" w:hint="eastAsia"/>
          <w:color w:val="ff0000"/>
        </w:rPr>
        <w:t>被申请人不履行或者无正当理由拖延履行行政复议决定书、调解书、意见书的：</w:t>
      </w:r>
    </w:p>
    <w:p w14:paraId="3AF5DFE1">
      <w:pPr>
        <w:pStyle w:val="style0"/>
        <w:snapToGrid w:val="false"/>
        <w:spacing w:lineRule="auto" w:line="276"/>
        <w:ind w:firstLine="420" w:firstLineChars="200"/>
        <w:rPr>
          <w:rFonts w:cs="Times New Roman" w:hint="eastAsia"/>
          <w:color w:val="ff0000"/>
        </w:rPr>
      </w:pPr>
      <w:r>
        <w:rPr>
          <w:rFonts w:cs="Times New Roman" w:hint="eastAsia"/>
          <w:color w:val="auto"/>
        </w:rPr>
        <w:t>（1）</w:t>
      </w:r>
      <w:r>
        <w:rPr>
          <w:rFonts w:cs="Times New Roman" w:hint="eastAsia"/>
          <w:color w:val="ff0000"/>
        </w:rPr>
        <w:t>行政复议机关或者有关上级行政机关应当责令其限期履行；</w:t>
      </w:r>
    </w:p>
    <w:p w14:paraId="059A9AE0">
      <w:pPr>
        <w:pStyle w:val="style0"/>
        <w:snapToGrid w:val="false"/>
        <w:spacing w:lineRule="auto" w:line="276"/>
        <w:ind w:firstLine="420" w:firstLineChars="200"/>
        <w:rPr>
          <w:rFonts w:cs="Times New Roman" w:hint="eastAsia"/>
          <w:color w:val="ff0000"/>
        </w:rPr>
      </w:pPr>
      <w:r>
        <w:rPr>
          <w:rFonts w:cs="Times New Roman" w:hint="eastAsia"/>
          <w:color w:val="auto"/>
        </w:rPr>
        <w:t>（2）</w:t>
      </w:r>
      <w:r>
        <w:rPr>
          <w:rFonts w:cs="Times New Roman" w:hint="eastAsia"/>
          <w:color w:val="ff0000"/>
        </w:rPr>
        <w:t>并可以约谈被申请人的有关负责人；</w:t>
      </w:r>
    </w:p>
    <w:p w14:paraId="17343894">
      <w:pPr>
        <w:pStyle w:val="style0"/>
        <w:snapToGrid w:val="false"/>
        <w:spacing w:lineRule="auto" w:line="276"/>
        <w:ind w:firstLine="420" w:firstLineChars="200"/>
        <w:rPr>
          <w:rFonts w:cs="Times New Roman" w:hint="eastAsia"/>
          <w:color w:val="ff0000"/>
        </w:rPr>
      </w:pPr>
      <w:r>
        <w:rPr>
          <w:rFonts w:cs="Times New Roman" w:hint="eastAsia"/>
          <w:color w:val="auto"/>
        </w:rPr>
        <w:t>（3）</w:t>
      </w:r>
      <w:r>
        <w:rPr>
          <w:rFonts w:cs="Times New Roman" w:hint="eastAsia"/>
          <w:color w:val="ff0000"/>
        </w:rPr>
        <w:t>予以通报批评。</w:t>
      </w:r>
    </w:p>
    <w:p w14:paraId="314C1386">
      <w:pPr>
        <w:pStyle w:val="style0"/>
        <w:snapToGrid w:val="false"/>
        <w:spacing w:lineRule="auto" w:line="276"/>
        <w:ind w:firstLine="420" w:firstLineChars="200"/>
        <w:rPr>
          <w:rFonts w:cs="华康娃娃体W5" w:hint="eastAsia"/>
        </w:rPr>
      </w:pPr>
      <w:r>
        <w:rPr>
          <w:rFonts w:cs="仿宋" w:hint="eastAsia"/>
          <w:color w:val="ff0000"/>
        </w:rPr>
        <w:t>注意：</w:t>
      </w:r>
      <w:r>
        <w:rPr>
          <w:rFonts w:cs="华康娃娃体W5" w:hint="eastAsia"/>
        </w:rPr>
        <w:t>被申请人不履行或者无正当理由拖延履行行政复议决定书、调解书、意见书的，申请人不得申请法院强制执行。</w:t>
      </w:r>
    </w:p>
    <w:p w14:paraId="4E95D285">
      <w:pPr>
        <w:pStyle w:val="style0"/>
        <w:snapToGrid w:val="false"/>
        <w:spacing w:lineRule="auto" w:line="276"/>
        <w:ind w:firstLine="422" w:firstLineChars="200"/>
        <w:rPr>
          <w:rFonts w:cs="Times New Roman" w:hint="eastAsia"/>
          <w:b/>
          <w:bCs/>
        </w:rPr>
      </w:pPr>
      <w:r>
        <w:rPr>
          <w:rFonts w:cs="Times New Roman" w:hint="eastAsia"/>
          <w:b/>
          <w:bCs/>
        </w:rPr>
        <w:t>（二）申请人不履行复议决定的执行</w:t>
      </w:r>
    </w:p>
    <w:p w14:paraId="5456D7AC">
      <w:pPr>
        <w:pStyle w:val="style0"/>
        <w:snapToGrid w:val="false"/>
        <w:spacing w:lineRule="auto" w:line="276"/>
        <w:ind w:firstLine="420" w:firstLineChars="200"/>
        <w:rPr>
          <w:rFonts w:cs="Times New Roman" w:hint="eastAsia"/>
          <w:color w:val="auto"/>
        </w:rPr>
      </w:pPr>
      <w:r>
        <w:rPr>
          <w:rFonts w:cs="Times New Roman" w:hint="eastAsia"/>
          <w:color w:val="auto"/>
        </w:rPr>
        <w:t>由</w:t>
      </w:r>
      <w:r>
        <w:rPr>
          <w:rFonts w:cs="Times New Roman" w:hint="eastAsia"/>
          <w:color w:val="auto"/>
        </w:rPr>
        <w:t>作出</w:t>
      </w:r>
      <w:r>
        <w:rPr>
          <w:rFonts w:cs="Times New Roman" w:hint="eastAsia"/>
          <w:color w:val="auto"/>
        </w:rPr>
        <w:t>行政行为的行政机关依法强制执行，或者申请人民法院强制执行；</w:t>
      </w:r>
    </w:p>
    <w:p w14:paraId="44CBEC35">
      <w:pPr>
        <w:pStyle w:val="style0"/>
        <w:snapToGrid w:val="false"/>
        <w:spacing w:lineRule="auto" w:line="276"/>
        <w:ind w:firstLine="422" w:firstLineChars="200"/>
        <w:rPr>
          <w:rFonts w:cs="Times New Roman" w:hint="eastAsia"/>
          <w:b/>
          <w:bCs/>
        </w:rPr>
      </w:pPr>
      <w:r>
        <w:rPr>
          <w:rFonts w:cs="Times New Roman" w:hint="eastAsia"/>
          <w:b/>
          <w:bCs/>
        </w:rPr>
        <w:t>（三）属于法院非诉执行的措施</w:t>
      </w:r>
    </w:p>
    <w:p w14:paraId="5E317722">
      <w:pPr>
        <w:pStyle w:val="style0"/>
        <w:snapToGrid w:val="false"/>
        <w:spacing w:lineRule="auto" w:line="276"/>
        <w:ind w:firstLine="420" w:firstLineChars="200"/>
        <w:rPr>
          <w:rFonts w:cs="Times New Roman" w:hint="eastAsia"/>
          <w:color w:val="auto"/>
        </w:rPr>
      </w:pPr>
      <w:r>
        <w:rPr>
          <w:rFonts w:cs="Times New Roman" w:hint="eastAsia"/>
          <w:color w:val="auto"/>
        </w:rPr>
        <w:t>申请人、第三人逾期不起诉又不履行行政复议决定的，或不履行属于终局裁决的复议决定时，如果</w:t>
      </w:r>
      <w:r>
        <w:rPr>
          <w:rFonts w:cs="Times New Roman" w:hint="eastAsia"/>
          <w:color w:val="auto"/>
        </w:rPr>
        <w:t>作出</w:t>
      </w:r>
      <w:r>
        <w:rPr>
          <w:rFonts w:cs="Times New Roman" w:hint="eastAsia"/>
          <w:color w:val="auto"/>
        </w:rPr>
        <w:t>原行政行为的机关与复议机关不具备直接强制执行权的，在复议维持的情况下由</w:t>
      </w:r>
      <w:r>
        <w:rPr>
          <w:rFonts w:cs="Times New Roman" w:hint="eastAsia"/>
          <w:color w:val="auto"/>
        </w:rPr>
        <w:t>作出原行为</w:t>
      </w:r>
      <w:r>
        <w:rPr>
          <w:rFonts w:cs="Times New Roman" w:hint="eastAsia"/>
          <w:color w:val="auto"/>
        </w:rPr>
        <w:t>的机关申请法院执行，在复议改变的情况下由复议机关申请法院执行。这种执行措施，则属于法院的非诉执行。</w:t>
      </w:r>
    </w:p>
    <w:bookmarkStart w:id="20" w:name="_Toc190544256"/>
    <w:bookmarkStart w:id="21" w:name="_Toc192256154"/>
    <w:p w14:paraId="0F39C795">
      <w:pPr>
        <w:pStyle w:val="style0"/>
        <w:snapToGrid w:val="false"/>
        <w:spacing w:lineRule="auto" w:line="276"/>
        <w:ind w:firstLine="422" w:firstLineChars="200"/>
        <w:jc w:val="center"/>
        <w:rPr>
          <w:rFonts w:hint="eastAsia"/>
          <w:b/>
          <w:bCs/>
          <w:color w:val="auto"/>
        </w:rPr>
      </w:pPr>
      <w:r>
        <w:rPr>
          <w:rFonts w:hint="eastAsia"/>
          <w:b/>
          <w:bCs/>
          <w:color w:val="auto"/>
        </w:rPr>
        <w:t>考点30  行政赔偿</w:t>
      </w:r>
      <w:bookmarkEnd w:id="20"/>
      <w:bookmarkEnd w:id="21"/>
      <w:r>
        <w:rPr>
          <w:rFonts w:hint="default"/>
          <w:b/>
          <w:bCs/>
          <w:color w:val="auto"/>
          <w:lang w:val="en-US"/>
        </w:rPr>
        <w:t>（22:03-22:18）</w:t>
      </w:r>
    </w:p>
    <w:bookmarkStart w:id="22" w:name="_Hlk37859632"/>
    <w:p w14:paraId="56C58627">
      <w:pPr>
        <w:pStyle w:val="style0"/>
        <w:snapToGrid w:val="false"/>
        <w:spacing w:lineRule="auto" w:line="276"/>
        <w:rPr>
          <w:rFonts w:hint="eastAsia"/>
          <w:b/>
          <w:bCs/>
        </w:rPr>
      </w:pPr>
      <w:r>
        <w:rPr>
          <w:rFonts w:hint="eastAsia"/>
          <w:b/>
          <w:bCs/>
        </w:rPr>
        <w:t>一</w:t>
      </w:r>
      <w:r>
        <w:rPr>
          <w:rFonts w:hint="eastAsia"/>
          <w:b/>
          <w:bCs/>
        </w:rPr>
        <w:t>、行政赔偿的范围</w:t>
      </w:r>
    </w:p>
    <w:p w14:paraId="72B86553">
      <w:pPr>
        <w:pStyle w:val="style0"/>
        <w:snapToGrid w:val="false"/>
        <w:spacing w:lineRule="auto" w:line="276"/>
        <w:ind w:firstLine="420" w:firstLineChars="200"/>
        <w:rPr>
          <w:rFonts w:cs="Times New Roman" w:hint="eastAsia"/>
          <w:color w:val="auto"/>
        </w:rPr>
      </w:pPr>
      <w:r>
        <w:rPr>
          <w:rFonts w:cs="Times New Roman" w:hint="eastAsia"/>
          <w:color w:val="auto"/>
        </w:rPr>
        <w:t>行政机关及其工作人员实施的违法行政活动只有在造成人身权、财产权损害的情况下，才能获得国家赔偿。</w:t>
      </w:r>
    </w:p>
    <w:p w14:paraId="58D7287B">
      <w:pPr>
        <w:pStyle w:val="style0"/>
        <w:snapToGrid w:val="false"/>
        <w:spacing w:lineRule="auto" w:line="276"/>
        <w:ind w:firstLine="420" w:firstLineChars="200"/>
        <w:rPr>
          <w:rFonts w:cs="Times New Roman" w:hint="eastAsia"/>
          <w:color w:val="auto"/>
        </w:rPr>
      </w:pPr>
      <w:r>
        <w:rPr>
          <w:rFonts w:cs="Times New Roman" w:hint="eastAsia"/>
          <w:color w:val="auto"/>
        </w:rPr>
        <w:t>属于下列情形之一的，国家不承担赔偿责任：（1）国防、外交等国家行为；（2）行政机关工作人员个人行为造成的侵权损害；（3）行政机关制定发布行政法规、规章或者具有普遍约束力的决定、命令；（4）当事人自己行为导致的损害；（5）第三人行为导致的损害、不可抗力导致的损害；（6）违法的行政活动侵犯当事人违法权益的。</w:t>
      </w:r>
    </w:p>
    <w:p w14:paraId="0C4B45DB">
      <w:pPr>
        <w:pStyle w:val="style0"/>
        <w:snapToGrid w:val="false"/>
        <w:spacing w:lineRule="auto" w:line="276"/>
        <w:rPr>
          <w:rFonts w:hint="eastAsia"/>
          <w:color w:val="ff0000"/>
        </w:rPr>
      </w:pPr>
      <w:r>
        <w:rPr>
          <w:rFonts w:hint="eastAsia"/>
          <w:b/>
          <w:bCs/>
        </w:rPr>
        <w:t>二</w:t>
      </w:r>
      <w:r>
        <w:rPr>
          <w:rFonts w:hint="eastAsia"/>
          <w:b/>
          <w:bCs/>
        </w:rPr>
        <w:t>、行政赔偿的当事人</w:t>
      </w:r>
    </w:p>
    <w:p w14:paraId="3EC3AA0A">
      <w:pPr>
        <w:pStyle w:val="style0"/>
        <w:snapToGrid w:val="false"/>
        <w:spacing w:lineRule="auto" w:line="276"/>
        <w:ind w:firstLine="422" w:firstLineChars="200"/>
        <w:rPr>
          <w:rFonts w:cs="Times New Roman" w:hint="eastAsia"/>
          <w:b/>
          <w:bCs/>
        </w:rPr>
      </w:pPr>
      <w:r>
        <w:rPr>
          <w:rFonts w:cs="Times New Roman" w:hint="eastAsia"/>
          <w:b/>
          <w:bCs/>
        </w:rPr>
        <w:t>（一）行政赔偿请求人</w:t>
      </w:r>
    </w:p>
    <w:p w14:paraId="735F2669">
      <w:pPr>
        <w:pStyle w:val="style0"/>
        <w:snapToGrid w:val="false"/>
        <w:spacing w:lineRule="auto" w:line="276"/>
        <w:ind w:firstLine="420" w:firstLineChars="200"/>
        <w:rPr>
          <w:rFonts w:hint="eastAsia"/>
          <w:color w:val="auto"/>
          <w:kern w:val="0"/>
        </w:rPr>
      </w:pPr>
      <w:r>
        <w:rPr>
          <w:rFonts w:hint="eastAsia"/>
          <w:color w:val="auto"/>
          <w:kern w:val="0"/>
        </w:rPr>
        <w:t>1．本来的请求人资格</w:t>
      </w:r>
    </w:p>
    <w:p w14:paraId="24516FC0">
      <w:pPr>
        <w:pStyle w:val="style0"/>
        <w:snapToGrid w:val="false"/>
        <w:spacing w:lineRule="auto" w:line="276"/>
        <w:ind w:firstLine="420" w:firstLineChars="200"/>
        <w:rPr>
          <w:rFonts w:cs="Times New Roman" w:hint="eastAsia"/>
          <w:color w:val="auto"/>
        </w:rPr>
      </w:pPr>
      <w:r>
        <w:rPr>
          <w:rFonts w:cs="Times New Roman" w:hint="eastAsia"/>
          <w:color w:val="auto"/>
        </w:rPr>
        <w:t>谁受到了国家侵权行为的侵害，谁就有资格要求国家赔偿。</w:t>
      </w:r>
    </w:p>
    <w:p w14:paraId="6338D7EA">
      <w:pPr>
        <w:pStyle w:val="style0"/>
        <w:snapToGrid w:val="false"/>
        <w:spacing w:lineRule="auto" w:line="276"/>
        <w:ind w:firstLine="420" w:firstLineChars="200"/>
        <w:rPr>
          <w:rFonts w:hint="eastAsia"/>
          <w:color w:val="auto"/>
          <w:kern w:val="0"/>
        </w:rPr>
      </w:pPr>
      <w:r>
        <w:rPr>
          <w:rFonts w:hint="eastAsia"/>
          <w:color w:val="auto"/>
          <w:kern w:val="0"/>
        </w:rPr>
        <w:t>2．</w:t>
      </w:r>
      <w:r>
        <w:rPr>
          <w:rFonts w:hint="eastAsia"/>
          <w:color w:val="auto"/>
          <w:kern w:val="0"/>
        </w:rPr>
        <w:t>经转移</w:t>
      </w:r>
      <w:r>
        <w:rPr>
          <w:rFonts w:hint="eastAsia"/>
          <w:color w:val="auto"/>
          <w:kern w:val="0"/>
        </w:rPr>
        <w:t>的请求人资格</w:t>
      </w:r>
    </w:p>
    <w:p w14:paraId="16C00A92">
      <w:pPr>
        <w:pStyle w:val="style0"/>
        <w:snapToGrid w:val="false"/>
        <w:spacing w:lineRule="auto" w:line="276"/>
        <w:ind w:firstLine="420" w:firstLineChars="200"/>
        <w:rPr>
          <w:rFonts w:cs="Times New Roman" w:hint="eastAsia"/>
          <w:color w:val="auto"/>
        </w:rPr>
      </w:pPr>
      <w:r>
        <w:rPr>
          <w:rFonts w:cs="Times New Roman" w:hint="eastAsia"/>
          <w:color w:val="auto"/>
        </w:rPr>
        <w:t>受害的公民死亡的，</w:t>
      </w:r>
      <w:r>
        <w:rPr>
          <w:rFonts w:cs="Times New Roman" w:hint="eastAsia"/>
          <w:color w:val="ff0000"/>
        </w:rPr>
        <w:t>其继承人</w:t>
      </w:r>
      <w:r>
        <w:rPr>
          <w:rFonts w:cs="Times New Roman" w:hint="eastAsia"/>
          <w:color w:val="auto"/>
        </w:rPr>
        <w:t>、</w:t>
      </w:r>
      <w:r>
        <w:rPr>
          <w:rFonts w:cs="Times New Roman" w:hint="eastAsia"/>
          <w:color w:val="ff0000"/>
        </w:rPr>
        <w:t>其他有扶养关系的亲属、支付受害公民医疗费和丧葬费等合理费用的人</w:t>
      </w:r>
      <w:r>
        <w:rPr>
          <w:rFonts w:cs="Times New Roman" w:hint="eastAsia"/>
          <w:color w:val="auto"/>
        </w:rPr>
        <w:t>有权替代死者要求国家赔偿。</w:t>
      </w:r>
    </w:p>
    <w:p w14:paraId="1A219D9E">
      <w:pPr>
        <w:pStyle w:val="style0"/>
        <w:snapToGrid w:val="false"/>
        <w:spacing w:lineRule="auto" w:line="276"/>
        <w:ind w:firstLine="420" w:firstLineChars="200"/>
        <w:rPr>
          <w:rFonts w:cs="Times New Roman" w:hint="eastAsia"/>
          <w:color w:val="auto"/>
        </w:rPr>
      </w:pPr>
      <w:r>
        <w:rPr>
          <w:rFonts w:cs="Times New Roman" w:hint="eastAsia"/>
          <w:color w:val="auto"/>
        </w:rPr>
        <w:t>受害的法人或其他组织终止，其权利承受人替代其要求国家赔偿。</w:t>
      </w:r>
    </w:p>
    <w:p w14:paraId="16A8641C">
      <w:pPr>
        <w:pStyle w:val="style0"/>
        <w:snapToGrid w:val="false"/>
        <w:spacing w:lineRule="auto" w:line="276"/>
        <w:ind w:firstLine="422" w:firstLineChars="200"/>
        <w:rPr>
          <w:rFonts w:cs="Times New Roman" w:hint="eastAsia"/>
          <w:b/>
          <w:bCs/>
        </w:rPr>
      </w:pPr>
      <w:r>
        <w:rPr>
          <w:rFonts w:cs="Times New Roman" w:hint="eastAsia"/>
          <w:b/>
          <w:bCs/>
        </w:rPr>
        <w:t>（二）行政赔偿义务机关</w:t>
      </w:r>
    </w:p>
    <w:p w14:paraId="55153201">
      <w:pPr>
        <w:pStyle w:val="style0"/>
        <w:snapToGrid w:val="false"/>
        <w:spacing w:lineRule="auto" w:line="276"/>
        <w:ind w:firstLine="420" w:firstLineChars="200"/>
        <w:rPr>
          <w:rFonts w:hint="eastAsia"/>
          <w:color w:val="auto"/>
          <w:kern w:val="0"/>
        </w:rPr>
      </w:pPr>
      <w:r>
        <w:rPr>
          <w:rFonts w:hint="eastAsia"/>
          <w:color w:val="auto"/>
          <w:kern w:val="0"/>
        </w:rPr>
        <w:t>1．单独的赔偿义务机关</w:t>
      </w:r>
    </w:p>
    <w:p w14:paraId="100B172A">
      <w:pPr>
        <w:pStyle w:val="style0"/>
        <w:snapToGrid w:val="false"/>
        <w:spacing w:lineRule="auto" w:line="276"/>
        <w:ind w:firstLine="420" w:firstLineChars="200"/>
        <w:rPr>
          <w:rFonts w:hint="eastAsia"/>
          <w:color w:val="auto"/>
          <w:kern w:val="0"/>
        </w:rPr>
      </w:pPr>
      <w:r>
        <w:rPr>
          <w:rFonts w:hint="eastAsia"/>
          <w:color w:val="auto"/>
          <w:kern w:val="0"/>
        </w:rPr>
        <w:t>2．共同行政侵权的赔偿义务机关</w:t>
      </w:r>
    </w:p>
    <w:p w14:paraId="14845996">
      <w:pPr>
        <w:pStyle w:val="style0"/>
        <w:snapToGrid w:val="false"/>
        <w:spacing w:lineRule="auto" w:line="276"/>
        <w:ind w:firstLine="420" w:firstLineChars="200"/>
        <w:rPr>
          <w:rFonts w:cs="Times New Roman" w:hint="eastAsia"/>
          <w:color w:val="auto"/>
        </w:rPr>
      </w:pPr>
      <w:r>
        <w:rPr>
          <w:rFonts w:cs="Times New Roman" w:hint="eastAsia"/>
          <w:color w:val="auto"/>
        </w:rPr>
        <w:t>两个以上行政主体共同行使行政职权侵权时，共同作为赔偿义务机关。</w:t>
      </w:r>
    </w:p>
    <w:bookmarkStart w:id="23" w:name="_Hlk105663075"/>
    <w:p w14:paraId="346D933A">
      <w:pPr>
        <w:pStyle w:val="style0"/>
        <w:snapToGrid w:val="false"/>
        <w:spacing w:lineRule="auto" w:line="276"/>
        <w:ind w:firstLine="420" w:firstLineChars="200"/>
        <w:rPr>
          <w:rFonts w:cs="Times New Roman" w:hint="eastAsia"/>
          <w:color w:val="auto"/>
        </w:rPr>
      </w:pPr>
      <w:r>
        <w:rPr>
          <w:rFonts w:cs="Times New Roman" w:hint="eastAsia"/>
          <w:color w:val="auto"/>
        </w:rPr>
        <w:t>在共同行政侵权的情况下，赔偿请求人提起行政赔偿诉讼的，</w:t>
      </w:r>
      <w:bookmarkEnd w:id="23"/>
      <w:r>
        <w:rPr>
          <w:rFonts w:cs="Times New Roman" w:hint="eastAsia"/>
          <w:color w:val="auto"/>
        </w:rPr>
        <w:t>共同赔偿义务机关原则上应当作为共同被告。</w:t>
      </w:r>
      <w:r>
        <w:rPr>
          <w:rFonts w:cs="Times New Roman" w:hint="eastAsia"/>
          <w:color w:val="auto"/>
        </w:rPr>
        <w:t>若赔偿</w:t>
      </w:r>
      <w:r>
        <w:rPr>
          <w:rFonts w:cs="Times New Roman" w:hint="eastAsia"/>
          <w:color w:val="auto"/>
        </w:rPr>
        <w:t>请求人坚持对其中一个或者几个侵权机关提起行政赔偿诉讼，以被起诉的机关为被告，未被起诉的机关追加为第三人。</w:t>
      </w:r>
    </w:p>
    <w:p w14:paraId="6AB5F9B3">
      <w:pPr>
        <w:pStyle w:val="style0"/>
        <w:snapToGrid w:val="false"/>
        <w:spacing w:lineRule="auto" w:line="276"/>
        <w:ind w:firstLine="420" w:firstLineChars="200"/>
        <w:rPr>
          <w:rFonts w:cs="Times New Roman" w:hint="eastAsia"/>
          <w:color w:val="auto"/>
        </w:rPr>
      </w:pPr>
      <w:r>
        <w:rPr>
          <w:rFonts w:hint="eastAsia"/>
          <w:color w:val="auto"/>
          <w:kern w:val="0"/>
        </w:rPr>
        <w:t>3．法律、法规授权组织实施侵权行为的赔偿义务机关</w:t>
      </w:r>
    </w:p>
    <w:p w14:paraId="36C4923D">
      <w:pPr>
        <w:pStyle w:val="style0"/>
        <w:snapToGrid w:val="false"/>
        <w:spacing w:lineRule="auto" w:line="276"/>
        <w:ind w:firstLine="420" w:firstLineChars="200"/>
        <w:rPr>
          <w:rFonts w:hint="eastAsia"/>
          <w:color w:val="auto"/>
          <w:kern w:val="0"/>
        </w:rPr>
      </w:pPr>
      <w:r>
        <w:rPr>
          <w:rFonts w:hint="eastAsia"/>
          <w:color w:val="auto"/>
          <w:kern w:val="0"/>
        </w:rPr>
        <w:t>4．委托实施侵权行为的赔偿义务机关</w:t>
      </w:r>
      <w:r>
        <w:rPr>
          <w:rFonts w:hint="eastAsia"/>
          <w:color w:val="auto"/>
          <w:kern w:val="0"/>
        </w:rPr>
        <w:t>。</w:t>
      </w:r>
      <w:r>
        <w:rPr>
          <w:rFonts w:cs="Times New Roman" w:hint="eastAsia"/>
          <w:color w:val="auto"/>
        </w:rPr>
        <w:t>应当由委托的行政主体承担赔偿责任。</w:t>
      </w:r>
    </w:p>
    <w:p w14:paraId="445D33FB">
      <w:pPr>
        <w:pStyle w:val="style0"/>
        <w:snapToGrid w:val="false"/>
        <w:spacing w:lineRule="auto" w:line="276"/>
        <w:ind w:firstLine="420" w:firstLineChars="200"/>
        <w:rPr>
          <w:rFonts w:cs="Times New Roman" w:hint="eastAsia"/>
          <w:color w:val="auto"/>
        </w:rPr>
      </w:pPr>
      <w:r>
        <w:rPr>
          <w:rFonts w:hint="eastAsia"/>
          <w:color w:val="auto"/>
          <w:kern w:val="0"/>
        </w:rPr>
        <w:t>5．侵权机关被撤销时的赔偿义务机关</w:t>
      </w:r>
      <w:r>
        <w:rPr>
          <w:rFonts w:cs="Times New Roman" w:hint="eastAsia"/>
          <w:color w:val="auto"/>
        </w:rPr>
        <w:t>。</w:t>
      </w:r>
      <w:r>
        <w:rPr>
          <w:rFonts w:cs="Times New Roman" w:hint="eastAsia"/>
          <w:color w:val="auto"/>
        </w:rPr>
        <w:t>由撤销原侵权机关的行政机关替代其作为赔偿义务机关。</w:t>
      </w:r>
    </w:p>
    <w:p w14:paraId="04622C87">
      <w:pPr>
        <w:pStyle w:val="style0"/>
        <w:snapToGrid w:val="false"/>
        <w:spacing w:lineRule="auto" w:line="276"/>
        <w:ind w:firstLine="420" w:firstLineChars="200"/>
        <w:rPr>
          <w:rFonts w:hint="eastAsia"/>
          <w:color w:val="auto"/>
          <w:kern w:val="0"/>
        </w:rPr>
      </w:pPr>
      <w:r>
        <w:rPr>
          <w:rFonts w:hint="eastAsia"/>
          <w:color w:val="auto"/>
          <w:kern w:val="0"/>
        </w:rPr>
        <w:t>6．复议加重时的赔偿义务机关</w:t>
      </w:r>
      <w:r>
        <w:rPr>
          <w:rFonts w:hint="eastAsia"/>
          <w:color w:val="auto"/>
          <w:kern w:val="0"/>
        </w:rPr>
        <w:t>。</w:t>
      </w:r>
      <w:r>
        <w:rPr>
          <w:rFonts w:cs="Times New Roman" w:hint="eastAsia"/>
          <w:color w:val="auto"/>
        </w:rPr>
        <w:t>作出原行为</w:t>
      </w:r>
      <w:r>
        <w:rPr>
          <w:rFonts w:cs="Times New Roman" w:hint="eastAsia"/>
          <w:color w:val="auto"/>
        </w:rPr>
        <w:t>的机关对其行为造成的损害部分负责，复议机关就其加重的损害部分负责。</w:t>
      </w:r>
    </w:p>
    <w:p w14:paraId="16A5DCE4">
      <w:pPr>
        <w:pStyle w:val="style0"/>
        <w:snapToGrid w:val="false"/>
        <w:spacing w:lineRule="auto" w:line="276"/>
        <w:ind w:firstLine="420" w:firstLineChars="200"/>
        <w:rPr>
          <w:rFonts w:hint="eastAsia"/>
          <w:color w:val="auto"/>
          <w:kern w:val="0"/>
        </w:rPr>
      </w:pPr>
      <w:r>
        <w:rPr>
          <w:rFonts w:hint="eastAsia"/>
          <w:color w:val="auto"/>
          <w:kern w:val="0"/>
        </w:rPr>
        <w:t>7．非诉执行案件的赔偿义务机关</w:t>
      </w:r>
      <w:r>
        <w:rPr>
          <w:rFonts w:hint="eastAsia"/>
          <w:color w:val="auto"/>
          <w:kern w:val="0"/>
        </w:rPr>
        <w:t>。法院存在错误，法院是赔偿义务机关，执行根据错误，行政机关是赔偿义务机关。</w:t>
      </w:r>
    </w:p>
    <w:p w14:paraId="21B4DF1C">
      <w:pPr>
        <w:pStyle w:val="style0"/>
        <w:snapToGrid w:val="false"/>
        <w:spacing w:lineRule="auto" w:line="276"/>
        <w:rPr>
          <w:rFonts w:hint="eastAsia"/>
          <w:b/>
          <w:bCs/>
          <w:color w:val="ff0000"/>
        </w:rPr>
      </w:pPr>
      <w:r>
        <w:rPr>
          <w:rFonts w:hint="eastAsia"/>
          <w:b/>
          <w:bCs/>
        </w:rPr>
        <w:t>三</w:t>
      </w:r>
      <w:r>
        <w:rPr>
          <w:rFonts w:hint="eastAsia"/>
          <w:b/>
          <w:bCs/>
        </w:rPr>
        <w:t>、行政赔偿的程序</w:t>
      </w:r>
    </w:p>
    <w:p w14:paraId="32DFF550">
      <w:pPr>
        <w:pStyle w:val="style0"/>
        <w:snapToGrid w:val="false"/>
        <w:spacing w:lineRule="auto" w:line="276"/>
        <w:ind w:firstLine="422" w:firstLineChars="200"/>
        <w:rPr>
          <w:rFonts w:cs="Times New Roman" w:hint="eastAsia"/>
          <w:b/>
          <w:bCs/>
        </w:rPr>
      </w:pPr>
      <w:r>
        <w:rPr>
          <w:rFonts w:cs="Times New Roman" w:hint="eastAsia"/>
          <w:b/>
          <w:bCs/>
        </w:rPr>
        <w:t>（一）行政行为侵权的赔偿程序</w:t>
      </w:r>
    </w:p>
    <w:p w14:paraId="54D2C41F">
      <w:pPr>
        <w:pStyle w:val="style0"/>
        <w:snapToGrid w:val="false"/>
        <w:spacing w:lineRule="auto" w:line="276"/>
        <w:ind w:firstLine="420" w:firstLineChars="200"/>
        <w:rPr>
          <w:rFonts w:hint="eastAsia"/>
          <w:color w:val="auto"/>
          <w:kern w:val="0"/>
        </w:rPr>
      </w:pPr>
      <w:r>
        <w:rPr>
          <w:rFonts w:hint="eastAsia"/>
          <w:color w:val="auto"/>
          <w:kern w:val="0"/>
        </w:rPr>
        <w:t>1．在行政诉讼中一并提出赔偿请求</w:t>
      </w:r>
    </w:p>
    <w:p w14:paraId="7881691B">
      <w:pPr>
        <w:pStyle w:val="style0"/>
        <w:snapToGrid w:val="false"/>
        <w:spacing w:lineRule="auto" w:line="276"/>
        <w:ind w:firstLine="420" w:firstLineChars="200"/>
        <w:rPr>
          <w:rFonts w:hint="eastAsia"/>
          <w:color w:val="auto"/>
          <w:kern w:val="0"/>
        </w:rPr>
      </w:pPr>
      <w:r>
        <w:rPr>
          <w:rFonts w:hint="eastAsia"/>
          <w:color w:val="auto"/>
          <w:kern w:val="0"/>
        </w:rPr>
        <w:t>2．在行政复议程序中一并提出赔偿请求</w:t>
      </w:r>
    </w:p>
    <w:p w14:paraId="77A87A8F">
      <w:pPr>
        <w:pStyle w:val="style0"/>
        <w:snapToGrid w:val="false"/>
        <w:spacing w:lineRule="auto" w:line="276"/>
        <w:ind w:firstLine="420" w:firstLineChars="200"/>
        <w:rPr>
          <w:rFonts w:hint="eastAsia"/>
          <w:color w:val="auto"/>
          <w:kern w:val="0"/>
        </w:rPr>
      </w:pPr>
      <w:r>
        <w:rPr>
          <w:rFonts w:hint="eastAsia"/>
          <w:color w:val="auto"/>
          <w:kern w:val="0"/>
        </w:rPr>
        <w:t>3．未在行政诉讼或者行政复议中一并解决赔偿的：</w:t>
      </w:r>
    </w:p>
    <w:p w14:paraId="1572A52E">
      <w:pPr>
        <w:pStyle w:val="style0"/>
        <w:snapToGrid w:val="false"/>
        <w:spacing w:lineRule="auto" w:line="276"/>
        <w:ind w:firstLine="420" w:firstLineChars="200"/>
        <w:rPr>
          <w:rFonts w:cs="Times New Roman" w:hint="eastAsia"/>
          <w:color w:val="auto"/>
        </w:rPr>
      </w:pPr>
      <w:r>
        <w:rPr>
          <w:rFonts w:cs="Times New Roman" w:hint="eastAsia"/>
          <w:color w:val="auto"/>
        </w:rPr>
        <w:t>先向行政赔偿义务机关申请赔偿+单独提起行政赔偿诉讼</w:t>
      </w:r>
    </w:p>
    <w:p w14:paraId="73829503">
      <w:pPr>
        <w:pStyle w:val="style0"/>
        <w:snapToGrid w:val="false"/>
        <w:spacing w:lineRule="auto" w:line="276"/>
        <w:ind w:firstLine="420" w:firstLineChars="200"/>
        <w:rPr>
          <w:rFonts w:cs="Times New Roman" w:hint="eastAsia"/>
          <w:color w:val="auto"/>
        </w:rPr>
      </w:pPr>
      <w:r>
        <w:rPr>
          <w:rFonts w:cs="Times New Roman" w:hint="eastAsia"/>
          <w:color w:val="auto"/>
        </w:rPr>
        <w:t>对于一个侵权的行政行为，如果受害人在行政诉讼或行政复议中只是对行政行为合法性提出异议但没有提出赔偿请求的，可以先向行政赔偿义务机关提出申请赔偿申请。受害人若不服行政赔偿义务机关的赔偿决定或者未</w:t>
      </w:r>
      <w:r>
        <w:rPr>
          <w:rFonts w:cs="Times New Roman" w:hint="eastAsia"/>
          <w:color w:val="auto"/>
        </w:rPr>
        <w:t>作赔</w:t>
      </w:r>
      <w:r>
        <w:rPr>
          <w:rFonts w:cs="Times New Roman" w:hint="eastAsia"/>
          <w:color w:val="auto"/>
        </w:rPr>
        <w:t>偿的，</w:t>
      </w:r>
      <w:r>
        <w:rPr>
          <w:rFonts w:cs="Times New Roman" w:hint="eastAsia"/>
          <w:color w:val="ee0000"/>
        </w:rPr>
        <w:t>3个月内</w:t>
      </w:r>
      <w:r>
        <w:rPr>
          <w:rFonts w:cs="Times New Roman" w:hint="eastAsia"/>
          <w:color w:val="auto"/>
        </w:rPr>
        <w:t>再向法院单独提起行政赔偿诉讼。</w:t>
      </w:r>
    </w:p>
    <w:p w14:paraId="739B8CDF">
      <w:pPr>
        <w:pStyle w:val="style0"/>
        <w:snapToGrid w:val="false"/>
        <w:spacing w:lineRule="auto" w:line="276"/>
        <w:ind w:firstLine="420" w:firstLineChars="200"/>
        <w:rPr>
          <w:rFonts w:cs="Times New Roman" w:hint="eastAsia"/>
          <w:color w:val="auto"/>
        </w:rPr>
      </w:pPr>
      <w:r>
        <w:rPr>
          <w:rFonts w:cs="Times New Roman" w:hint="eastAsia"/>
          <w:color w:val="auto"/>
        </w:rPr>
        <w:t>不服行政赔偿义务机关的赔偿决定或者未</w:t>
      </w:r>
      <w:r>
        <w:rPr>
          <w:rFonts w:cs="Times New Roman" w:hint="eastAsia"/>
          <w:color w:val="auto"/>
        </w:rPr>
        <w:t>作赔偿</w:t>
      </w:r>
      <w:r>
        <w:rPr>
          <w:rFonts w:cs="Times New Roman" w:hint="eastAsia"/>
          <w:color w:val="auto"/>
        </w:rPr>
        <w:t>决定，再向法院单独提起行政赔偿诉讼的具体程序是：</w:t>
      </w:r>
    </w:p>
    <w:p w14:paraId="31783FB9">
      <w:pPr>
        <w:pStyle w:val="style0"/>
        <w:snapToGrid w:val="false"/>
        <w:spacing w:lineRule="auto" w:line="276"/>
        <w:ind w:firstLine="420" w:firstLineChars="200"/>
        <w:rPr>
          <w:rFonts w:cs="Times New Roman" w:hint="eastAsia"/>
          <w:color w:val="auto"/>
        </w:rPr>
      </w:pPr>
      <w:r>
        <w:rPr>
          <w:rFonts w:cs="Times New Roman" w:hint="eastAsia"/>
          <w:color w:val="auto"/>
        </w:rPr>
        <w:t>受害人通过先行处理程序向行政赔偿义务机关请求赔偿后，如果行政赔偿义务机关在规定期限内没有</w:t>
      </w:r>
      <w:r>
        <w:rPr>
          <w:rFonts w:cs="Times New Roman" w:hint="eastAsia"/>
          <w:color w:val="auto"/>
        </w:rPr>
        <w:t>作出</w:t>
      </w:r>
      <w:r>
        <w:rPr>
          <w:rFonts w:cs="Times New Roman" w:hint="eastAsia"/>
          <w:color w:val="auto"/>
        </w:rPr>
        <w:t>决定，或者受害人对其赔偿决定不服，都可以3个月内再向法院单独提起行政赔偿诉讼。</w:t>
      </w:r>
    </w:p>
    <w:p w14:paraId="6D3167A8">
      <w:pPr>
        <w:pStyle w:val="style0"/>
        <w:snapToGrid w:val="false"/>
        <w:spacing w:lineRule="auto" w:line="276"/>
        <w:ind w:firstLine="420" w:firstLineChars="200"/>
        <w:rPr>
          <w:rFonts w:cs="华康娃娃体W5" w:hint="eastAsia"/>
          <w:color w:val="ff0000"/>
        </w:rPr>
      </w:pPr>
      <w:r>
        <w:rPr>
          <w:rFonts w:cs="汉仪书宋二简"/>
          <w:noProof/>
          <w:color w:val="ff0000"/>
        </w:rPr>
        <mc:AlternateContent>
          <mc:Choice Requires="wps">
            <w:drawing>
              <wp:anchor distT="0" distB="0" distL="0" distR="0" simplePos="false" relativeHeight="2" behindDoc="false" locked="false" layoutInCell="true" allowOverlap="true">
                <wp:simplePos x="0" y="0"/>
                <wp:positionH relativeFrom="column">
                  <wp:posOffset>58420</wp:posOffset>
                </wp:positionH>
                <wp:positionV relativeFrom="paragraph">
                  <wp:posOffset>75301</wp:posOffset>
                </wp:positionV>
                <wp:extent cx="142875" cy="142875"/>
                <wp:effectExtent l="0" t="0" r="9525" b="9525"/>
                <wp:wrapNone/>
                <wp:docPr id="1030" name="五角星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142875"/>
                        </a:xfrm>
                        <a:prstGeom prst="star5"/>
                        <a:solidFill>
                          <a:srgbClr val="ff0000"/>
                        </a:solidFill>
                        <a:ln>
                          <a:noFill/>
                        </a:ln>
                      </wps:spPr>
                      <wps:bodyPr>
                        <a:prstTxWarp prst="textNoShape"/>
                      </wps:bodyPr>
                    </wps:wsp>
                  </a:graphicData>
                </a:graphic>
              </wp:anchor>
            </w:drawing>
          </mc:Choice>
          <mc:Fallback>
            <w:pict>
              <v:shape id="1030" type="#_x0000_t12" adj="4125," fillcolor="red" stroked="f" style="position:absolute;margin-left:4.6pt;margin-top:5.93pt;width:11.25pt;height:11.25pt;z-index:2;mso-position-horizontal-relative:text;mso-position-vertical-relative:text;mso-width-relative:page;mso-height-relative:page;mso-wrap-distance-left:0.0pt;mso-wrap-distance-right:0.0pt;visibility:visible;">
                <v:stroke on="f" joinstyle="miter" weight="1.0pt"/>
                <v:fill/>
              </v:shape>
            </w:pict>
          </mc:Fallback>
        </mc:AlternateContent>
      </w:r>
      <w:r>
        <w:rPr>
          <w:rFonts w:cs="仿宋" w:hint="eastAsia"/>
          <w:color w:val="ff0000"/>
        </w:rPr>
        <w:t>注意：</w:t>
      </w:r>
      <w:r>
        <w:rPr>
          <w:rFonts w:cs="华康娃娃体W5" w:hint="eastAsia"/>
        </w:rPr>
        <w:t>对行政行为侵犯公民、法人或者其他组织合法权益单独提起行政赔偿诉讼的前提是该行政行为已经在行政复议或者行政诉讼程序中被确认具有违法性。</w:t>
      </w:r>
      <w:r>
        <w:rPr>
          <w:rFonts w:cs="华康娃娃体W5" w:hint="eastAsia"/>
          <w:color w:val="ff0000"/>
        </w:rPr>
        <w:t>如果行政行为未被确认为违法，公民、法人或者其他组织提起行政赔偿诉讼的，法院应当视为提起行政诉讼时一并提起行政赔偿诉讼。</w:t>
      </w:r>
    </w:p>
    <w:p w14:paraId="104AE6BA">
      <w:pPr>
        <w:pStyle w:val="style0"/>
        <w:snapToGrid w:val="false"/>
        <w:spacing w:lineRule="auto" w:line="276"/>
        <w:ind w:firstLine="422" w:firstLineChars="200"/>
        <w:rPr>
          <w:rFonts w:cs="Times New Roman" w:hint="eastAsia"/>
          <w:b/>
          <w:bCs/>
        </w:rPr>
      </w:pPr>
      <w:r>
        <w:rPr>
          <w:rFonts w:cs="Times New Roman" w:hint="eastAsia"/>
          <w:b/>
          <w:bCs/>
        </w:rPr>
        <w:t>（二）事实行为侵权的赔偿程序</w:t>
      </w:r>
    </w:p>
    <w:p w14:paraId="24823A39">
      <w:pPr>
        <w:pStyle w:val="style0"/>
        <w:snapToGrid w:val="false"/>
        <w:spacing w:lineRule="auto" w:line="276"/>
        <w:ind w:firstLine="420" w:firstLineChars="200"/>
        <w:rPr>
          <w:rFonts w:cs="Times New Roman" w:hint="eastAsia"/>
          <w:color w:val="auto"/>
        </w:rPr>
      </w:pPr>
      <w:r>
        <w:rPr>
          <w:rFonts w:cs="Times New Roman" w:hint="eastAsia"/>
          <w:color w:val="auto"/>
        </w:rPr>
        <w:t>只有违法侵犯生命权、健康权、自由权、财产权的事实行为可以获得行政赔偿。</w:t>
      </w:r>
    </w:p>
    <w:bookmarkStart w:id="24" w:name="_Toc190544257"/>
    <w:bookmarkStart w:id="25" w:name="_Toc192256155"/>
    <w:p w14:paraId="3D24471C">
      <w:pPr>
        <w:pStyle w:val="style0"/>
        <w:snapToGrid w:val="false"/>
        <w:spacing w:lineRule="auto" w:line="276"/>
        <w:ind w:firstLine="422" w:firstLineChars="200"/>
        <w:jc w:val="center"/>
        <w:rPr>
          <w:rFonts w:cs="Times New Roman" w:hint="eastAsia"/>
          <w:noProof/>
          <w:color w:val="auto"/>
        </w:rPr>
      </w:pPr>
      <w:r>
        <w:rPr>
          <w:rFonts w:hint="eastAsia"/>
          <w:b/>
          <w:bCs/>
          <w:color w:val="auto"/>
        </w:rPr>
        <w:t>考点31  司法赔偿</w:t>
      </w:r>
      <w:bookmarkEnd w:id="24"/>
      <w:bookmarkEnd w:id="25"/>
      <w:r>
        <w:rPr>
          <w:rFonts w:hint="default"/>
          <w:b/>
          <w:bCs/>
          <w:color w:val="auto"/>
          <w:lang w:val="en-US"/>
        </w:rPr>
        <w:t>（22:18-22:18）主观题不考</w:t>
      </w:r>
      <w:bookmarkEnd w:id="22"/>
    </w:p>
    <w:bookmarkStart w:id="26" w:name="_Toc190544258"/>
    <w:bookmarkStart w:id="27" w:name="_Toc192256156"/>
    <w:p w14:paraId="3BDCA32C">
      <w:pPr>
        <w:pStyle w:val="style0"/>
        <w:snapToGrid w:val="false"/>
        <w:spacing w:lineRule="auto" w:line="276"/>
        <w:ind w:firstLine="422" w:firstLineChars="200"/>
        <w:jc w:val="center"/>
        <w:rPr>
          <w:rFonts w:hint="eastAsia"/>
          <w:b/>
          <w:bCs/>
          <w:color w:val="auto"/>
        </w:rPr>
      </w:pPr>
      <w:r>
        <w:rPr>
          <w:rFonts w:hint="eastAsia"/>
          <w:b/>
          <w:bCs/>
          <w:color w:val="auto"/>
        </w:rPr>
        <w:t>考点32  国家赔偿的计算</w:t>
      </w:r>
      <w:bookmarkEnd w:id="26"/>
      <w:bookmarkEnd w:id="27"/>
      <w:r>
        <w:rPr>
          <w:rFonts w:hint="default"/>
          <w:b/>
          <w:bCs/>
          <w:color w:val="auto"/>
          <w:lang w:val="en-US"/>
        </w:rPr>
        <w:t>（22:18-22:30）</w:t>
      </w:r>
    </w:p>
    <w:bookmarkStart w:id="28" w:name="_Hlk37859675"/>
    <w:p w14:paraId="3C31B51B">
      <w:pPr>
        <w:pStyle w:val="style0"/>
        <w:snapToGrid w:val="false"/>
        <w:spacing w:lineRule="auto" w:line="276"/>
        <w:rPr>
          <w:rFonts w:hint="eastAsia"/>
          <w:b/>
          <w:bCs/>
          <w:color w:val="ff0000"/>
        </w:rPr>
      </w:pPr>
      <w:r>
        <w:rPr>
          <w:rFonts w:hint="eastAsia"/>
          <w:b/>
          <w:bCs/>
        </w:rPr>
        <w:t>一、国家赔偿的计算</w:t>
      </w:r>
    </w:p>
    <w:p w14:paraId="59FDABE4">
      <w:pPr>
        <w:pStyle w:val="style0"/>
        <w:snapToGrid w:val="false"/>
        <w:spacing w:lineRule="auto" w:line="276"/>
        <w:ind w:firstLine="422" w:firstLineChars="200"/>
        <w:rPr>
          <w:rFonts w:cs="Times New Roman" w:hint="eastAsia"/>
          <w:b/>
          <w:bCs/>
          <w:color w:val="ff0000"/>
        </w:rPr>
      </w:pPr>
      <w:r>
        <w:rPr>
          <w:rFonts w:cs="Times New Roman" w:hint="eastAsia"/>
          <w:b/>
          <w:bCs/>
        </w:rPr>
        <w:t>（一）侵害人身自由权的赔偿</w:t>
      </w:r>
    </w:p>
    <w:p w14:paraId="7D1FE78E">
      <w:pPr>
        <w:pStyle w:val="style0"/>
        <w:snapToGrid w:val="false"/>
        <w:spacing w:lineRule="auto" w:line="276"/>
        <w:ind w:firstLine="420" w:firstLineChars="200"/>
        <w:rPr>
          <w:rFonts w:cs="Times New Roman" w:hint="eastAsia"/>
          <w:color w:val="auto"/>
        </w:rPr>
      </w:pPr>
      <w:r>
        <w:rPr>
          <w:rFonts w:cs="Times New Roman" w:hint="eastAsia"/>
          <w:color w:val="auto"/>
        </w:rPr>
        <w:t>侵犯公民人身自由的，应赔偿受害人国家赔偿金，每日的赔偿金按照国家上年度职工日平均工资计算。</w:t>
      </w:r>
    </w:p>
    <w:p w14:paraId="290D72BB">
      <w:pPr>
        <w:pStyle w:val="style0"/>
        <w:snapToGrid w:val="false"/>
        <w:spacing w:lineRule="auto" w:line="276"/>
        <w:ind w:firstLine="422" w:firstLineChars="200"/>
        <w:rPr>
          <w:rFonts w:cs="Times New Roman" w:hint="eastAsia"/>
          <w:b/>
          <w:bCs/>
          <w:color w:val="ff0000"/>
        </w:rPr>
      </w:pPr>
      <w:r>
        <w:rPr>
          <w:rFonts w:cs="Times New Roman" w:hint="eastAsia"/>
          <w:b/>
          <w:bCs/>
        </w:rPr>
        <w:t>（二）侵害生命健康权的赔偿</w:t>
      </w:r>
      <w:r>
        <w:rPr>
          <w:rFonts w:cs="Times New Roman" w:hint="eastAsia"/>
          <w:b/>
          <w:bCs/>
        </w:rPr>
        <w:t>（造成死亡或伤害）</w:t>
      </w:r>
    </w:p>
    <w:p w14:paraId="3B94BF20">
      <w:pPr>
        <w:pStyle w:val="style0"/>
        <w:snapToGrid w:val="false"/>
        <w:spacing w:lineRule="auto" w:line="276"/>
        <w:ind w:firstLine="428" w:firstLineChars="200"/>
        <w:rPr>
          <w:rFonts w:cs="Times New Roman" w:hint="eastAsia"/>
          <w:color w:val="ff0000"/>
        </w:rPr>
      </w:pPr>
      <w:r>
        <w:rPr>
          <w:rFonts w:cs="Times New Roman" w:hint="eastAsia"/>
          <w:color w:val="auto"/>
          <w:spacing w:val="2"/>
        </w:rPr>
        <w:t>1．造成公民身体伤害的，应当支付医疗费、护理费与</w:t>
      </w:r>
      <w:r>
        <w:rPr>
          <w:rFonts w:cs="Times New Roman" w:hint="eastAsia"/>
          <w:color w:val="ff0000"/>
          <w:spacing w:val="2"/>
        </w:rPr>
        <w:t>误工费</w:t>
      </w:r>
      <w:r>
        <w:rPr>
          <w:rFonts w:cs="Times New Roman" w:hint="eastAsia"/>
          <w:color w:val="auto"/>
          <w:spacing w:val="2"/>
        </w:rPr>
        <w:t>。每日的误工</w:t>
      </w:r>
      <w:r>
        <w:rPr>
          <w:rFonts w:cs="Times New Roman" w:hint="eastAsia"/>
          <w:color w:val="auto"/>
          <w:spacing w:val="2"/>
        </w:rPr>
        <w:t>费按照</w:t>
      </w:r>
      <w:r>
        <w:rPr>
          <w:rFonts w:cs="Times New Roman" w:hint="eastAsia"/>
          <w:color w:val="auto"/>
          <w:spacing w:val="2"/>
        </w:rPr>
        <w:t>国家上年度职工日平均工资计算，同时受到最高额的限制，</w:t>
      </w:r>
      <w:r>
        <w:rPr>
          <w:rFonts w:cs="Times New Roman" w:hint="eastAsia"/>
          <w:color w:val="auto"/>
          <w:spacing w:val="2"/>
        </w:rPr>
        <w:t>最</w:t>
      </w:r>
      <w:r>
        <w:rPr>
          <w:rFonts w:cs="Times New Roman" w:hint="eastAsia"/>
          <w:color w:val="auto"/>
          <w:spacing w:val="2"/>
        </w:rPr>
        <w:t>高额为国家上年度职工年平均工资的5倍。</w:t>
      </w:r>
    </w:p>
    <w:p w14:paraId="5D5534A2">
      <w:pPr>
        <w:pStyle w:val="style0"/>
        <w:snapToGrid w:val="false"/>
        <w:spacing w:lineRule="auto" w:line="276"/>
        <w:ind w:firstLine="420" w:firstLineChars="200"/>
        <w:rPr>
          <w:rFonts w:cs="Times New Roman" w:hint="eastAsia"/>
          <w:color w:val="auto"/>
        </w:rPr>
      </w:pPr>
      <w:r>
        <w:rPr>
          <w:rFonts w:cs="Times New Roman" w:hint="default"/>
          <w:color w:val="auto"/>
          <w:lang w:val="en-US"/>
        </w:rPr>
        <w:t>2</w:t>
      </w:r>
      <w:r>
        <w:rPr>
          <w:rFonts w:cs="Times New Roman" w:hint="eastAsia"/>
          <w:color w:val="auto"/>
        </w:rPr>
        <w:t>．造成公民死亡的，应当支付死亡赔偿金与丧葬费。死亡赔偿金与丧葬费的总额为国家上年度职工年平均工资的20倍。</w:t>
      </w:r>
    </w:p>
    <w:p w14:paraId="62B4268F">
      <w:pPr>
        <w:pStyle w:val="style0"/>
        <w:snapToGrid w:val="false"/>
        <w:spacing w:lineRule="auto" w:line="276"/>
        <w:ind w:firstLine="422" w:firstLineChars="200"/>
        <w:rPr>
          <w:rFonts w:cs="Times New Roman" w:hint="eastAsia"/>
          <w:b/>
          <w:bCs/>
          <w:color w:val="ff0000"/>
        </w:rPr>
      </w:pPr>
      <w:r>
        <w:rPr>
          <w:rFonts w:cs="Times New Roman" w:hint="eastAsia"/>
          <w:b/>
          <w:bCs/>
        </w:rPr>
        <w:t>（三）侵害财产权的赔偿</w:t>
      </w:r>
    </w:p>
    <w:p w14:paraId="6A7CEBF4">
      <w:pPr>
        <w:pStyle w:val="style0"/>
        <w:snapToGrid w:val="false"/>
        <w:spacing w:lineRule="auto" w:line="276"/>
        <w:ind w:firstLine="420" w:firstLineChars="200"/>
        <w:rPr>
          <w:rFonts w:cs="Times New Roman" w:hint="eastAsia"/>
          <w:color w:val="ff0000"/>
        </w:rPr>
      </w:pPr>
      <w:r>
        <w:rPr>
          <w:rFonts w:cs="Times New Roman" w:hint="eastAsia"/>
          <w:color w:val="auto"/>
        </w:rPr>
        <w:t>1．能够返还财产的应当返还财产。</w:t>
      </w:r>
      <w:r>
        <w:rPr>
          <w:rFonts w:cs="Times New Roman" w:hint="eastAsia"/>
          <w:color w:val="ff0000"/>
        </w:rPr>
        <w:t>按照损害发生时该财产的市场价格计算损失</w:t>
      </w:r>
      <w:r>
        <w:rPr>
          <w:rFonts w:cs="Times New Roman" w:hint="eastAsia"/>
          <w:color w:val="auto"/>
        </w:rPr>
        <w:t>。</w:t>
      </w:r>
    </w:p>
    <w:p w14:paraId="5574D731">
      <w:pPr>
        <w:pStyle w:val="style0"/>
        <w:snapToGrid w:val="false"/>
        <w:spacing w:lineRule="auto" w:line="276"/>
        <w:ind w:firstLine="428" w:firstLineChars="200"/>
        <w:rPr>
          <w:rFonts w:cs="Times New Roman" w:hint="eastAsia"/>
          <w:color w:val="auto"/>
          <w:spacing w:val="2"/>
        </w:rPr>
      </w:pPr>
      <w:r>
        <w:rPr>
          <w:rFonts w:cs="Times New Roman" w:hint="eastAsia"/>
          <w:color w:val="auto"/>
          <w:spacing w:val="2"/>
        </w:rPr>
        <w:t>2．能够恢复原状的应当恢复原状。</w:t>
      </w:r>
    </w:p>
    <w:p w14:paraId="7E704DAF">
      <w:pPr>
        <w:pStyle w:val="style0"/>
        <w:snapToGrid w:val="false"/>
        <w:spacing w:lineRule="auto" w:line="276"/>
        <w:ind w:firstLine="420" w:firstLineChars="200"/>
        <w:rPr>
          <w:rFonts w:cs="Times New Roman" w:hint="eastAsia"/>
          <w:color w:val="auto"/>
        </w:rPr>
      </w:pPr>
      <w:r>
        <w:rPr>
          <w:rFonts w:cs="Times New Roman" w:hint="eastAsia"/>
          <w:color w:val="auto"/>
        </w:rPr>
        <w:t>3．</w:t>
      </w:r>
      <w:r>
        <w:rPr>
          <w:rFonts w:cs="Times New Roman" w:hint="eastAsia"/>
          <w:color w:val="ff0000"/>
        </w:rPr>
        <w:t>违法征收征用土地、房屋，人民法院判决给予被征收人的行政赔偿，不得少于被征收人依法应当获得的安置补偿权益。</w:t>
      </w:r>
    </w:p>
    <w:p w14:paraId="35613F71">
      <w:pPr>
        <w:pStyle w:val="style0"/>
        <w:snapToGrid w:val="false"/>
        <w:spacing w:lineRule="auto" w:line="276"/>
        <w:ind w:firstLine="420" w:firstLineChars="200"/>
        <w:rPr>
          <w:rFonts w:cs="Times New Roman" w:hint="eastAsia"/>
          <w:color w:val="auto"/>
        </w:rPr>
      </w:pPr>
      <w:r>
        <w:rPr>
          <w:rFonts w:cs="Times New Roman" w:hint="eastAsia"/>
          <w:color w:val="auto"/>
        </w:rPr>
        <w:t>4．财产已经拍卖或者变卖的，给付拍卖或者变卖所得的价款；变卖的价款明显低于财产价值的，应当支付相应的赔偿金。</w:t>
      </w:r>
    </w:p>
    <w:p w14:paraId="2C24A3E8">
      <w:pPr>
        <w:pStyle w:val="style0"/>
        <w:snapToGrid w:val="false"/>
        <w:spacing w:lineRule="auto" w:line="276"/>
        <w:ind w:firstLine="420" w:firstLineChars="200"/>
        <w:rPr>
          <w:rFonts w:cs="Times New Roman" w:hint="eastAsia"/>
          <w:color w:val="auto"/>
        </w:rPr>
      </w:pPr>
      <w:r>
        <w:rPr>
          <w:rFonts w:cs="Times New Roman" w:hint="eastAsia"/>
          <w:color w:val="auto"/>
        </w:rPr>
        <w:t>5．错误地</w:t>
      </w:r>
      <w:r>
        <w:rPr>
          <w:rFonts w:cs="Times New Roman" w:hint="eastAsia"/>
          <w:color w:val="auto"/>
        </w:rPr>
        <w:t>作出</w:t>
      </w:r>
      <w:r>
        <w:rPr>
          <w:rFonts w:cs="Times New Roman" w:hint="eastAsia"/>
          <w:color w:val="auto"/>
        </w:rPr>
        <w:t xml:space="preserve">吊销许可证、责令停产停业的，应当赔偿停业期间必要的经常性费用开支。必要的经常性费用开支是指当事人被迫停止营业后，为了维持生存或为了维持企业正常存在而必须付出的费用。 </w:t>
      </w:r>
      <w:r>
        <w:rPr>
          <w:rFonts w:cs="Times New Roman" w:hint="eastAsia"/>
          <w:color w:val="ff0000"/>
        </w:rPr>
        <w:t>对于受害人因停业造成的经营利润损失，不予赔偿。</w:t>
      </w:r>
    </w:p>
    <w:p w14:paraId="717C3953">
      <w:pPr>
        <w:pStyle w:val="style0"/>
        <w:snapToGrid w:val="false"/>
        <w:spacing w:lineRule="auto" w:line="276"/>
        <w:rPr>
          <w:rFonts w:hint="eastAsia"/>
          <w:b/>
          <w:bCs/>
          <w:color w:val="ff0000"/>
        </w:rPr>
      </w:pPr>
      <w:r>
        <w:rPr>
          <w:rFonts w:hint="eastAsia"/>
          <w:b/>
          <w:bCs/>
        </w:rPr>
        <w:t>二、精神损害的赔偿</w:t>
      </w:r>
    </w:p>
    <w:p w14:paraId="45B0147F">
      <w:pPr>
        <w:pStyle w:val="style0"/>
        <w:snapToGrid w:val="false"/>
        <w:spacing w:lineRule="auto" w:line="276"/>
        <w:ind w:firstLine="422" w:firstLineChars="200"/>
        <w:rPr>
          <w:rFonts w:cs="Times New Roman" w:hint="eastAsia"/>
          <w:b/>
          <w:bCs/>
        </w:rPr>
      </w:pPr>
      <w:r>
        <w:rPr>
          <w:rFonts w:cs="Times New Roman" w:hint="eastAsia"/>
          <w:b/>
          <w:bCs/>
        </w:rPr>
        <w:t>（一）精神损害赔偿的请求人</w:t>
      </w:r>
      <w:bookmarkStart w:id="29" w:name="_Hlk68530903"/>
    </w:p>
    <w:p w14:paraId="0F0F22FB">
      <w:pPr>
        <w:pStyle w:val="style0"/>
        <w:snapToGrid w:val="false"/>
        <w:spacing w:lineRule="auto" w:line="276"/>
        <w:ind w:firstLine="420" w:firstLineChars="200"/>
        <w:rPr>
          <w:rFonts w:cs="Times New Roman" w:hint="eastAsia"/>
          <w:color w:val="auto"/>
        </w:rPr>
      </w:pPr>
      <w:r>
        <w:rPr>
          <w:rFonts w:cs="Times New Roman" w:hint="eastAsia"/>
          <w:color w:val="ff0000"/>
        </w:rPr>
        <w:t>人身权</w:t>
      </w:r>
      <w:r>
        <w:rPr>
          <w:rFonts w:cs="Times New Roman" w:hint="eastAsia"/>
          <w:color w:val="auto"/>
        </w:rPr>
        <w:t>受到侵犯的</w:t>
      </w:r>
      <w:r>
        <w:rPr>
          <w:rFonts w:cs="Times New Roman" w:hint="eastAsia"/>
          <w:color w:val="ff0000"/>
        </w:rPr>
        <w:t>公民（自然人）</w:t>
      </w:r>
      <w:r>
        <w:rPr>
          <w:rFonts w:cs="Times New Roman" w:hint="eastAsia"/>
          <w:color w:val="auto"/>
        </w:rPr>
        <w:t>，可以请求精神损害赔偿。</w:t>
      </w:r>
      <w:bookmarkEnd w:id="29"/>
    </w:p>
    <w:p w14:paraId="52BDBEAA">
      <w:pPr>
        <w:pStyle w:val="style0"/>
        <w:snapToGrid w:val="false"/>
        <w:spacing w:lineRule="auto" w:line="276"/>
        <w:ind w:firstLine="420" w:firstLineChars="200"/>
        <w:rPr>
          <w:rFonts w:cs="Times New Roman" w:hint="eastAsia"/>
          <w:color w:val="ff0000"/>
        </w:rPr>
      </w:pPr>
      <w:r>
        <w:rPr>
          <w:rFonts w:cs="Times New Roman" w:hint="eastAsia"/>
          <w:color w:val="ff0000"/>
        </w:rPr>
        <w:t>法人或者非法人组织请求精神损害赔偿的，法院不予受理。</w:t>
      </w:r>
    </w:p>
    <w:p w14:paraId="7845C15F">
      <w:pPr>
        <w:pStyle w:val="style0"/>
        <w:snapToGrid w:val="false"/>
        <w:spacing w:lineRule="auto" w:line="276"/>
        <w:ind w:firstLine="420" w:firstLineChars="200"/>
        <w:rPr>
          <w:rFonts w:cs="Times New Roman" w:hint="eastAsia"/>
          <w:color w:val="ff0000"/>
        </w:rPr>
      </w:pPr>
      <w:r>
        <w:rPr>
          <w:rFonts w:cs="Times New Roman" w:hint="eastAsia"/>
          <w:color w:val="ff0000"/>
        </w:rPr>
        <w:t>公民（自然人）以财产权受到侵犯请求精神损害赔偿的，法院不予受理。</w:t>
      </w:r>
    </w:p>
    <w:p w14:paraId="27183F0B">
      <w:pPr>
        <w:pStyle w:val="style0"/>
        <w:snapToGrid w:val="false"/>
        <w:spacing w:lineRule="auto" w:line="276"/>
        <w:ind w:firstLine="422" w:firstLineChars="200"/>
        <w:rPr>
          <w:rFonts w:cs="Times New Roman" w:hint="eastAsia"/>
          <w:b/>
          <w:bCs/>
        </w:rPr>
      </w:pPr>
      <w:r>
        <w:rPr>
          <w:rFonts w:cs="Times New Roman" w:hint="eastAsia"/>
          <w:b/>
          <w:bCs/>
        </w:rPr>
        <w:t>（二）不告不理</w:t>
      </w:r>
    </w:p>
    <w:p w14:paraId="68374144">
      <w:pPr>
        <w:pStyle w:val="style0"/>
        <w:snapToGrid w:val="false"/>
        <w:spacing w:lineRule="auto" w:line="276"/>
        <w:ind w:firstLine="420" w:firstLineChars="200"/>
        <w:rPr>
          <w:rFonts w:cs="Times New Roman" w:hint="eastAsia"/>
          <w:color w:val="auto"/>
        </w:rPr>
      </w:pPr>
      <w:r>
        <w:rPr>
          <w:rFonts w:cs="Times New Roman" w:hint="eastAsia"/>
          <w:color w:val="auto"/>
        </w:rPr>
        <w:t>人身权受到侵犯的公民（自然人），可以请求精神损害赔偿。</w:t>
      </w:r>
    </w:p>
    <w:p w14:paraId="7DB9D5E0">
      <w:pPr>
        <w:pStyle w:val="style0"/>
        <w:snapToGrid w:val="false"/>
        <w:spacing w:lineRule="auto" w:line="276"/>
        <w:ind w:firstLine="420" w:firstLineChars="200"/>
        <w:rPr>
          <w:rFonts w:cs="Times New Roman" w:hint="eastAsia"/>
          <w:color w:val="auto"/>
        </w:rPr>
      </w:pPr>
      <w:r>
        <w:rPr>
          <w:rFonts w:cs="Times New Roman" w:hint="eastAsia"/>
          <w:color w:val="auto"/>
        </w:rPr>
        <w:t>公民以人身权受到侵犯为由提出国家赔偿申请，法院应当</w:t>
      </w:r>
      <w:r>
        <w:rPr>
          <w:rFonts w:cs="Times New Roman" w:hint="eastAsia"/>
          <w:color w:val="auto"/>
        </w:rPr>
        <w:t>向其释明</w:t>
      </w:r>
      <w:r>
        <w:rPr>
          <w:rFonts w:cs="Times New Roman" w:hint="eastAsia"/>
          <w:color w:val="auto"/>
        </w:rPr>
        <w:t>。经释明后不变更请求，案件审结后又基于同一侵权事实另行提出申请的，法院不予受理。</w:t>
      </w:r>
    </w:p>
    <w:p w14:paraId="566749F2">
      <w:pPr>
        <w:pStyle w:val="style0"/>
        <w:snapToGrid w:val="false"/>
        <w:spacing w:lineRule="auto" w:line="276"/>
        <w:ind w:firstLine="422" w:firstLineChars="200"/>
        <w:rPr>
          <w:rFonts w:cs="Times New Roman" w:hint="eastAsia"/>
          <w:b/>
          <w:bCs/>
        </w:rPr>
      </w:pPr>
      <w:r>
        <w:rPr>
          <w:rFonts w:cs="Times New Roman" w:hint="eastAsia"/>
          <w:b/>
          <w:bCs/>
        </w:rPr>
        <w:t>（</w:t>
      </w:r>
      <w:r>
        <w:rPr>
          <w:rFonts w:cs="Times New Roman" w:hint="eastAsia"/>
          <w:b/>
          <w:bCs/>
        </w:rPr>
        <w:t>三</w:t>
      </w:r>
      <w:r>
        <w:rPr>
          <w:rFonts w:cs="Times New Roman" w:hint="eastAsia"/>
          <w:b/>
          <w:bCs/>
        </w:rPr>
        <w:t>）精神损害赔偿的方式</w:t>
      </w:r>
    </w:p>
    <w:p w14:paraId="538CB569">
      <w:pPr>
        <w:pStyle w:val="style0"/>
        <w:snapToGrid w:val="false"/>
        <w:spacing w:lineRule="auto" w:line="276"/>
        <w:ind w:firstLine="420" w:firstLineChars="200"/>
        <w:rPr>
          <w:rFonts w:cs="Times New Roman" w:hint="eastAsia"/>
          <w:color w:val="auto"/>
        </w:rPr>
      </w:pPr>
      <w:r>
        <w:rPr>
          <w:rFonts w:cs="Times New Roman" w:hint="eastAsia"/>
          <w:color w:val="auto"/>
        </w:rPr>
        <w:t>侵权行为致人精神损害，应当为受害人消除影响、恢复名誉或者赔礼道歉。</w:t>
      </w:r>
    </w:p>
    <w:p w14:paraId="1C6AF43F">
      <w:pPr>
        <w:pStyle w:val="style0"/>
        <w:snapToGrid w:val="false"/>
        <w:spacing w:lineRule="auto" w:line="276"/>
        <w:ind w:firstLine="422" w:firstLineChars="200"/>
        <w:rPr>
          <w:rFonts w:cs="Times New Roman" w:hint="eastAsia"/>
          <w:b/>
          <w:bCs/>
        </w:rPr>
      </w:pPr>
      <w:r>
        <w:rPr>
          <w:rFonts w:cs="Times New Roman" w:hint="eastAsia"/>
          <w:b/>
          <w:bCs/>
        </w:rPr>
        <w:t>（</w:t>
      </w:r>
      <w:r>
        <w:rPr>
          <w:rFonts w:cs="Times New Roman" w:hint="eastAsia"/>
          <w:b/>
          <w:bCs/>
        </w:rPr>
        <w:t>四</w:t>
      </w:r>
      <w:r>
        <w:rPr>
          <w:rFonts w:cs="Times New Roman" w:hint="eastAsia"/>
          <w:b/>
          <w:bCs/>
        </w:rPr>
        <w:t>）侵权行为致人精神损害并造成严重后果的情形</w:t>
      </w:r>
    </w:p>
    <w:p w14:paraId="11CB9939">
      <w:pPr>
        <w:pStyle w:val="style0"/>
        <w:snapToGrid w:val="false"/>
        <w:spacing w:lineRule="auto" w:line="276"/>
        <w:ind w:firstLine="420" w:firstLineChars="200"/>
        <w:rPr>
          <w:rFonts w:cs="Times New Roman" w:hint="eastAsia"/>
          <w:color w:val="auto"/>
        </w:rPr>
      </w:pPr>
      <w:r>
        <w:rPr>
          <w:rFonts w:cs="Times New Roman" w:hint="eastAsia"/>
          <w:color w:val="auto"/>
        </w:rPr>
        <w:t>无罪或者终止追究刑事责任的人被羁押</w:t>
      </w:r>
      <w:r>
        <w:rPr>
          <w:rFonts w:cs="Times New Roman" w:hint="eastAsia"/>
          <w:color w:val="ff0000"/>
        </w:rPr>
        <w:t>6个月以上</w:t>
      </w:r>
      <w:r>
        <w:rPr>
          <w:rFonts w:cs="Times New Roman" w:hint="eastAsia"/>
          <w:color w:val="auto"/>
        </w:rPr>
        <w:t>。</w:t>
      </w:r>
    </w:p>
    <w:p w14:paraId="7A272303">
      <w:pPr>
        <w:pStyle w:val="style0"/>
        <w:snapToGrid w:val="false"/>
        <w:spacing w:lineRule="auto" w:line="276"/>
        <w:ind w:firstLine="422" w:firstLineChars="200"/>
        <w:rPr>
          <w:rFonts w:cs="Times New Roman" w:hint="eastAsia"/>
          <w:b/>
          <w:bCs/>
        </w:rPr>
      </w:pPr>
      <w:r>
        <w:rPr>
          <w:rFonts w:cs="Times New Roman" w:hint="eastAsia"/>
          <w:b/>
          <w:bCs/>
        </w:rPr>
        <w:t>（</w:t>
      </w:r>
      <w:r>
        <w:rPr>
          <w:rFonts w:cs="Times New Roman" w:hint="eastAsia"/>
          <w:b/>
          <w:bCs/>
        </w:rPr>
        <w:t>五</w:t>
      </w:r>
      <w:r>
        <w:rPr>
          <w:rFonts w:cs="Times New Roman" w:hint="eastAsia"/>
          <w:b/>
          <w:bCs/>
        </w:rPr>
        <w:t>）侵权行为致人精神损害并造成特别严重后果的情形</w:t>
      </w:r>
    </w:p>
    <w:p w14:paraId="01631F4C">
      <w:pPr>
        <w:pStyle w:val="style0"/>
        <w:snapToGrid w:val="false"/>
        <w:spacing w:lineRule="auto" w:line="276"/>
        <w:ind w:firstLine="420" w:firstLineChars="200"/>
        <w:rPr>
          <w:rFonts w:cs="Times New Roman" w:hint="eastAsia"/>
          <w:color w:val="auto"/>
        </w:rPr>
      </w:pPr>
      <w:r>
        <w:rPr>
          <w:rFonts w:cs="Times New Roman" w:hint="eastAsia"/>
          <w:color w:val="auto"/>
        </w:rPr>
        <w:t>（1）受害人无罪被羁押</w:t>
      </w:r>
      <w:r>
        <w:rPr>
          <w:rFonts w:cs="Times New Roman" w:hint="eastAsia"/>
          <w:color w:val="ff0000"/>
        </w:rPr>
        <w:t>10年以上</w:t>
      </w:r>
      <w:r>
        <w:rPr>
          <w:rFonts w:cs="Times New Roman" w:hint="eastAsia"/>
          <w:color w:val="auto"/>
        </w:rPr>
        <w:t>。（2）受害人死亡。（3）受害人经鉴定为重伤或者残疾一至四级，且生活不能自理。（4）受害人经诊断、鉴定为严重精神障碍或者精神残疾一至二级，生活不能自理，且与侵权行为存在关联的，可以认定为后果特别严重。</w:t>
      </w:r>
    </w:p>
    <w:p w14:paraId="52B4501E">
      <w:pPr>
        <w:pStyle w:val="style0"/>
        <w:snapToGrid w:val="false"/>
        <w:spacing w:lineRule="auto" w:line="276"/>
        <w:ind w:firstLine="422" w:firstLineChars="200"/>
        <w:rPr>
          <w:rFonts w:cs="Times New Roman" w:hint="eastAsia"/>
          <w:b/>
          <w:bCs/>
        </w:rPr>
      </w:pPr>
      <w:r>
        <w:rPr>
          <w:rFonts w:cs="Times New Roman" w:hint="eastAsia"/>
          <w:b/>
          <w:bCs/>
        </w:rPr>
        <w:t>（</w:t>
      </w:r>
      <w:r>
        <w:rPr>
          <w:rFonts w:cs="Times New Roman" w:hint="eastAsia"/>
          <w:b/>
          <w:bCs/>
        </w:rPr>
        <w:t>六</w:t>
      </w:r>
      <w:r>
        <w:rPr>
          <w:rFonts w:cs="Times New Roman" w:hint="eastAsia"/>
          <w:b/>
          <w:bCs/>
        </w:rPr>
        <w:t>）精神损害抚慰金的计算</w:t>
      </w:r>
    </w:p>
    <w:p w14:paraId="6A7280DD">
      <w:pPr>
        <w:pStyle w:val="style0"/>
        <w:snapToGrid w:val="false"/>
        <w:spacing w:lineRule="auto" w:line="276"/>
        <w:ind w:firstLine="420" w:firstLineChars="200"/>
        <w:rPr>
          <w:rFonts w:cs="Times New Roman" w:hint="eastAsia"/>
          <w:color w:val="auto"/>
        </w:rPr>
      </w:pPr>
      <w:r>
        <w:rPr>
          <w:rFonts w:cs="Times New Roman" w:hint="eastAsia"/>
          <w:color w:val="auto"/>
        </w:rPr>
        <w:t>致人精神损害，造成严重后果的，精神损害抚慰金一般应当在人身自由赔偿金、生命健康赔偿金总额的50%以下（包括本数）酌定；后果特别严重，可以在50%以上酌定。</w:t>
      </w:r>
    </w:p>
    <w:p w14:paraId="2B6D7C05">
      <w:pPr>
        <w:pStyle w:val="style0"/>
        <w:snapToGrid w:val="false"/>
        <w:spacing w:lineRule="auto" w:line="276"/>
        <w:ind w:firstLine="420" w:firstLineChars="200"/>
        <w:rPr>
          <w:rFonts w:cs="Times New Roman" w:hint="eastAsia"/>
          <w:color w:val="auto"/>
        </w:rPr>
      </w:pPr>
      <w:r>
        <w:rPr>
          <w:rFonts w:cs="Times New Roman" w:hint="eastAsia"/>
          <w:color w:val="auto"/>
        </w:rPr>
        <w:t>精神损害抚慰金的数额一般不少于1000元；数额在1000元以上的，以千为计数单位。</w:t>
      </w:r>
    </w:p>
    <w:bookmarkEnd w:id="28"/>
    <w:p w14:paraId="6F1453B9">
      <w:pPr>
        <w:pStyle w:val="style0"/>
        <w:snapToGrid w:val="false"/>
        <w:spacing w:lineRule="auto" w:line="276"/>
        <w:ind w:firstLine="420" w:firstLineChars="200"/>
        <w:rPr>
          <w:rFonts w:hint="eastAsia"/>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汉仪中黑简">
    <w:altName w:val="微软雅黑"/>
    <w:panose1 w:val="00000000000000000000"/>
    <w:charset w:val="86"/>
    <w:family w:val="modern"/>
    <w:pitch w:val="fixed"/>
    <w:sig w:usb0="00000001" w:usb1="080E0800" w:usb2="00000012" w:usb3="00000000" w:csb0="00040000" w:csb1="00000000"/>
  </w:font>
  <w:font w:name="方正书宋_GBK">
    <w:altName w:val="微软雅黑"/>
    <w:panose1 w:val="00000000000000000000"/>
    <w:charset w:val="86"/>
    <w:family w:val="script"/>
    <w:pitch w:val="default"/>
    <w:sig w:usb0="00000000" w:usb1="00000000" w:usb2="00082016" w:usb3="00000000" w:csb0="00040001" w:csb1="00000000"/>
  </w:font>
  <w:font w:name="Batang">
    <w:altName w:val="바탕"/>
    <w:panose1 w:val="02030600000001010101"/>
    <w:charset w:val="81"/>
    <w:family w:val="roman"/>
    <w:pitch w:val="variable"/>
    <w:sig w:usb0="B00002AF" w:usb1="69D77CFB" w:usb2="00000030" w:usb3="00000000" w:csb0="0008009F" w:csb1="00000000"/>
  </w:font>
  <w:font w:name="黑体">
    <w:altName w:val="SimHei"/>
    <w:panose1 w:val="02010609060001010101"/>
    <w:charset w:val="86"/>
    <w:family w:val="modern"/>
    <w:pitch w:val="fixed"/>
    <w:sig w:usb0="800002BF" w:usb1="38CF7CFA" w:usb2="00000016" w:usb3="00000000" w:csb0="00040001" w:csb1="00000000"/>
  </w:font>
  <w:font w:name="MingLiU">
    <w:altName w:val="細明體"/>
    <w:panose1 w:val="02010609000001010101"/>
    <w:charset w:val="88"/>
    <w:family w:val="modern"/>
    <w:pitch w:val="fixed"/>
    <w:sig w:usb0="A00002FF" w:usb1="28CFFCFA" w:usb2="00000016" w:usb3="00000000" w:csb0="00100001" w:csb1="00000000"/>
  </w:font>
  <w:font w:name="仿宋">
    <w:altName w:val="仿宋"/>
    <w:panose1 w:val="02010609060001010101"/>
    <w:charset w:val="86"/>
    <w:family w:val="modern"/>
    <w:pitch w:val="fixed"/>
    <w:sig w:usb0="800002BF" w:usb1="38CF7CFA" w:usb2="00000016" w:usb3="00000000" w:csb0="00040001" w:csb1="00000000"/>
  </w:font>
  <w:font w:name="华康娃娃体W5">
    <w:altName w:val="微软雅黑"/>
    <w:panose1 w:val="00000000000000000000"/>
    <w:charset w:val="86"/>
    <w:family w:val="decorative"/>
    <w:pitch w:val="fixed"/>
    <w:sig w:usb0="00000001" w:usb1="080F0000" w:usb2="00000012" w:usb3="00000000" w:csb0="00040000" w:csb1="00000000"/>
  </w:font>
  <w:font w:name="汉仪书宋二简">
    <w:altName w:val="宋体"/>
    <w:panose1 w:val="00000000000000000000"/>
    <w:charset w:val="86"/>
    <w:family w:val="modern"/>
    <w:pitch w:val="fixed"/>
    <w:sig w:usb0="00000001" w:usb1="080E0800" w:usb2="00000012" w:usb3="00000000" w:csb0="00040000" w:csb1="00000000"/>
  </w:font>
  <w:font w:name="楷体">
    <w:altName w:val="楷体"/>
    <w:panose1 w:val="02010609060001010101"/>
    <w:charset w:val="86"/>
    <w:family w:val="modern"/>
    <w:pitch w:val="fixed"/>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8990B9D">
    <w:pPr>
      <w:pStyle w:val="style3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70960B0"/>
    <w:lvl w:ilvl="0">
      <w:start w:val="1"/>
      <w:numFmt w:val="upperLetter"/>
      <w:suff w:val="space"/>
      <w:lvlText w:val="%1."/>
      <w:lvlJc w:val="left"/>
      <w:pPr/>
    </w:lvl>
  </w:abstractNum>
  <w:abstractNum w:abstractNumId="1">
    <w:nsid w:val="00000001"/>
    <w:multiLevelType w:val="singleLevel"/>
    <w:tmpl w:val="C1A8C03F"/>
    <w:lvl w:ilvl="0">
      <w:start w:val="1"/>
      <w:numFmt w:val="upperLetter"/>
      <w:suff w:val="space"/>
      <w:lvlText w:val="%1."/>
      <w:lvlJc w:val="left"/>
      <w:pPr/>
    </w:lvl>
  </w:abstractNum>
  <w:abstractNum w:abstractNumId="2">
    <w:nsid w:val="00000002"/>
    <w:multiLevelType w:val="singleLevel"/>
    <w:tmpl w:val="C415EFAD"/>
    <w:lvl w:ilvl="0">
      <w:start w:val="1"/>
      <w:numFmt w:val="upperLetter"/>
      <w:suff w:val="space"/>
      <w:lvlText w:val="%1."/>
      <w:lvlJc w:val="left"/>
      <w:pPr/>
    </w:lvl>
  </w:abstractNum>
  <w:abstractNum w:abstractNumId="3">
    <w:nsid w:val="00000003"/>
    <w:multiLevelType w:val="singleLevel"/>
    <w:tmpl w:val="CC2567DC"/>
    <w:lvl w:ilvl="0">
      <w:start w:val="1"/>
      <w:numFmt w:val="upperLetter"/>
      <w:suff w:val="space"/>
      <w:lvlText w:val="%1."/>
      <w:lvlJc w:val="left"/>
      <w:pPr/>
    </w:lvl>
  </w:abstractNum>
  <w:abstractNum w:abstractNumId="4">
    <w:nsid w:val="00000004"/>
    <w:multiLevelType w:val="singleLevel"/>
    <w:tmpl w:val="DD4D2897"/>
    <w:lvl w:ilvl="0">
      <w:start w:val="1"/>
      <w:numFmt w:val="upperLetter"/>
      <w:suff w:val="space"/>
      <w:lvlText w:val="%1."/>
      <w:lvlJc w:val="left"/>
      <w:pPr/>
    </w:lvl>
  </w:abstractNum>
  <w:abstractNum w:abstractNumId="5">
    <w:nsid w:val="00000005"/>
    <w:multiLevelType w:val="singleLevel"/>
    <w:tmpl w:val="DFF65047"/>
    <w:lvl w:ilvl="0">
      <w:start w:val="1"/>
      <w:numFmt w:val="upperLetter"/>
      <w:suff w:val="space"/>
      <w:lvlText w:val="%1."/>
      <w:lvlJc w:val="left"/>
      <w:pPr/>
    </w:lvl>
  </w:abstractNum>
  <w:abstractNum w:abstractNumId="6">
    <w:nsid w:val="00000006"/>
    <w:multiLevelType w:val="singleLevel"/>
    <w:tmpl w:val="EB3BA40F"/>
    <w:lvl w:ilvl="0">
      <w:start w:val="1"/>
      <w:numFmt w:val="upperLetter"/>
      <w:suff w:val="space"/>
      <w:lvlText w:val="%1."/>
      <w:lvlJc w:val="left"/>
      <w:pPr/>
    </w:lvl>
  </w:abstractNum>
  <w:abstractNum w:abstractNumId="7">
    <w:nsid w:val="00000007"/>
    <w:multiLevelType w:val="singleLevel"/>
    <w:tmpl w:val="FF3BCB59"/>
    <w:lvl w:ilvl="0">
      <w:start w:val="2"/>
      <w:numFmt w:val="decimal"/>
      <w:lvlText w:val="%1."/>
      <w:lvlJc w:val="left"/>
      <w:pPr>
        <w:tabs>
          <w:tab w:val="left" w:leader="none" w:pos="312"/>
        </w:tabs>
      </w:pPr>
      <w:rPr>
        <w:rFonts w:hint="default"/>
        <w:b/>
        <w:bCs/>
      </w:rPr>
    </w:lvl>
  </w:abstractNum>
  <w:abstractNum w:abstractNumId="8">
    <w:nsid w:val="00000008"/>
    <w:multiLevelType w:val="multilevel"/>
    <w:tmpl w:val="19E63E25"/>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9">
    <w:nsid w:val="00000009"/>
    <w:multiLevelType w:val="singleLevel"/>
    <w:tmpl w:val="1B365EAA"/>
    <w:lvl w:ilvl="0">
      <w:start w:val="3"/>
      <w:numFmt w:val="chineseCounting"/>
      <w:suff w:val="space"/>
      <w:lvlText w:val="第%1节"/>
      <w:lvlJc w:val="left"/>
      <w:pPr/>
      <w:rPr>
        <w:rFonts w:hint="eastAsia"/>
      </w:rPr>
    </w:lvl>
  </w:abstractNum>
  <w:abstractNum w:abstractNumId="10">
    <w:nsid w:val="0000000A"/>
    <w:multiLevelType w:val="singleLevel"/>
    <w:tmpl w:val="1C56BC46"/>
    <w:lvl w:ilvl="0">
      <w:start w:val="1"/>
      <w:numFmt w:val="upperLetter"/>
      <w:suff w:val="space"/>
      <w:lvlText w:val="%1."/>
      <w:lvlJc w:val="left"/>
      <w:pPr/>
    </w:lvl>
  </w:abstractNum>
  <w:abstractNum w:abstractNumId="11">
    <w:nsid w:val="0000000B"/>
    <w:multiLevelType w:val="singleLevel"/>
    <w:tmpl w:val="3367797B"/>
    <w:lvl w:ilvl="0">
      <w:start w:val="1"/>
      <w:numFmt w:val="upperLetter"/>
      <w:suff w:val="space"/>
      <w:lvlText w:val="%1."/>
      <w:lvlJc w:val="left"/>
      <w:pPr/>
    </w:lvl>
  </w:abstractNum>
  <w:abstractNum w:abstractNumId="12">
    <w:nsid w:val="0000000C"/>
    <w:multiLevelType w:val="hybridMultilevel"/>
    <w:tmpl w:val="C0FE7A36"/>
    <w:lvl w:ilvl="0" w:tplc="02E43990">
      <w:start w:val="1"/>
      <w:numFmt w:val="japaneseCounting"/>
      <w:lvlText w:val="%1、"/>
      <w:lvlJc w:val="left"/>
      <w:pPr>
        <w:ind w:left="440" w:hanging="44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0000000D"/>
    <w:multiLevelType w:val="multilevel"/>
    <w:tmpl w:val="64235743"/>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14">
    <w:nsid w:val="0000000E"/>
    <w:multiLevelType w:val="singleLevel"/>
    <w:tmpl w:val="7E762310"/>
    <w:lvl w:ilvl="0">
      <w:start w:val="1"/>
      <w:numFmt w:val="upperLetter"/>
      <w:suff w:val="space"/>
      <w:lvlText w:val="%1."/>
      <w:lvlJc w:val="left"/>
      <w:pPr/>
    </w:lvl>
  </w:abstractNum>
  <w:abstractNum w:abstractNumId="15">
    <w:nsid w:val="0000000F"/>
    <w:multiLevelType w:val="singleLevel"/>
    <w:tmpl w:val="7EDD5F0A"/>
    <w:lvl w:ilvl="0">
      <w:start w:val="1"/>
      <w:numFmt w:val="upperLetter"/>
      <w:suff w:val="space"/>
      <w:lvlText w:val="%1."/>
      <w:lvlJc w:val="left"/>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0"/>
  </w:num>
  <w:num w:numId="5">
    <w:abstractNumId w:val="14"/>
  </w:num>
  <w:num w:numId="6">
    <w:abstractNumId w:val="1"/>
  </w:num>
  <w:num w:numId="7">
    <w:abstractNumId w:val="4"/>
  </w:num>
  <w:num w:numId="8">
    <w:abstractNumId w:val="5"/>
  </w:num>
  <w:num w:numId="9">
    <w:abstractNumId w:val="11"/>
  </w:num>
  <w:num w:numId="10">
    <w:abstractNumId w:val="3"/>
  </w:num>
  <w:num w:numId="11">
    <w:abstractNumId w:val="2"/>
  </w:num>
  <w:num w:numId="12">
    <w:abstractNumId w:val="8"/>
  </w:num>
  <w:num w:numId="13">
    <w:abstractNumId w:val="13"/>
  </w:num>
  <w:num w:numId="14">
    <w:abstractNumId w:val="0"/>
  </w:num>
  <w:num w:numId="15">
    <w:abstractNumId w:val="12"/>
  </w:num>
  <w:num w:numId="16">
    <w:abstractNumId w:val="7"/>
  </w:num>
  <w:num w:numId="17">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uiPriority w:val="9"/>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uiPriority w:val="9"/>
    <w:pPr>
      <w:keepNext/>
      <w:keepLines/>
      <w:spacing w:before="260" w:after="260" w:lineRule="auto" w:line="416"/>
      <w:outlineLvl w:val="1"/>
    </w:pPr>
    <w:rPr>
      <w:rFonts w:ascii="等线 Light" w:cs="宋体" w:eastAsia="等线 Light" w:hAnsi="等线 Light"/>
      <w:b/>
      <w:bCs/>
      <w:sz w:val="32"/>
      <w:szCs w:val="32"/>
    </w:rPr>
  </w:style>
  <w:style w:type="paragraph" w:styleId="style3">
    <w:name w:val="heading 3"/>
    <w:basedOn w:val="style0"/>
    <w:next w:val="style0"/>
    <w:link w:val="style4108"/>
    <w:qFormat/>
    <w:uiPriority w:val="9"/>
    <w:pPr>
      <w:keepNext/>
      <w:keepLines/>
      <w:spacing w:before="260" w:after="260" w:lineRule="auto" w:line="416"/>
      <w:outlineLvl w:val="2"/>
    </w:pPr>
    <w:rPr>
      <w:b/>
      <w:bCs/>
      <w:sz w:val="32"/>
      <w:szCs w:val="32"/>
    </w:rPr>
  </w:style>
  <w:style w:type="paragraph" w:styleId="style4">
    <w:name w:val="heading 4"/>
    <w:basedOn w:val="style0"/>
    <w:next w:val="style0"/>
    <w:link w:val="style4109"/>
    <w:qFormat/>
    <w:uiPriority w:val="9"/>
    <w:pPr>
      <w:keepNext/>
      <w:keepLines/>
      <w:spacing w:before="280" w:after="290" w:lineRule="auto" w:line="376"/>
      <w:outlineLvl w:val="3"/>
    </w:pPr>
    <w:rPr>
      <w:rFonts w:ascii="等线 Light" w:cs="宋体" w:eastAsia="等线 Light" w:hAnsi="等线 Light"/>
      <w:b/>
      <w:bCs/>
      <w:sz w:val="28"/>
      <w:szCs w:val="28"/>
    </w:rPr>
  </w:style>
  <w:style w:type="paragraph" w:styleId="style5">
    <w:name w:val="heading 5"/>
    <w:basedOn w:val="style0"/>
    <w:next w:val="style0"/>
    <w:link w:val="style4110"/>
    <w:qFormat/>
    <w:uiPriority w:val="9"/>
    <w:pPr>
      <w:keepNext/>
      <w:keepLines/>
      <w:spacing w:before="280" w:after="290" w:lineRule="auto" w:line="376"/>
      <w:outlineLvl w:val="4"/>
    </w:pPr>
    <w:rPr>
      <w:rFonts w:ascii="等线" w:cs="Times New Roman" w:eastAsia="等线" w:hAnsi="等线"/>
      <w:b/>
      <w:bCs/>
      <w:color w:val="auto"/>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宋体" w:cs="宋体" w:eastAsia="宋体" w:hAnsi="宋体"/>
      <w:b/>
      <w:bCs/>
      <w:color w:val="000000"/>
      <w:kern w:val="44"/>
      <w:sz w:val="44"/>
      <w:szCs w:val="44"/>
    </w:rPr>
  </w:style>
  <w:style w:type="table" w:styleId="style154">
    <w:name w:val="Table Grid"/>
    <w:basedOn w:val="style105"/>
    <w:next w:val="style154"/>
    <w:qFormat/>
    <w:uiPriority w:val="39"/>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uiPriority w:val="99"/>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paragraph" w:styleId="style179">
    <w:name w:val="List Paragraph"/>
    <w:basedOn w:val="style0"/>
    <w:next w:val="style179"/>
    <w:qFormat/>
    <w:uiPriority w:val="34"/>
    <w:pPr>
      <w:ind w:firstLine="420" w:firstLineChars="200"/>
    </w:pPr>
    <w:rPr/>
  </w:style>
  <w:style w:type="character" w:customStyle="1" w:styleId="style4100">
    <w:name w:val="标题 2 字符"/>
    <w:basedOn w:val="style65"/>
    <w:next w:val="style4100"/>
    <w:link w:val="style2"/>
    <w:qFormat/>
    <w:uiPriority w:val="9"/>
    <w:rPr>
      <w:rFonts w:ascii="等线 Light" w:cs="宋体" w:eastAsia="等线 Light" w:hAnsi="等线 Light"/>
      <w:b/>
      <w:bCs/>
      <w:color w:val="000000"/>
      <w:sz w:val="32"/>
      <w:szCs w:val="32"/>
    </w:rPr>
  </w:style>
  <w:style w:type="paragraph" w:styleId="style90">
    <w:name w:val="Plain Text"/>
    <w:basedOn w:val="style0"/>
    <w:next w:val="style90"/>
    <w:link w:val="style4101"/>
    <w:qFormat/>
    <w:pPr/>
    <w:rPr>
      <w:rFonts w:cs="Courier New" w:hAnsi="Courier New"/>
      <w:kern w:val="0"/>
      <w:sz w:val="20"/>
    </w:rPr>
  </w:style>
  <w:style w:type="character" w:customStyle="1" w:styleId="style4101">
    <w:name w:val="纯文本 字符"/>
    <w:basedOn w:val="style65"/>
    <w:next w:val="style4101"/>
    <w:link w:val="style90"/>
    <w:qFormat/>
    <w:rPr>
      <w:rFonts w:ascii="宋体" w:cs="Courier New" w:eastAsia="宋体" w:hAnsi="Courier New"/>
      <w:color w:val="000000"/>
      <w:kern w:val="0"/>
      <w:sz w:val="20"/>
      <w:szCs w:val="21"/>
    </w:rPr>
  </w:style>
  <w:style w:type="paragraph" w:styleId="style25">
    <w:name w:val="toc 7"/>
    <w:basedOn w:val="style0"/>
    <w:next w:val="style0"/>
    <w:qFormat/>
    <w:uiPriority w:val="39"/>
    <w:pPr>
      <w:ind w:left="1260"/>
    </w:pPr>
    <w:rPr/>
  </w:style>
  <w:style w:type="paragraph" w:styleId="style89">
    <w:name w:val="Document Map"/>
    <w:basedOn w:val="style0"/>
    <w:next w:val="style89"/>
    <w:link w:val="style4102"/>
    <w:qFormat/>
    <w:uiPriority w:val="99"/>
    <w:pPr/>
    <w:rPr>
      <w:sz w:val="24"/>
      <w:szCs w:val="24"/>
    </w:rPr>
  </w:style>
  <w:style w:type="character" w:customStyle="1" w:styleId="style4102">
    <w:name w:val="文档结构图 字符"/>
    <w:basedOn w:val="style65"/>
    <w:next w:val="style4102"/>
    <w:link w:val="style89"/>
    <w:qFormat/>
    <w:uiPriority w:val="99"/>
    <w:rPr>
      <w:rFonts w:ascii="宋体" w:cs="宋体" w:eastAsia="宋体" w:hAnsi="宋体"/>
      <w:color w:val="000000"/>
      <w:sz w:val="24"/>
      <w:szCs w:val="24"/>
    </w:rPr>
  </w:style>
  <w:style w:type="paragraph" w:styleId="style30">
    <w:name w:val="annotation text"/>
    <w:basedOn w:val="style0"/>
    <w:next w:val="style30"/>
    <w:link w:val="style4103"/>
    <w:qFormat/>
    <w:uiPriority w:val="99"/>
    <w:pPr>
      <w:jc w:val="left"/>
    </w:pPr>
    <w:rPr/>
  </w:style>
  <w:style w:type="character" w:customStyle="1" w:styleId="style4103">
    <w:name w:val="批注文字 字符"/>
    <w:basedOn w:val="style65"/>
    <w:next w:val="style4103"/>
    <w:link w:val="style30"/>
    <w:qFormat/>
    <w:uiPriority w:val="99"/>
    <w:rPr>
      <w:rFonts w:ascii="宋体" w:cs="宋体" w:eastAsia="宋体" w:hAnsi="宋体"/>
      <w:color w:val="000000"/>
      <w:szCs w:val="21"/>
    </w:rPr>
  </w:style>
  <w:style w:type="paragraph" w:styleId="style23">
    <w:name w:val="toc 5"/>
    <w:basedOn w:val="style0"/>
    <w:next w:val="style0"/>
    <w:qFormat/>
    <w:uiPriority w:val="39"/>
    <w:pPr>
      <w:ind w:left="840"/>
    </w:pPr>
    <w:rPr/>
  </w:style>
  <w:style w:type="paragraph" w:styleId="style21">
    <w:name w:val="toc 3"/>
    <w:basedOn w:val="style0"/>
    <w:next w:val="style0"/>
    <w:qFormat/>
    <w:uiPriority w:val="39"/>
    <w:pPr>
      <w:ind w:left="420"/>
    </w:pPr>
    <w:rPr/>
  </w:style>
  <w:style w:type="paragraph" w:styleId="style26">
    <w:name w:val="toc 8"/>
    <w:basedOn w:val="style0"/>
    <w:next w:val="style0"/>
    <w:qFormat/>
    <w:uiPriority w:val="39"/>
    <w:pPr>
      <w:ind w:left="1470"/>
    </w:pPr>
    <w:rPr/>
  </w:style>
  <w:style w:type="paragraph" w:styleId="style153">
    <w:name w:val="Balloon Text"/>
    <w:basedOn w:val="style0"/>
    <w:next w:val="style153"/>
    <w:link w:val="style4104"/>
    <w:qFormat/>
    <w:uiPriority w:val="99"/>
    <w:pPr/>
    <w:rPr>
      <w:sz w:val="18"/>
      <w:szCs w:val="18"/>
    </w:rPr>
  </w:style>
  <w:style w:type="character" w:customStyle="1" w:styleId="style4104">
    <w:name w:val="批注框文本 字符"/>
    <w:basedOn w:val="style65"/>
    <w:next w:val="style4104"/>
    <w:link w:val="style153"/>
    <w:qFormat/>
    <w:uiPriority w:val="99"/>
    <w:rPr>
      <w:rFonts w:ascii="宋体" w:cs="宋体" w:eastAsia="宋体" w:hAnsi="宋体"/>
      <w:color w:val="000000"/>
      <w:sz w:val="18"/>
      <w:szCs w:val="18"/>
    </w:rPr>
  </w:style>
  <w:style w:type="paragraph" w:styleId="style19">
    <w:name w:val="toc 1"/>
    <w:basedOn w:val="style0"/>
    <w:next w:val="style0"/>
    <w:qFormat/>
    <w:uiPriority w:val="39"/>
    <w:pPr/>
  </w:style>
  <w:style w:type="paragraph" w:styleId="style22">
    <w:name w:val="toc 4"/>
    <w:basedOn w:val="style0"/>
    <w:next w:val="style0"/>
    <w:qFormat/>
    <w:uiPriority w:val="39"/>
    <w:pPr>
      <w:ind w:left="630"/>
    </w:pPr>
    <w:rPr/>
  </w:style>
  <w:style w:type="paragraph" w:styleId="style24">
    <w:name w:val="toc 6"/>
    <w:basedOn w:val="style0"/>
    <w:next w:val="style0"/>
    <w:qFormat/>
    <w:uiPriority w:val="39"/>
    <w:pPr>
      <w:ind w:left="1050"/>
    </w:pPr>
    <w:rPr/>
  </w:style>
  <w:style w:type="paragraph" w:styleId="style20">
    <w:name w:val="toc 2"/>
    <w:basedOn w:val="style0"/>
    <w:next w:val="style0"/>
    <w:qFormat/>
    <w:uiPriority w:val="39"/>
    <w:pPr>
      <w:ind w:left="210"/>
    </w:pPr>
    <w:rPr/>
  </w:style>
  <w:style w:type="paragraph" w:styleId="style27">
    <w:name w:val="toc 9"/>
    <w:basedOn w:val="style0"/>
    <w:next w:val="style0"/>
    <w:qFormat/>
    <w:uiPriority w:val="39"/>
    <w:pPr>
      <w:ind w:left="1680"/>
    </w:pPr>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62">
    <w:name w:val="Title"/>
    <w:basedOn w:val="style0"/>
    <w:next w:val="style0"/>
    <w:link w:val="style4105"/>
    <w:qFormat/>
    <w:uiPriority w:val="10"/>
    <w:pPr>
      <w:spacing w:before="240" w:after="60"/>
      <w:jc w:val="center"/>
      <w:outlineLvl w:val="0"/>
    </w:pPr>
    <w:rPr>
      <w:rFonts w:ascii="等线 Light" w:cs="宋体" w:eastAsia="等线 Light" w:hAnsi="等线 Light"/>
      <w:b/>
      <w:bCs/>
      <w:sz w:val="32"/>
      <w:szCs w:val="32"/>
    </w:rPr>
  </w:style>
  <w:style w:type="character" w:customStyle="1" w:styleId="style4105">
    <w:name w:val="标题 字符"/>
    <w:basedOn w:val="style65"/>
    <w:next w:val="style4105"/>
    <w:link w:val="style62"/>
    <w:qFormat/>
    <w:uiPriority w:val="10"/>
    <w:rPr>
      <w:rFonts w:ascii="等线 Light" w:cs="宋体" w:eastAsia="等线 Light" w:hAnsi="等线 Light"/>
      <w:b/>
      <w:bCs/>
      <w:color w:val="000000"/>
      <w:sz w:val="32"/>
      <w:szCs w:val="32"/>
    </w:rPr>
  </w:style>
  <w:style w:type="paragraph" w:styleId="style106">
    <w:name w:val="annotation subject"/>
    <w:basedOn w:val="style30"/>
    <w:next w:val="style30"/>
    <w:link w:val="style4106"/>
    <w:qFormat/>
    <w:uiPriority w:val="99"/>
    <w:pPr/>
    <w:rPr>
      <w:b/>
      <w:bCs/>
    </w:rPr>
  </w:style>
  <w:style w:type="character" w:customStyle="1" w:styleId="style4106">
    <w:name w:val="批注主题 字符"/>
    <w:basedOn w:val="style4103"/>
    <w:next w:val="style4106"/>
    <w:link w:val="style106"/>
    <w:qFormat/>
    <w:uiPriority w:val="99"/>
    <w:rPr>
      <w:rFonts w:ascii="宋体" w:cs="宋体" w:eastAsia="宋体" w:hAnsi="宋体"/>
      <w:b/>
      <w:bCs/>
      <w:color w:val="000000"/>
      <w:szCs w:val="21"/>
    </w:rPr>
  </w:style>
  <w:style w:type="character" w:styleId="style41">
    <w:name w:val="page number"/>
    <w:basedOn w:val="style65"/>
    <w:next w:val="style41"/>
    <w:qFormat/>
    <w:uiPriority w:val="99"/>
  </w:style>
  <w:style w:type="character" w:styleId="style85">
    <w:name w:val="Hyperlink"/>
    <w:basedOn w:val="style65"/>
    <w:next w:val="style85"/>
    <w:qFormat/>
    <w:uiPriority w:val="99"/>
    <w:rPr>
      <w:color w:val="0563c1"/>
      <w:u w:val="single"/>
    </w:rPr>
  </w:style>
  <w:style w:type="character" w:styleId="style39">
    <w:name w:val="annotation reference"/>
    <w:basedOn w:val="style65"/>
    <w:next w:val="style39"/>
    <w:qFormat/>
    <w:uiPriority w:val="99"/>
    <w:rPr>
      <w:sz w:val="21"/>
      <w:szCs w:val="21"/>
    </w:rPr>
  </w:style>
  <w:style w:type="table" w:customStyle="1" w:styleId="style4107">
    <w:name w:val="网格型1"/>
    <w:basedOn w:val="style105"/>
    <w:next w:val="style4107"/>
    <w:qForma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8">
    <w:name w:val="标题 3 字符"/>
    <w:basedOn w:val="style65"/>
    <w:next w:val="style4108"/>
    <w:link w:val="style3"/>
    <w:qFormat/>
    <w:uiPriority w:val="9"/>
    <w:rPr>
      <w:rFonts w:ascii="宋体" w:cs="宋体" w:eastAsia="宋体" w:hAnsi="宋体"/>
      <w:b/>
      <w:bCs/>
      <w:color w:val="000000"/>
      <w:sz w:val="32"/>
      <w:szCs w:val="32"/>
    </w:rPr>
  </w:style>
  <w:style w:type="character" w:customStyle="1" w:styleId="style4109">
    <w:name w:val="标题 4 字符"/>
    <w:basedOn w:val="style65"/>
    <w:next w:val="style4109"/>
    <w:link w:val="style4"/>
    <w:qFormat/>
    <w:uiPriority w:val="9"/>
    <w:rPr>
      <w:rFonts w:ascii="等线 Light" w:cs="宋体" w:eastAsia="等线 Light" w:hAnsi="等线 Light"/>
      <w:b/>
      <w:bCs/>
      <w:color w:val="000000"/>
      <w:sz w:val="28"/>
      <w:szCs w:val="28"/>
    </w:rPr>
  </w:style>
  <w:style w:type="character" w:customStyle="1" w:styleId="style4110">
    <w:name w:val="标题 5 字符"/>
    <w:basedOn w:val="style65"/>
    <w:next w:val="style4110"/>
    <w:link w:val="style5"/>
    <w:uiPriority w:val="9"/>
    <w:rPr>
      <w:rFonts w:ascii="等线" w:cs="Times New Roman" w:eastAsia="等线" w:hAnsi="等线"/>
      <w:b/>
      <w:bCs/>
      <w:sz w:val="28"/>
      <w:szCs w:val="28"/>
    </w:rPr>
  </w:style>
  <w:style w:type="numbering" w:customStyle="1" w:styleId="style4111">
    <w:name w:val="无列表1"/>
    <w:next w:val="style107"/>
    <w:uiPriority w:val="99"/>
    <w:pPr/>
  </w:style>
  <w:style w:type="paragraph" w:styleId="style17">
    <w:name w:val="index 8"/>
    <w:basedOn w:val="style0"/>
    <w:next w:val="style0"/>
    <w:qFormat/>
    <w:uiPriority w:val="99"/>
    <w:pPr>
      <w:ind w:left="1680" w:hanging="210"/>
    </w:pPr>
    <w:rPr>
      <w:rFonts w:ascii="等线" w:cs="Times New Roman" w:eastAsia="等线" w:hAnsi="等线"/>
      <w:color w:val="auto"/>
      <w:szCs w:val="22"/>
    </w:rPr>
  </w:style>
  <w:style w:type="paragraph" w:styleId="style14">
    <w:name w:val="index 5"/>
    <w:basedOn w:val="style0"/>
    <w:next w:val="style0"/>
    <w:qFormat/>
    <w:uiPriority w:val="99"/>
    <w:pPr>
      <w:ind w:left="1050" w:hanging="210"/>
    </w:pPr>
    <w:rPr>
      <w:rFonts w:ascii="等线" w:cs="Times New Roman" w:eastAsia="等线" w:hAnsi="等线"/>
      <w:color w:val="auto"/>
      <w:szCs w:val="22"/>
    </w:rPr>
  </w:style>
  <w:style w:type="paragraph" w:styleId="style15">
    <w:name w:val="index 6"/>
    <w:basedOn w:val="style0"/>
    <w:next w:val="style0"/>
    <w:qFormat/>
    <w:uiPriority w:val="99"/>
    <w:pPr>
      <w:ind w:left="1260" w:hanging="210"/>
    </w:pPr>
    <w:rPr>
      <w:rFonts w:ascii="等线" w:cs="Times New Roman" w:eastAsia="等线" w:hAnsi="等线"/>
      <w:color w:val="auto"/>
      <w:szCs w:val="22"/>
    </w:rPr>
  </w:style>
  <w:style w:type="paragraph" w:styleId="style13">
    <w:name w:val="index 4"/>
    <w:basedOn w:val="style0"/>
    <w:next w:val="style0"/>
    <w:qFormat/>
    <w:uiPriority w:val="99"/>
    <w:pPr>
      <w:ind w:left="840" w:hanging="210"/>
    </w:pPr>
    <w:rPr>
      <w:rFonts w:ascii="等线" w:cs="Times New Roman" w:eastAsia="等线" w:hAnsi="等线"/>
      <w:color w:val="auto"/>
      <w:szCs w:val="22"/>
    </w:rPr>
  </w:style>
  <w:style w:type="paragraph" w:styleId="style12">
    <w:name w:val="index 3"/>
    <w:basedOn w:val="style0"/>
    <w:next w:val="style0"/>
    <w:qFormat/>
    <w:uiPriority w:val="99"/>
    <w:pPr>
      <w:ind w:left="630" w:hanging="210"/>
    </w:pPr>
    <w:rPr>
      <w:rFonts w:ascii="等线" w:cs="Times New Roman" w:eastAsia="等线" w:hAnsi="等线"/>
      <w:color w:val="auto"/>
      <w:szCs w:val="22"/>
    </w:rPr>
  </w:style>
  <w:style w:type="paragraph" w:styleId="style10">
    <w:name w:val="index 1"/>
    <w:basedOn w:val="style0"/>
    <w:next w:val="style0"/>
    <w:qFormat/>
    <w:uiPriority w:val="99"/>
    <w:pPr/>
  </w:style>
  <w:style w:type="paragraph" w:styleId="style33">
    <w:name w:val="index heading"/>
    <w:basedOn w:val="style0"/>
    <w:next w:val="style10"/>
    <w:qFormat/>
    <w:uiPriority w:val="99"/>
    <w:pPr/>
    <w:rPr>
      <w:rFonts w:ascii="等线" w:cs="Times New Roman" w:eastAsia="等线" w:hAnsi="等线"/>
      <w:color w:val="auto"/>
      <w:szCs w:val="22"/>
    </w:rPr>
  </w:style>
  <w:style w:type="paragraph" w:styleId="style16">
    <w:name w:val="index 7"/>
    <w:basedOn w:val="style0"/>
    <w:next w:val="style0"/>
    <w:qFormat/>
    <w:uiPriority w:val="99"/>
    <w:pPr>
      <w:ind w:left="1470" w:hanging="210"/>
    </w:pPr>
    <w:rPr>
      <w:rFonts w:ascii="等线" w:cs="Times New Roman" w:eastAsia="等线" w:hAnsi="等线"/>
      <w:color w:val="auto"/>
      <w:szCs w:val="22"/>
    </w:rPr>
  </w:style>
  <w:style w:type="paragraph" w:styleId="style18">
    <w:name w:val="index 9"/>
    <w:basedOn w:val="style0"/>
    <w:next w:val="style0"/>
    <w:qFormat/>
    <w:uiPriority w:val="99"/>
    <w:pPr>
      <w:ind w:left="1890" w:hanging="210"/>
    </w:pPr>
    <w:rPr>
      <w:rFonts w:ascii="等线" w:cs="Times New Roman" w:eastAsia="等线" w:hAnsi="等线"/>
      <w:color w:val="auto"/>
      <w:szCs w:val="22"/>
    </w:rPr>
  </w:style>
  <w:style w:type="paragraph" w:styleId="style11">
    <w:name w:val="index 2"/>
    <w:basedOn w:val="style0"/>
    <w:next w:val="style0"/>
    <w:qFormat/>
    <w:uiPriority w:val="99"/>
    <w:pPr>
      <w:ind w:left="420" w:hanging="210"/>
    </w:pPr>
    <w:rPr>
      <w:rFonts w:ascii="等线" w:cs="Times New Roman" w:eastAsia="等线" w:hAnsi="等线"/>
      <w:color w:val="auto"/>
      <w:szCs w:val="22"/>
    </w:rPr>
  </w:style>
  <w:style w:type="table" w:customStyle="1" w:styleId="style4112">
    <w:name w:val="网格型2"/>
    <w:basedOn w:val="style105"/>
    <w:next w:val="style154"/>
    <w:qFormat/>
    <w:uiPriority w:val="5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3">
    <w:name w:val="列表段落1"/>
    <w:basedOn w:val="style0"/>
    <w:next w:val="style4113"/>
    <w:qFormat/>
    <w:uiPriority w:val="34"/>
    <w:pPr>
      <w:ind w:firstLine="420" w:firstLineChars="200"/>
    </w:pPr>
    <w:rPr>
      <w:rFonts w:ascii="Calibri" w:cs="Times New Roman" w:hAnsi="Calibri"/>
      <w:color w:val="auto"/>
      <w:szCs w:val="22"/>
    </w:rPr>
  </w:style>
  <w:style w:type="table" w:customStyle="1" w:styleId="style4114">
    <w:name w:val="网格型11"/>
    <w:basedOn w:val="style105"/>
    <w:next w:val="style4114"/>
    <w:qFormat/>
    <w:uiPriority w:val="5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5">
    <w:name w:val="纯文本 Char"/>
    <w:basedOn w:val="style65"/>
    <w:next w:val="style4115"/>
    <w:qFormat/>
    <w:uiPriority w:val="99"/>
    <w:rPr>
      <w:rFonts w:ascii="宋体" w:cs="Courier New" w:eastAsia="宋体" w:hAnsi="Courier New"/>
      <w:szCs w:val="21"/>
    </w:rPr>
  </w:style>
  <w:style w:type="table" w:customStyle="1" w:styleId="style4116">
    <w:name w:val="网格型21"/>
    <w:basedOn w:val="style105"/>
    <w:next w:val="style4116"/>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7">
    <w:name w:val="表格标题1"/>
    <w:basedOn w:val="style0"/>
    <w:next w:val="style4117"/>
    <w:qFormat/>
    <w:pPr>
      <w:tabs>
        <w:tab w:val="left" w:leader="none" w:pos="420"/>
      </w:tabs>
      <w:spacing w:before="10" w:beforeLines="10" w:after="20" w:afterLines="20" w:lineRule="exact" w:line="280"/>
      <w:jc w:val="center"/>
    </w:pPr>
    <w:rPr>
      <w:rFonts w:eastAsia="汉仪中黑简"/>
      <w:color w:val="ff0000"/>
      <w:sz w:val="20"/>
    </w:rPr>
  </w:style>
  <w:style w:type="paragraph" w:customStyle="1" w:styleId="style4118">
    <w:name w:val="正文文本1"/>
    <w:basedOn w:val="style0"/>
    <w:next w:val="style66"/>
    <w:link w:val="style4119"/>
    <w:qFormat/>
    <w:uiPriority w:val="1"/>
    <w:pPr>
      <w:autoSpaceDE w:val="false"/>
      <w:autoSpaceDN w:val="false"/>
      <w:spacing w:lineRule="auto" w:line="312"/>
      <w:ind w:left="126" w:firstLine="883" w:firstLineChars="200"/>
      <w:jc w:val="left"/>
    </w:pPr>
    <w:rPr>
      <w:rFonts w:ascii="方正书宋_GBK" w:cs="方正书宋_GBK" w:eastAsia="方正书宋_GBK" w:hAnsi="方正书宋_GBK"/>
      <w:color w:val="000000"/>
      <w:sz w:val="18"/>
      <w:szCs w:val="18"/>
      <w:lang w:eastAsia="en-US"/>
    </w:rPr>
  </w:style>
  <w:style w:type="character" w:customStyle="1" w:styleId="style4119">
    <w:name w:val="正文文本 字符"/>
    <w:basedOn w:val="style65"/>
    <w:next w:val="style4119"/>
    <w:link w:val="style4118"/>
    <w:qFormat/>
    <w:uiPriority w:val="1"/>
    <w:rPr>
      <w:rFonts w:ascii="方正书宋_GBK" w:cs="方正书宋_GBK" w:eastAsia="方正书宋_GBK" w:hAnsi="方正书宋_GBK"/>
      <w:color w:val="000000"/>
      <w:sz w:val="18"/>
      <w:szCs w:val="18"/>
      <w:lang w:eastAsia="en-US"/>
    </w:rPr>
  </w:style>
  <w:style w:type="paragraph" w:customStyle="1" w:styleId="style4120">
    <w:name w:val="日期1"/>
    <w:basedOn w:val="style0"/>
    <w:next w:val="style0"/>
    <w:qFormat/>
    <w:uiPriority w:val="99"/>
    <w:pPr>
      <w:spacing w:lineRule="auto" w:line="312"/>
      <w:ind w:left="100" w:leftChars="2500" w:firstLine="883" w:firstLineChars="200"/>
      <w:jc w:val="left"/>
    </w:pPr>
    <w:rPr>
      <w:rFonts w:ascii="等线" w:cs="Times New Roman" w:eastAsia="等线" w:hAnsi="等线"/>
      <w:szCs w:val="22"/>
    </w:rPr>
  </w:style>
  <w:style w:type="character" w:customStyle="1" w:styleId="style4121">
    <w:name w:val="日期 字符"/>
    <w:basedOn w:val="style65"/>
    <w:next w:val="style4121"/>
    <w:link w:val="style76"/>
    <w:qFormat/>
    <w:uiPriority w:val="99"/>
    <w:rPr>
      <w:rFonts w:ascii="等线" w:cs="Times New Roman" w:eastAsia="等线" w:hAnsi="等线"/>
      <w:color w:val="000000"/>
      <w:kern w:val="2"/>
      <w:sz w:val="21"/>
      <w:szCs w:val="22"/>
    </w:rPr>
  </w:style>
  <w:style w:type="paragraph" w:customStyle="1" w:styleId="style4122">
    <w:name w:val="脚注文本1"/>
    <w:basedOn w:val="style0"/>
    <w:next w:val="style29"/>
    <w:link w:val="style4123"/>
    <w:qFormat/>
    <w:uiPriority w:val="99"/>
    <w:pPr>
      <w:snapToGrid w:val="false"/>
      <w:spacing w:lineRule="auto" w:line="312"/>
      <w:ind w:firstLine="883" w:firstLineChars="200"/>
      <w:jc w:val="left"/>
    </w:pPr>
    <w:rPr>
      <w:rFonts w:ascii="等线" w:cs="Times New Roman" w:eastAsia="等线" w:hAnsi="等线"/>
      <w:color w:val="000000"/>
      <w:sz w:val="18"/>
      <w:szCs w:val="18"/>
    </w:rPr>
  </w:style>
  <w:style w:type="character" w:customStyle="1" w:styleId="style4123">
    <w:name w:val="脚注文本 字符"/>
    <w:basedOn w:val="style65"/>
    <w:next w:val="style4123"/>
    <w:link w:val="style4122"/>
    <w:qFormat/>
    <w:uiPriority w:val="99"/>
    <w:rPr>
      <w:rFonts w:ascii="等线" w:cs="Times New Roman" w:eastAsia="等线" w:hAnsi="等线"/>
      <w:color w:val="000000"/>
      <w:kern w:val="2"/>
      <w:sz w:val="18"/>
      <w:szCs w:val="18"/>
    </w:rPr>
  </w:style>
  <w:style w:type="character" w:styleId="style87">
    <w:name w:val="Strong"/>
    <w:basedOn w:val="style65"/>
    <w:next w:val="style87"/>
    <w:qFormat/>
    <w:uiPriority w:val="22"/>
    <w:rPr>
      <w:b/>
      <w:bCs/>
    </w:rPr>
  </w:style>
  <w:style w:type="character" w:styleId="style38">
    <w:name w:val="footnote reference"/>
    <w:basedOn w:val="style65"/>
    <w:next w:val="style38"/>
    <w:qFormat/>
    <w:uiPriority w:val="99"/>
    <w:rPr>
      <w:vertAlign w:val="superscript"/>
    </w:rPr>
  </w:style>
  <w:style w:type="character" w:customStyle="1" w:styleId="style4124">
    <w:name w:val="hitclass0"/>
    <w:basedOn w:val="style65"/>
    <w:next w:val="style4124"/>
    <w:qFormat/>
  </w:style>
  <w:style w:type="character" w:customStyle="1" w:styleId="style4125">
    <w:name w:val="正文文本 (3) + Batang"/>
    <w:next w:val="style4125"/>
    <w:qFormat/>
    <w:rPr>
      <w:rFonts w:ascii="Batang" w:cs="Batang" w:eastAsia="Batang" w:hAnsi="Batang"/>
      <w:color w:val="000000"/>
      <w:spacing w:val="20"/>
      <w:w w:val="100"/>
      <w:position w:val="0"/>
      <w:sz w:val="8"/>
      <w:szCs w:val="8"/>
      <w:u w:val="none"/>
      <w:lang w:val="zh-CN"/>
    </w:rPr>
  </w:style>
  <w:style w:type="character" w:customStyle="1" w:styleId="style4126">
    <w:name w:val="正文文本_"/>
    <w:next w:val="style4126"/>
    <w:link w:val="style4127"/>
    <w:qFormat/>
    <w:rPr>
      <w:rFonts w:ascii="黑体" w:cs="黑体" w:eastAsia="黑体" w:hAnsi="黑体"/>
      <w:sz w:val="19"/>
      <w:szCs w:val="19"/>
      <w:shd w:val="clear" w:color="auto" w:fill="ffffff"/>
    </w:rPr>
  </w:style>
  <w:style w:type="paragraph" w:customStyle="1" w:styleId="style4127">
    <w:name w:val="正文文本12"/>
    <w:basedOn w:val="style0"/>
    <w:next w:val="style4127"/>
    <w:link w:val="style4126"/>
    <w:qFormat/>
    <w:pPr>
      <w:shd w:val="clear" w:color="auto" w:fill="ffffff"/>
      <w:spacing w:before="120" w:lineRule="exact" w:line="301"/>
      <w:ind w:firstLine="883" w:firstLineChars="200"/>
      <w:jc w:val="distribute"/>
    </w:pPr>
    <w:rPr>
      <w:rFonts w:ascii="黑体" w:cs="黑体" w:eastAsia="黑体" w:hAnsi="黑体"/>
      <w:color w:val="auto"/>
      <w:sz w:val="19"/>
      <w:szCs w:val="19"/>
    </w:rPr>
  </w:style>
  <w:style w:type="character" w:customStyle="1" w:styleId="style4128">
    <w:name w:val="正文文本 + Batang"/>
    <w:next w:val="style4128"/>
    <w:qFormat/>
    <w:rPr>
      <w:rFonts w:ascii="Batang" w:cs="Batang" w:eastAsia="Batang" w:hAnsi="Batang"/>
      <w:color w:val="000000"/>
      <w:spacing w:val="10"/>
      <w:w w:val="100"/>
      <w:position w:val="0"/>
      <w:sz w:val="18"/>
      <w:szCs w:val="18"/>
      <w:u w:val="none"/>
      <w:lang w:val="zh-CN"/>
    </w:rPr>
  </w:style>
  <w:style w:type="character" w:customStyle="1" w:styleId="style4129">
    <w:name w:val="标题 #3 + MingLiU"/>
    <w:next w:val="style4129"/>
    <w:qFormat/>
    <w:rPr>
      <w:rFonts w:ascii="MingLiU" w:cs="MingLiU" w:eastAsia="MingLiU" w:hAnsi="MingLiU"/>
      <w:color w:val="000000"/>
      <w:spacing w:val="-20"/>
      <w:w w:val="100"/>
      <w:position w:val="0"/>
      <w:sz w:val="9"/>
      <w:szCs w:val="9"/>
      <w:u w:val="none"/>
      <w:lang w:val="zh-CN"/>
    </w:rPr>
  </w:style>
  <w:style w:type="character" w:customStyle="1" w:styleId="style4130">
    <w:name w:val="正文文本 + 斜体"/>
    <w:next w:val="style4130"/>
    <w:qFormat/>
    <w:rPr>
      <w:rFonts w:ascii="黑体" w:cs="黑体" w:eastAsia="黑体" w:hAnsi="黑体"/>
      <w:i/>
      <w:iCs/>
      <w:color w:val="000000"/>
      <w:spacing w:val="0"/>
      <w:w w:val="100"/>
      <w:position w:val="0"/>
      <w:sz w:val="19"/>
      <w:szCs w:val="19"/>
      <w:u w:val="none"/>
    </w:rPr>
  </w:style>
  <w:style w:type="character" w:customStyle="1" w:styleId="style4131">
    <w:name w:val="正文文本 (10)_"/>
    <w:next w:val="style4131"/>
    <w:link w:val="style4132"/>
    <w:qFormat/>
    <w:rPr>
      <w:rFonts w:ascii="黑体" w:cs="黑体" w:eastAsia="黑体" w:hAnsi="黑体"/>
      <w:spacing w:val="50"/>
      <w:sz w:val="17"/>
      <w:szCs w:val="17"/>
      <w:shd w:val="clear" w:color="auto" w:fill="ffffff"/>
    </w:rPr>
  </w:style>
  <w:style w:type="paragraph" w:customStyle="1" w:styleId="style4132">
    <w:name w:val="正文文本 (10)"/>
    <w:basedOn w:val="style0"/>
    <w:next w:val="style4132"/>
    <w:link w:val="style4131"/>
    <w:qFormat/>
    <w:pPr>
      <w:shd w:val="clear" w:color="auto" w:fill="ffffff"/>
      <w:spacing w:lineRule="exact" w:line="298"/>
      <w:ind w:firstLine="883" w:firstLineChars="200"/>
      <w:jc w:val="left"/>
    </w:pPr>
    <w:rPr>
      <w:rFonts w:ascii="黑体" w:cs="黑体" w:eastAsia="黑体" w:hAnsi="黑体"/>
      <w:color w:val="auto"/>
      <w:spacing w:val="50"/>
      <w:sz w:val="17"/>
      <w:szCs w:val="17"/>
    </w:rPr>
  </w:style>
  <w:style w:type="character" w:customStyle="1" w:styleId="style4133">
    <w:name w:val="正文文本 (10) + 间距 0 pt"/>
    <w:next w:val="style4133"/>
    <w:qFormat/>
    <w:rPr>
      <w:rFonts w:ascii="黑体" w:cs="黑体" w:eastAsia="黑体" w:hAnsi="黑体"/>
      <w:color w:val="000000"/>
      <w:spacing w:val="0"/>
      <w:w w:val="100"/>
      <w:position w:val="0"/>
      <w:sz w:val="17"/>
      <w:szCs w:val="17"/>
      <w:u w:val="none"/>
      <w:lang w:val="zh-CN"/>
    </w:rPr>
  </w:style>
  <w:style w:type="character" w:customStyle="1" w:styleId="style4134">
    <w:name w:val="正文文本4"/>
    <w:next w:val="style4134"/>
    <w:qFormat/>
    <w:rPr>
      <w:rFonts w:ascii="黑体" w:cs="黑体" w:eastAsia="黑体" w:hAnsi="黑体"/>
      <w:color w:val="000000"/>
      <w:spacing w:val="0"/>
      <w:w w:val="100"/>
      <w:position w:val="0"/>
      <w:sz w:val="19"/>
      <w:szCs w:val="19"/>
      <w:u w:val="none"/>
      <w:lang w:val="zh-CN"/>
    </w:rPr>
  </w:style>
  <w:style w:type="character" w:customStyle="1" w:styleId="style4135">
    <w:name w:val="正文文本 + 间距 0 pt"/>
    <w:next w:val="style4135"/>
    <w:qFormat/>
    <w:rPr>
      <w:rFonts w:ascii="黑体" w:cs="黑体" w:eastAsia="黑体" w:hAnsi="黑体"/>
      <w:color w:val="000000"/>
      <w:spacing w:val="-10"/>
      <w:w w:val="100"/>
      <w:position w:val="0"/>
      <w:sz w:val="19"/>
      <w:szCs w:val="19"/>
      <w:u w:val="none"/>
      <w:lang w:val="zh-CN"/>
    </w:rPr>
  </w:style>
  <w:style w:type="character" w:customStyle="1" w:styleId="style4136">
    <w:name w:val="正文文本 (7)"/>
    <w:next w:val="style4136"/>
    <w:qFormat/>
    <w:rPr>
      <w:rFonts w:ascii="黑体" w:cs="黑体" w:eastAsia="黑体" w:hAnsi="黑体"/>
      <w:color w:val="000000"/>
      <w:spacing w:val="0"/>
      <w:w w:val="100"/>
      <w:position w:val="0"/>
      <w:sz w:val="19"/>
      <w:szCs w:val="19"/>
      <w:u w:val="none"/>
      <w:lang w:val="zh-CN"/>
    </w:rPr>
  </w:style>
  <w:style w:type="character" w:customStyle="1" w:styleId="style4137">
    <w:name w:val="正文文本 (7) + 8.5 pt"/>
    <w:next w:val="style4137"/>
    <w:qFormat/>
    <w:rPr>
      <w:rFonts w:ascii="黑体" w:cs="黑体" w:eastAsia="黑体" w:hAnsi="黑体"/>
      <w:color w:val="000000"/>
      <w:spacing w:val="0"/>
      <w:w w:val="100"/>
      <w:position w:val="0"/>
      <w:sz w:val="17"/>
      <w:szCs w:val="17"/>
      <w:u w:val="none"/>
      <w:lang w:val="zh-CN"/>
    </w:rPr>
  </w:style>
  <w:style w:type="character" w:customStyle="1" w:styleId="style4138">
    <w:name w:val="正文文本 (7) + 间距 0 pt"/>
    <w:next w:val="style4138"/>
    <w:qFormat/>
    <w:rPr>
      <w:rFonts w:ascii="黑体" w:cs="黑体" w:eastAsia="黑体" w:hAnsi="黑体"/>
      <w:color w:val="000000"/>
      <w:spacing w:val="-10"/>
      <w:w w:val="100"/>
      <w:position w:val="0"/>
      <w:sz w:val="19"/>
      <w:szCs w:val="19"/>
      <w:u w:val="none"/>
      <w:lang w:val="zh-CN"/>
    </w:rPr>
  </w:style>
  <w:style w:type="character" w:customStyle="1" w:styleId="style4139">
    <w:name w:val="正文文本 (7) + MingLiU"/>
    <w:next w:val="style4139"/>
    <w:qFormat/>
    <w:rPr>
      <w:rFonts w:ascii="MingLiU" w:cs="MingLiU" w:eastAsia="MingLiU" w:hAnsi="MingLiU"/>
      <w:color w:val="000000"/>
      <w:spacing w:val="0"/>
      <w:w w:val="100"/>
      <w:position w:val="0"/>
      <w:sz w:val="23"/>
      <w:szCs w:val="23"/>
      <w:u w:val="none"/>
    </w:rPr>
  </w:style>
  <w:style w:type="character" w:customStyle="1" w:styleId="style4140">
    <w:name w:val="正文文本 (15)_"/>
    <w:next w:val="style4140"/>
    <w:link w:val="style4141"/>
    <w:qFormat/>
    <w:rPr>
      <w:rFonts w:ascii="黑体" w:cs="黑体" w:eastAsia="黑体" w:hAnsi="黑体"/>
      <w:spacing w:val="-10"/>
      <w:sz w:val="19"/>
      <w:szCs w:val="19"/>
      <w:shd w:val="clear" w:color="auto" w:fill="ffffff"/>
    </w:rPr>
  </w:style>
  <w:style w:type="paragraph" w:customStyle="1" w:styleId="style4141">
    <w:name w:val="正文文本 (15)"/>
    <w:basedOn w:val="style0"/>
    <w:next w:val="style4141"/>
    <w:link w:val="style4140"/>
    <w:qFormat/>
    <w:pPr>
      <w:shd w:val="clear" w:color="auto" w:fill="ffffff"/>
      <w:spacing w:after="120" w:lineRule="atLeast" w:line="0"/>
      <w:ind w:firstLine="380" w:firstLineChars="200"/>
      <w:jc w:val="distribute"/>
    </w:pPr>
    <w:rPr>
      <w:rFonts w:ascii="黑体" w:cs="黑体" w:eastAsia="黑体" w:hAnsi="黑体"/>
      <w:color w:val="auto"/>
      <w:spacing w:val="-10"/>
      <w:sz w:val="19"/>
      <w:szCs w:val="19"/>
    </w:rPr>
  </w:style>
  <w:style w:type="character" w:customStyle="1" w:styleId="style4142">
    <w:name w:val="正文文本 (16)_"/>
    <w:next w:val="style4142"/>
    <w:link w:val="style4143"/>
    <w:qFormat/>
    <w:rPr>
      <w:rFonts w:ascii="MingLiU" w:cs="MingLiU" w:eastAsia="MingLiU" w:hAnsi="MingLiU"/>
      <w:spacing w:val="-10"/>
      <w:sz w:val="19"/>
      <w:szCs w:val="19"/>
      <w:shd w:val="clear" w:color="auto" w:fill="ffffff"/>
    </w:rPr>
  </w:style>
  <w:style w:type="paragraph" w:customStyle="1" w:styleId="style4143">
    <w:name w:val="正文文本 (16)"/>
    <w:basedOn w:val="style0"/>
    <w:next w:val="style4143"/>
    <w:link w:val="style4142"/>
    <w:qFormat/>
    <w:pPr>
      <w:shd w:val="clear" w:color="auto" w:fill="ffffff"/>
      <w:spacing w:lineRule="exact" w:line="298"/>
      <w:ind w:firstLine="400" w:firstLineChars="200"/>
      <w:jc w:val="distribute"/>
    </w:pPr>
    <w:rPr>
      <w:rFonts w:ascii="MingLiU" w:cs="MingLiU" w:eastAsia="MingLiU" w:hAnsi="MingLiU"/>
      <w:color w:val="auto"/>
      <w:spacing w:val="-10"/>
      <w:sz w:val="19"/>
      <w:szCs w:val="19"/>
    </w:rPr>
  </w:style>
  <w:style w:type="character" w:customStyle="1" w:styleId="style4144">
    <w:name w:val="标题 #3"/>
    <w:next w:val="style4144"/>
    <w:qFormat/>
    <w:rPr>
      <w:rFonts w:ascii="黑体" w:cs="黑体" w:eastAsia="黑体" w:hAnsi="黑体"/>
      <w:color w:val="000000"/>
      <w:spacing w:val="0"/>
      <w:w w:val="100"/>
      <w:position w:val="0"/>
      <w:sz w:val="19"/>
      <w:szCs w:val="19"/>
      <w:u w:val="none"/>
      <w:lang w:val="zh-CN"/>
    </w:rPr>
  </w:style>
  <w:style w:type="paragraph" w:customStyle="1" w:styleId="style4145">
    <w:name w:val="Default"/>
    <w:next w:val="style4145"/>
    <w:qFormat/>
    <w:pPr>
      <w:widowControl w:val="false"/>
      <w:autoSpaceDE w:val="false"/>
      <w:autoSpaceDN w:val="false"/>
      <w:adjustRightInd w:val="false"/>
    </w:pPr>
    <w:rPr>
      <w:rFonts w:ascii="宋体" w:cs="宋体" w:eastAsia="宋体" w:hAnsi="Times New Roman"/>
      <w:color w:val="000000"/>
      <w:kern w:val="0"/>
      <w:sz w:val="24"/>
      <w:szCs w:val="24"/>
    </w:rPr>
  </w:style>
  <w:style w:type="character" w:customStyle="1" w:styleId="style4146">
    <w:name w:val="bjh-p"/>
    <w:basedOn w:val="style65"/>
    <w:next w:val="style4146"/>
    <w:qFormat/>
  </w:style>
  <w:style w:type="paragraph" w:customStyle="1" w:styleId="style4147">
    <w:name w:val="无间隔1"/>
    <w:next w:val="style157"/>
    <w:link w:val="style4148"/>
    <w:qFormat/>
    <w:uiPriority w:val="1"/>
    <w:pPr/>
    <w:rPr>
      <w:kern w:val="0"/>
      <w:sz w:val="22"/>
    </w:rPr>
  </w:style>
  <w:style w:type="character" w:customStyle="1" w:styleId="style4148">
    <w:name w:val="无间隔 字符"/>
    <w:basedOn w:val="style65"/>
    <w:next w:val="style4148"/>
    <w:qFormat/>
    <w:uiPriority w:val="1"/>
    <w:rPr>
      <w:rFonts w:ascii="等线" w:cs="Times New Roman" w:eastAsia="等线" w:hAnsi="等线"/>
      <w:sz w:val="22"/>
      <w:szCs w:val="22"/>
    </w:rPr>
  </w:style>
  <w:style w:type="paragraph" w:customStyle="1" w:styleId="style4149">
    <w:name w:val="修订1"/>
    <w:next w:val="style4149"/>
    <w:qFormat/>
    <w:uiPriority w:val="99"/>
    <w:pPr/>
  </w:style>
  <w:style w:type="character" w:styleId="style156">
    <w:name w:val="Placeholder Text"/>
    <w:basedOn w:val="style65"/>
    <w:next w:val="style156"/>
    <w:qFormat/>
    <w:uiPriority w:val="99"/>
    <w:rPr>
      <w:color w:val="808080"/>
    </w:rPr>
  </w:style>
  <w:style w:type="paragraph" w:customStyle="1" w:styleId="style4150">
    <w:name w:val="修订2"/>
    <w:next w:val="style4150"/>
    <w:qFormat/>
    <w:uiPriority w:val="99"/>
    <w:pPr/>
    <w:rPr>
      <w:rFonts w:ascii="等线" w:eastAsia="等线" w:hAnsi="等线"/>
      <w:color w:val="000000"/>
    </w:rPr>
  </w:style>
  <w:style w:type="paragraph" w:styleId="style66">
    <w:name w:val="Body Text"/>
    <w:basedOn w:val="style0"/>
    <w:next w:val="style66"/>
    <w:link w:val="style4151"/>
    <w:uiPriority w:val="99"/>
    <w:pPr>
      <w:spacing w:after="120"/>
    </w:pPr>
    <w:rPr/>
  </w:style>
  <w:style w:type="character" w:customStyle="1" w:styleId="style4151">
    <w:name w:val="正文文本 字符1"/>
    <w:basedOn w:val="style65"/>
    <w:next w:val="style4151"/>
    <w:link w:val="style66"/>
    <w:uiPriority w:val="99"/>
    <w:rPr>
      <w:rFonts w:ascii="宋体" w:cs="宋体" w:eastAsia="宋体" w:hAnsi="宋体"/>
      <w:color w:val="000000"/>
      <w:szCs w:val="21"/>
    </w:rPr>
  </w:style>
  <w:style w:type="paragraph" w:styleId="style76">
    <w:name w:val="Date"/>
    <w:basedOn w:val="style0"/>
    <w:next w:val="style0"/>
    <w:link w:val="style4121"/>
    <w:uiPriority w:val="99"/>
    <w:pPr>
      <w:ind w:left="100" w:leftChars="2500"/>
    </w:pPr>
    <w:rPr>
      <w:rFonts w:ascii="等线" w:cs="Times New Roman" w:eastAsia="等线" w:hAnsi="等线"/>
      <w:color w:val="000000"/>
      <w:szCs w:val="22"/>
    </w:rPr>
  </w:style>
  <w:style w:type="character" w:customStyle="1" w:styleId="style4152">
    <w:name w:val="日期 字符1"/>
    <w:basedOn w:val="style65"/>
    <w:next w:val="style4152"/>
    <w:link w:val="style76"/>
    <w:uiPriority w:val="99"/>
    <w:rPr>
      <w:rFonts w:ascii="宋体" w:cs="宋体" w:eastAsia="宋体" w:hAnsi="宋体"/>
      <w:color w:val="000000"/>
      <w:szCs w:val="21"/>
    </w:rPr>
  </w:style>
  <w:style w:type="paragraph" w:styleId="style29">
    <w:name w:val="footnote text"/>
    <w:basedOn w:val="style0"/>
    <w:next w:val="style29"/>
    <w:link w:val="style4153"/>
    <w:uiPriority w:val="99"/>
    <w:pPr>
      <w:snapToGrid w:val="false"/>
      <w:jc w:val="left"/>
    </w:pPr>
    <w:rPr>
      <w:sz w:val="18"/>
      <w:szCs w:val="18"/>
    </w:rPr>
  </w:style>
  <w:style w:type="character" w:customStyle="1" w:styleId="style4153">
    <w:name w:val="脚注文本 字符1"/>
    <w:basedOn w:val="style65"/>
    <w:next w:val="style4153"/>
    <w:link w:val="style29"/>
    <w:uiPriority w:val="99"/>
    <w:rPr>
      <w:rFonts w:ascii="宋体" w:cs="宋体" w:eastAsia="宋体" w:hAnsi="宋体"/>
      <w:color w:val="000000"/>
      <w:sz w:val="18"/>
      <w:szCs w:val="18"/>
    </w:rPr>
  </w:style>
  <w:style w:type="paragraph" w:styleId="style157">
    <w:name w:val="No Spacing"/>
    <w:next w:val="style157"/>
    <w:qFormat/>
    <w:uiPriority w:val="1"/>
    <w:pPr>
      <w:widowControl w:val="false"/>
      <w:jc w:val="both"/>
    </w:pPr>
    <w:rPr>
      <w:rFonts w:ascii="宋体" w:cs="宋体" w:eastAsia="宋体" w:hAnsi="宋体"/>
      <w:color w:val="000000"/>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Words>9796</Words>
  <Pages>11</Pages>
  <Characters>9931</Characters>
  <Application>WPS Office</Application>
  <DocSecurity>0</DocSecurity>
  <Paragraphs>275</Paragraphs>
  <ScaleCrop>false</ScaleCrop>
  <LinksUpToDate>false</LinksUpToDate>
  <CharactersWithSpaces>9948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2025-05-24T09:21:00Z</dcterms:created>
  <dc:creator>王 斌洋</dc:creator>
  <lastModifiedBy>SM-S9110</lastModifiedBy>
  <dcterms:modified xsi:type="dcterms:W3CDTF">2025-05-24T14:30:10Z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f26db4f967534ab59351fdb29707af02_23</vt:lpwstr>
  </property>
</Properties>
</file>