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6C3F" w14:textId="68A70959" w:rsidR="005B4F9C" w:rsidRPr="000C093A" w:rsidRDefault="005B4F9C" w:rsidP="000C093A">
      <w:pPr>
        <w:pStyle w:val="af2"/>
        <w:spacing w:line="276" w:lineRule="auto"/>
        <w:ind w:firstLine="422"/>
        <w:jc w:val="center"/>
        <w:rPr>
          <w:rFonts w:eastAsia="宋体" w:hAnsi="宋体" w:hint="eastAsia"/>
          <w:b/>
          <w:bCs/>
          <w:color w:val="auto"/>
          <w:sz w:val="21"/>
        </w:rPr>
      </w:pPr>
      <w:bookmarkStart w:id="0" w:name="_Toc190544245"/>
      <w:bookmarkStart w:id="1" w:name="_Toc192256145"/>
      <w:r w:rsidRPr="000C093A">
        <w:rPr>
          <w:rFonts w:eastAsia="宋体" w:hAnsi="宋体" w:hint="eastAsia"/>
          <w:b/>
          <w:bCs/>
          <w:color w:val="auto"/>
          <w:sz w:val="21"/>
        </w:rPr>
        <w:t>考点21  其他特殊的诉讼规则</w:t>
      </w:r>
      <w:bookmarkEnd w:id="0"/>
      <w:bookmarkEnd w:id="1"/>
      <w:r w:rsidR="00BA085D" w:rsidRPr="000C093A">
        <w:rPr>
          <w:rFonts w:eastAsia="宋体" w:hAnsi="宋体" w:hint="eastAsia"/>
          <w:b/>
          <w:bCs/>
          <w:color w:val="auto"/>
          <w:sz w:val="21"/>
        </w:rPr>
        <w:t>（19:30-21:08）</w:t>
      </w:r>
    </w:p>
    <w:p w14:paraId="50E9B0A1" w14:textId="3C44A97B" w:rsidR="005B4F9C" w:rsidRPr="000C093A" w:rsidRDefault="005B4F9C" w:rsidP="000C093A">
      <w:pPr>
        <w:pStyle w:val="af2"/>
        <w:spacing w:line="276" w:lineRule="auto"/>
        <w:ind w:firstLineChars="0" w:firstLine="0"/>
        <w:rPr>
          <w:rFonts w:eastAsia="宋体" w:hAnsi="宋体" w:cs="宋体" w:hint="eastAsia"/>
          <w:b/>
          <w:bCs/>
          <w:sz w:val="21"/>
        </w:rPr>
      </w:pPr>
      <w:r w:rsidRPr="000C093A">
        <w:rPr>
          <w:rFonts w:eastAsia="宋体" w:hAnsi="宋体" w:hint="eastAsia"/>
          <w:b/>
          <w:bCs/>
          <w:sz w:val="21"/>
        </w:rPr>
        <w:t>一、</w:t>
      </w:r>
      <w:bookmarkStart w:id="2" w:name="_Hlk37844263"/>
      <w:r w:rsidRPr="000C093A">
        <w:rPr>
          <w:rFonts w:eastAsia="宋体" w:hAnsi="宋体" w:hint="eastAsia"/>
          <w:b/>
          <w:bCs/>
          <w:sz w:val="21"/>
        </w:rPr>
        <w:t>行政机关负责人出庭应诉制度</w:t>
      </w:r>
      <w:bookmarkEnd w:id="2"/>
    </w:p>
    <w:p w14:paraId="3029E888"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（一）含义</w:t>
      </w:r>
    </w:p>
    <w:p w14:paraId="4A24EA60" w14:textId="3126A13C"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行政机关负责人出庭应诉，仅限于一审、二审、再审等诉讼程序，不包括调查等程序。</w:t>
      </w:r>
    </w:p>
    <w:p w14:paraId="0540386D" w14:textId="6990851B" w:rsidR="005B4F9C" w:rsidRPr="000C093A" w:rsidRDefault="005B4F9C" w:rsidP="000C093A">
      <w:pPr>
        <w:pStyle w:val="af2"/>
        <w:spacing w:line="276" w:lineRule="auto"/>
        <w:ind w:firstLine="422"/>
        <w:rPr>
          <w:rFonts w:eastAsia="宋体" w:hAnsi="宋体" w:cs="Times New Roman" w:hint="eastAsia"/>
          <w:b/>
          <w:bCs/>
          <w:color w:val="FF0000"/>
          <w:sz w:val="21"/>
        </w:rPr>
      </w:pPr>
      <w:bookmarkStart w:id="3" w:name="_Hlk37844287"/>
      <w:r w:rsidRPr="000C093A">
        <w:rPr>
          <w:rFonts w:eastAsia="宋体" w:hAnsi="宋体" w:cs="Times New Roman" w:hint="eastAsia"/>
          <w:b/>
          <w:bCs/>
          <w:sz w:val="21"/>
        </w:rPr>
        <w:t>（二）总体要求</w:t>
      </w:r>
    </w:p>
    <w:p w14:paraId="0BC14F05" w14:textId="77777777" w:rsidR="005B4F9C" w:rsidRPr="000C093A" w:rsidRDefault="005B4F9C" w:rsidP="000C093A">
      <w:pPr>
        <w:pStyle w:val="af2"/>
        <w:spacing w:line="276" w:lineRule="auto"/>
        <w:ind w:firstLine="420"/>
        <w:rPr>
          <w:rFonts w:eastAsia="宋体" w:hAnsi="宋体" w:cs="等线" w:hint="eastAsia"/>
          <w:color w:val="FF0000"/>
          <w:sz w:val="21"/>
        </w:rPr>
      </w:pPr>
      <w:r w:rsidRPr="000C093A">
        <w:rPr>
          <w:rFonts w:eastAsia="宋体" w:hAnsi="宋体" w:cs="等线" w:hint="eastAsia"/>
          <w:color w:val="FF0000"/>
          <w:sz w:val="21"/>
        </w:rPr>
        <w:t>被诉行政机关负责人应当出庭；不能出庭的，应当委托行政机关相应的工作人员出庭，不得仅委托诉讼代理人出庭。</w:t>
      </w:r>
    </w:p>
    <w:p w14:paraId="120126BF" w14:textId="77777777" w:rsidR="005B4F9C" w:rsidRPr="000C093A" w:rsidRDefault="005B4F9C" w:rsidP="000C093A">
      <w:pPr>
        <w:pStyle w:val="af2"/>
        <w:spacing w:line="276" w:lineRule="auto"/>
        <w:ind w:firstLine="420"/>
        <w:rPr>
          <w:rFonts w:eastAsia="宋体" w:hAnsi="宋体" w:cs="等线" w:hint="eastAsia"/>
          <w:color w:val="FF0000"/>
          <w:sz w:val="21"/>
        </w:rPr>
      </w:pPr>
      <w:r w:rsidRPr="000C093A">
        <w:rPr>
          <w:rFonts w:eastAsia="宋体" w:hAnsi="宋体" w:cs="等线" w:hint="eastAsia"/>
          <w:color w:val="FF0000"/>
          <w:sz w:val="21"/>
        </w:rPr>
        <w:t>被诉行政机关负责人出庭的，可以委托1～2名诉讼代理人。</w:t>
      </w:r>
    </w:p>
    <w:p w14:paraId="24F0CD9F"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（三）行政机关负责人的范围</w:t>
      </w:r>
      <w:bookmarkStart w:id="4" w:name="_Hlk126660827"/>
    </w:p>
    <w:bookmarkEnd w:id="4"/>
    <w:p w14:paraId="115AC6F2" w14:textId="024D2D4D"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（1）正职负责人。（2）副职负责人。（3）参与分管被诉行政行为实施工作的副职级别的负责人。（4）其他参与分管的负责人。</w:t>
      </w:r>
    </w:p>
    <w:p w14:paraId="628EFEF0" w14:textId="77777777" w:rsidR="005B4F9C" w:rsidRPr="000C093A" w:rsidRDefault="005B4F9C" w:rsidP="000C093A">
      <w:pPr>
        <w:pStyle w:val="af2"/>
        <w:spacing w:line="276" w:lineRule="auto"/>
        <w:ind w:firstLine="420"/>
        <w:rPr>
          <w:rFonts w:eastAsia="宋体" w:hAnsi="宋体" w:cs="华康娃娃体W5" w:hint="eastAsia"/>
          <w:color w:val="FF0000"/>
          <w:sz w:val="21"/>
        </w:rPr>
      </w:pPr>
      <w:r w:rsidRPr="000C093A">
        <w:rPr>
          <w:rFonts w:eastAsia="宋体" w:hAnsi="宋体" w:cs="汉仪书宋二简"/>
          <w:noProof/>
          <w:color w:val="FF0000"/>
          <w:sz w:val="21"/>
        </w:rPr>
        <mc:AlternateContent>
          <mc:Choice Requires="wps">
            <w:drawing>
              <wp:anchor distT="0" distB="0" distL="114300" distR="114300" simplePos="0" relativeHeight="251665408" behindDoc="0" locked="0" layoutInCell="1" allowOverlap="1" wp14:anchorId="528E3141" wp14:editId="34047251">
                <wp:simplePos x="0" y="0"/>
                <wp:positionH relativeFrom="column">
                  <wp:posOffset>41275</wp:posOffset>
                </wp:positionH>
                <wp:positionV relativeFrom="paragraph">
                  <wp:posOffset>56779</wp:posOffset>
                </wp:positionV>
                <wp:extent cx="142875" cy="142875"/>
                <wp:effectExtent l="0" t="0" r="9525" b="9525"/>
                <wp:wrapNone/>
                <wp:docPr id="1591172425"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9064EFC" id="五角星 1" o:spid="_x0000_s1026" style="position:absolute;margin-left:3.25pt;margin-top:4.45pt;width:1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CD4wr/bAAAABQEAAA8A&#10;AABkcnMvZG93bnJldi54bWxMj0FLw0AUhO+C/2F5gje7Sa2hjXkpUhG8KCRKz5vsmgSzb8Puton/&#10;3ufJHocZZr4p9osdxdn4MDhCSFcJCEOt0wN1CJ8fL3dbECEq0mp0ZBB+TIB9eX1VqFy7mSpzrmMn&#10;uIRCrhD6GKdcytD2xqqwcpMh9r6ctyqy9J3UXs1cbke5TpJMWjUQL/RqMofetN/1ySLU8/HwPrwd&#10;5zTOjcxi9eqfqw3i7c3y9AgimiX+h+EPn9GhZKbGnUgHMSJkDxxE2O5AsLve8bEG4T7dgCwLeUlf&#10;/gIAAP//AwBQSwECLQAUAAYACAAAACEAtoM4kv4AAADhAQAAEwAAAAAAAAAAAAAAAAAAAAAAW0Nv&#10;bnRlbnRfVHlwZXNdLnhtbFBLAQItABQABgAIAAAAIQA4/SH/1gAAAJQBAAALAAAAAAAAAAAAAAAA&#10;AC8BAABfcmVscy8ucmVsc1BLAQItABQABgAIAAAAIQDgwvJHNwIAAGgEAAAOAAAAAAAAAAAAAAAA&#10;AC4CAABkcnMvZTJvRG9jLnhtbFBLAQItABQABgAIAAAAIQAg+MK/2wAAAAUBAAAPAAAAAAAAAAAA&#10;AAAAAJEEAABkcnMvZG93bnJldi54bWxQSwUGAAAAAAQABADzAAAAmQU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0C093A">
        <w:rPr>
          <w:rFonts w:eastAsia="宋体" w:hAnsi="宋体" w:cs="仿宋" w:hint="eastAsia"/>
          <w:color w:val="FF0000"/>
          <w:sz w:val="21"/>
        </w:rPr>
        <w:t>注意：</w:t>
      </w:r>
      <w:r w:rsidRPr="000C093A">
        <w:rPr>
          <w:rFonts w:eastAsia="宋体" w:hAnsi="宋体" w:cs="华康娃娃体W5" w:hint="eastAsia"/>
          <w:color w:val="FF0000"/>
          <w:sz w:val="21"/>
        </w:rPr>
        <w:t>被诉行政机关委托的组织或者下级行政机关的负责人，不能作为被诉行政机关负责人出庭。</w:t>
      </w:r>
    </w:p>
    <w:p w14:paraId="0C40ABB3"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（四）行政机关相应的工作人员的范围</w:t>
      </w:r>
    </w:p>
    <w:p w14:paraId="4A4AE1AE" w14:textId="77777777"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（1）行政机关相应的工作人员，是指被诉行政机关中具体行使行政职权的工作人员。</w:t>
      </w:r>
    </w:p>
    <w:p w14:paraId="35C0A3AF" w14:textId="77777777" w:rsidR="005B4F9C" w:rsidRPr="000C093A" w:rsidRDefault="005B4F9C" w:rsidP="000C093A">
      <w:pPr>
        <w:pStyle w:val="af2"/>
        <w:spacing w:line="276" w:lineRule="auto"/>
        <w:ind w:firstLine="420"/>
        <w:rPr>
          <w:rFonts w:eastAsia="宋体" w:hAnsi="宋体" w:cs="等线" w:hint="eastAsia"/>
          <w:color w:val="FF0000"/>
          <w:sz w:val="21"/>
        </w:rPr>
      </w:pPr>
      <w:r w:rsidRPr="000C093A">
        <w:rPr>
          <w:rFonts w:eastAsia="宋体" w:hAnsi="宋体" w:cs="等线" w:hint="eastAsia"/>
          <w:color w:val="auto"/>
          <w:sz w:val="21"/>
        </w:rPr>
        <w:t>（2）</w:t>
      </w:r>
      <w:r w:rsidRPr="000C093A">
        <w:rPr>
          <w:rFonts w:eastAsia="宋体" w:hAnsi="宋体" w:cs="等线" w:hint="eastAsia"/>
          <w:color w:val="FF0000"/>
          <w:sz w:val="21"/>
        </w:rPr>
        <w:t>行政机关委托行使行政职权的组织或下级行政机关的工作人员，可以视为行政机关相应的工作人员。</w:t>
      </w:r>
    </w:p>
    <w:p w14:paraId="3A543163" w14:textId="77777777"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（3）被诉行政行为是地方政府</w:t>
      </w:r>
      <w:proofErr w:type="gramStart"/>
      <w:r w:rsidRPr="000C093A">
        <w:rPr>
          <w:rFonts w:eastAsia="宋体" w:hAnsi="宋体" w:cs="等线" w:hint="eastAsia"/>
          <w:color w:val="auto"/>
          <w:sz w:val="21"/>
        </w:rPr>
        <w:t>作出</w:t>
      </w:r>
      <w:proofErr w:type="gramEnd"/>
      <w:r w:rsidRPr="000C093A">
        <w:rPr>
          <w:rFonts w:eastAsia="宋体" w:hAnsi="宋体" w:cs="等线" w:hint="eastAsia"/>
          <w:color w:val="auto"/>
          <w:sz w:val="21"/>
        </w:rPr>
        <w:t>的，地方政府所属法制工作机构的工作人员，以及被诉行政行为具体承办机关的工作人员，也可以视为被诉地方政府相应的工作人员。</w:t>
      </w:r>
    </w:p>
    <w:p w14:paraId="53C2DBF2"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（五）行政机关负责人应当出庭应诉，法院应当通知负责人出庭应诉的情形</w:t>
      </w:r>
    </w:p>
    <w:p w14:paraId="277D309E" w14:textId="68444605"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（1）涉及食品药品安全、生态环境和资源保护、公共卫生安全等重大公共利益的案件。（2）社会高度关注的案件。（3）可能引发群体性事件的案件。</w:t>
      </w:r>
    </w:p>
    <w:p w14:paraId="615BF3BE" w14:textId="70A48DAC" w:rsidR="005B4F9C" w:rsidRPr="000C093A" w:rsidRDefault="005B4F9C" w:rsidP="000C093A">
      <w:pPr>
        <w:pStyle w:val="af2"/>
        <w:spacing w:line="276" w:lineRule="auto"/>
        <w:ind w:firstLine="422"/>
        <w:rPr>
          <w:rFonts w:eastAsia="宋体" w:hAnsi="宋体" w:cs="Times New Roman" w:hint="eastAsia"/>
          <w:b/>
          <w:bCs/>
          <w:color w:val="auto"/>
          <w:sz w:val="21"/>
        </w:rPr>
      </w:pPr>
      <w:r w:rsidRPr="000C093A">
        <w:rPr>
          <w:rFonts w:eastAsia="宋体" w:hAnsi="宋体" w:cs="Times New Roman" w:hint="eastAsia"/>
          <w:b/>
          <w:bCs/>
          <w:color w:val="auto"/>
          <w:sz w:val="21"/>
        </w:rPr>
        <w:t>（</w:t>
      </w:r>
      <w:r w:rsidR="009E7889" w:rsidRPr="000C093A">
        <w:rPr>
          <w:rFonts w:eastAsia="宋体" w:hAnsi="宋体" w:cs="Times New Roman" w:hint="eastAsia"/>
          <w:b/>
          <w:bCs/>
          <w:color w:val="auto"/>
          <w:sz w:val="21"/>
        </w:rPr>
        <w:t>六</w:t>
      </w:r>
      <w:r w:rsidRPr="000C093A">
        <w:rPr>
          <w:rFonts w:eastAsia="宋体" w:hAnsi="宋体" w:cs="Times New Roman" w:hint="eastAsia"/>
          <w:b/>
          <w:bCs/>
          <w:color w:val="auto"/>
          <w:sz w:val="21"/>
        </w:rPr>
        <w:t>）行政机关负责人出庭应诉的内容</w:t>
      </w:r>
    </w:p>
    <w:p w14:paraId="1FA2AA80" w14:textId="77777777" w:rsidR="005B4F9C" w:rsidRPr="000C093A" w:rsidRDefault="005B4F9C" w:rsidP="000C093A">
      <w:pPr>
        <w:pStyle w:val="af2"/>
        <w:spacing w:line="276" w:lineRule="auto"/>
        <w:ind w:firstLine="420"/>
        <w:rPr>
          <w:rFonts w:eastAsia="宋体" w:hAnsi="宋体" w:cs="等线" w:hint="eastAsia"/>
          <w:color w:val="FF0000"/>
          <w:sz w:val="21"/>
        </w:rPr>
      </w:pPr>
      <w:r w:rsidRPr="000C093A">
        <w:rPr>
          <w:rFonts w:eastAsia="宋体" w:hAnsi="宋体" w:cs="等线" w:hint="eastAsia"/>
          <w:color w:val="FF0000"/>
          <w:sz w:val="21"/>
        </w:rPr>
        <w:t>行政机关负责人或者行政机关委托的相应工作人员在庭审过程中应当就案件情况进行陈述、答辩、提交证据、辩论、发表最后意见，对所依据的规范性文件进行解释说明。</w:t>
      </w:r>
    </w:p>
    <w:p w14:paraId="3E73A83F" w14:textId="77777777" w:rsidR="005B4F9C" w:rsidRPr="000C093A" w:rsidRDefault="005B4F9C" w:rsidP="000C093A">
      <w:pPr>
        <w:pStyle w:val="af2"/>
        <w:spacing w:line="276" w:lineRule="auto"/>
        <w:ind w:firstLine="420"/>
        <w:rPr>
          <w:rFonts w:eastAsia="宋体" w:hAnsi="宋体" w:cs="等线" w:hint="eastAsia"/>
          <w:color w:val="FF0000"/>
          <w:sz w:val="21"/>
        </w:rPr>
      </w:pPr>
      <w:r w:rsidRPr="000C093A">
        <w:rPr>
          <w:rFonts w:eastAsia="宋体" w:hAnsi="宋体" w:cs="等线" w:hint="eastAsia"/>
          <w:color w:val="FF0000"/>
          <w:sz w:val="21"/>
        </w:rPr>
        <w:t>行政机关负责人出庭应诉的，应当就实质性解决行政争议发表意见。</w:t>
      </w:r>
    </w:p>
    <w:p w14:paraId="09CC7794" w14:textId="59B35745"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w:t>
      </w:r>
      <w:r w:rsidR="009E7889" w:rsidRPr="000C093A">
        <w:rPr>
          <w:rFonts w:eastAsia="宋体" w:hAnsi="宋体" w:cs="Times New Roman" w:hint="eastAsia"/>
          <w:b/>
          <w:bCs/>
          <w:sz w:val="21"/>
        </w:rPr>
        <w:t>七</w:t>
      </w:r>
      <w:r w:rsidRPr="000C093A">
        <w:rPr>
          <w:rFonts w:eastAsia="宋体" w:hAnsi="宋体" w:cs="Times New Roman" w:hint="eastAsia"/>
          <w:b/>
          <w:bCs/>
          <w:sz w:val="21"/>
        </w:rPr>
        <w:t>）行政机关负责人违反出庭制度的处理</w:t>
      </w:r>
    </w:p>
    <w:p w14:paraId="041414E7" w14:textId="77777777"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对于行政机关负责人不履行或不</w:t>
      </w:r>
      <w:proofErr w:type="gramStart"/>
      <w:r w:rsidRPr="000C093A">
        <w:rPr>
          <w:rFonts w:eastAsia="宋体" w:hAnsi="宋体" w:cs="等线" w:hint="eastAsia"/>
          <w:color w:val="auto"/>
          <w:sz w:val="21"/>
        </w:rPr>
        <w:t>准确履行</w:t>
      </w:r>
      <w:proofErr w:type="gramEnd"/>
      <w:r w:rsidRPr="000C093A">
        <w:rPr>
          <w:rFonts w:eastAsia="宋体" w:hAnsi="宋体" w:cs="等线" w:hint="eastAsia"/>
          <w:color w:val="auto"/>
          <w:sz w:val="21"/>
        </w:rPr>
        <w:t>出庭义务的情形，法院</w:t>
      </w:r>
      <w:r w:rsidRPr="000C093A">
        <w:rPr>
          <w:rFonts w:eastAsia="宋体" w:hAnsi="宋体" w:cs="等线" w:hint="eastAsia"/>
          <w:color w:val="FF0000"/>
          <w:sz w:val="21"/>
        </w:rPr>
        <w:t>应当记录在案并在裁判文书中载明，并应当向监察机关、被诉行政机关的上一级行政机关提出司法建议。</w:t>
      </w:r>
    </w:p>
    <w:p w14:paraId="757F326A" w14:textId="31D12E19"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此外，针对行政机关负责人实施的上述违反出庭应诉制度的情形，法院</w:t>
      </w:r>
      <w:r w:rsidRPr="000C093A">
        <w:rPr>
          <w:rFonts w:eastAsia="宋体" w:hAnsi="宋体" w:cs="等线" w:hint="eastAsia"/>
          <w:color w:val="FF0000"/>
          <w:sz w:val="21"/>
        </w:rPr>
        <w:t>还可以通过适当形式将行政机关负责人出庭应诉情况向社会公开；</w:t>
      </w:r>
      <w:r w:rsidRPr="000C093A">
        <w:rPr>
          <w:rFonts w:eastAsia="宋体" w:hAnsi="宋体" w:cs="等线" w:hint="eastAsia"/>
          <w:color w:val="auto"/>
          <w:sz w:val="21"/>
        </w:rPr>
        <w:t>法院可以定期将辖区内行政机关负责人出庭应诉情况进行统计、分析、评价，向同级人民代表大会常务委员会报告,向同级人民政府进行通报。</w:t>
      </w:r>
    </w:p>
    <w:p w14:paraId="2BBE0329" w14:textId="2D24F772"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w:t>
      </w:r>
      <w:r w:rsidR="009E7889" w:rsidRPr="000C093A">
        <w:rPr>
          <w:rFonts w:eastAsia="宋体" w:hAnsi="宋体" w:cs="Times New Roman" w:hint="eastAsia"/>
          <w:b/>
          <w:bCs/>
          <w:sz w:val="21"/>
        </w:rPr>
        <w:t>八</w:t>
      </w:r>
      <w:r w:rsidRPr="000C093A">
        <w:rPr>
          <w:rFonts w:eastAsia="宋体" w:hAnsi="宋体" w:cs="Times New Roman" w:hint="eastAsia"/>
          <w:b/>
          <w:bCs/>
          <w:sz w:val="21"/>
        </w:rPr>
        <w:t>）原告以行政机关负责人未履行出庭义务为由实施相应行为的处置</w:t>
      </w:r>
    </w:p>
    <w:p w14:paraId="1B2898A7" w14:textId="77777777"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原告以行政机关未履行出庭义务为由拒不到庭、未经法庭许可中途退庭的，法院可以按照撤诉处理。</w:t>
      </w:r>
    </w:p>
    <w:bookmarkEnd w:id="3"/>
    <w:p w14:paraId="55A75385" w14:textId="23088CBB" w:rsidR="005B4F9C" w:rsidRPr="000C093A" w:rsidRDefault="005B4F9C" w:rsidP="000C093A">
      <w:pPr>
        <w:pStyle w:val="af2"/>
        <w:spacing w:line="276" w:lineRule="auto"/>
        <w:ind w:firstLineChars="0" w:firstLine="0"/>
        <w:rPr>
          <w:rFonts w:eastAsia="宋体" w:hAnsi="宋体" w:cs="宋体" w:hint="eastAsia"/>
          <w:b/>
          <w:bCs/>
          <w:sz w:val="21"/>
        </w:rPr>
      </w:pPr>
      <w:r w:rsidRPr="000C093A">
        <w:rPr>
          <w:rFonts w:eastAsia="宋体" w:hAnsi="宋体" w:hint="eastAsia"/>
          <w:b/>
          <w:bCs/>
          <w:sz w:val="21"/>
        </w:rPr>
        <w:t>二、行政诉讼中对民事争议的处理</w:t>
      </w:r>
    </w:p>
    <w:p w14:paraId="0F3BF680"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（一）原则：告知另行起诉</w:t>
      </w:r>
    </w:p>
    <w:p w14:paraId="79406490" w14:textId="1B61A7E1" w:rsidR="005B4F9C" w:rsidRPr="000C093A" w:rsidRDefault="00DF510D"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lastRenderedPageBreak/>
        <w:t>一般</w:t>
      </w:r>
      <w:r w:rsidR="005B4F9C" w:rsidRPr="000C093A">
        <w:rPr>
          <w:rFonts w:eastAsia="宋体" w:hAnsi="宋体" w:cs="等线" w:hint="eastAsia"/>
          <w:color w:val="auto"/>
          <w:sz w:val="21"/>
        </w:rPr>
        <w:t>涉及与该行政纠纷关系密切的民事纠纷，只能告知当事人另行起诉，作为民事诉讼处理。</w:t>
      </w:r>
    </w:p>
    <w:p w14:paraId="365EDB41"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（二）例外：一并审理民事争议</w:t>
      </w:r>
    </w:p>
    <w:p w14:paraId="67D5199B" w14:textId="7E6AE10F"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1．行政诉讼一并审理民事争议的适用范围</w:t>
      </w:r>
      <w:r w:rsidR="00DF510D" w:rsidRPr="000C093A">
        <w:rPr>
          <w:rFonts w:eastAsia="宋体" w:hAnsi="宋体" w:hint="eastAsia"/>
          <w:color w:val="auto"/>
          <w:sz w:val="21"/>
        </w:rPr>
        <w:t>。</w:t>
      </w:r>
      <w:r w:rsidRPr="000C093A">
        <w:rPr>
          <w:rFonts w:eastAsia="宋体" w:hAnsi="宋体" w:cs="等线" w:hint="eastAsia"/>
          <w:color w:val="auto"/>
          <w:sz w:val="21"/>
        </w:rPr>
        <w:t>在涉及</w:t>
      </w:r>
      <w:r w:rsidRPr="000C093A">
        <w:rPr>
          <w:rFonts w:eastAsia="宋体" w:hAnsi="宋体" w:cs="等线" w:hint="eastAsia"/>
          <w:color w:val="FF0000"/>
          <w:sz w:val="21"/>
        </w:rPr>
        <w:t>行政许可、登记、征收、征用、裁决的</w:t>
      </w:r>
      <w:r w:rsidRPr="000C093A">
        <w:rPr>
          <w:rFonts w:eastAsia="宋体" w:hAnsi="宋体" w:cs="等线" w:hint="eastAsia"/>
          <w:color w:val="auto"/>
          <w:sz w:val="21"/>
        </w:rPr>
        <w:t>行政诉讼中，当事人申请一并解决相关民事争议的，人民法院</w:t>
      </w:r>
      <w:r w:rsidRPr="000C093A">
        <w:rPr>
          <w:rFonts w:eastAsia="宋体" w:hAnsi="宋体" w:cs="等线" w:hint="eastAsia"/>
          <w:color w:val="FF0000"/>
          <w:sz w:val="21"/>
        </w:rPr>
        <w:t>可以</w:t>
      </w:r>
      <w:r w:rsidRPr="000C093A">
        <w:rPr>
          <w:rFonts w:eastAsia="宋体" w:hAnsi="宋体" w:cs="等线" w:hint="eastAsia"/>
          <w:color w:val="auto"/>
          <w:sz w:val="21"/>
        </w:rPr>
        <w:t>一并审理。</w:t>
      </w:r>
    </w:p>
    <w:p w14:paraId="425CD7A0" w14:textId="6548F3E2"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2．行政诉讼一并审理民事争议的排除适用范围</w:t>
      </w:r>
      <w:r w:rsidR="00DF510D" w:rsidRPr="000C093A">
        <w:rPr>
          <w:rFonts w:eastAsia="宋体" w:hAnsi="宋体" w:hint="eastAsia"/>
          <w:color w:val="auto"/>
          <w:sz w:val="21"/>
        </w:rPr>
        <w:t>。</w:t>
      </w:r>
      <w:r w:rsidRPr="000C093A">
        <w:rPr>
          <w:rFonts w:eastAsia="宋体" w:hAnsi="宋体" w:cs="等线" w:hint="eastAsia"/>
          <w:color w:val="auto"/>
          <w:sz w:val="21"/>
        </w:rPr>
        <w:t>①法律规定该民事争议需要行政机关先行处理的。②受理违反民事诉讼专属管辖或协议管辖的。③</w:t>
      </w:r>
      <w:r w:rsidRPr="000C093A">
        <w:rPr>
          <w:rFonts w:eastAsia="宋体" w:hAnsi="宋体" w:cs="等线" w:hint="eastAsia"/>
          <w:color w:val="FF0000"/>
          <w:sz w:val="21"/>
        </w:rPr>
        <w:t>民事争议约定仲裁或者已经提起民事诉讼的。</w:t>
      </w:r>
      <w:r w:rsidRPr="000C093A">
        <w:rPr>
          <w:rFonts w:eastAsia="宋体" w:hAnsi="宋体" w:cs="等线" w:hint="eastAsia"/>
          <w:color w:val="auto"/>
          <w:sz w:val="21"/>
        </w:rPr>
        <w:t>④其他不宜一并审理的民事争议。</w:t>
      </w:r>
    </w:p>
    <w:p w14:paraId="7EC8E37F" w14:textId="77777777" w:rsidR="005B4F9C" w:rsidRPr="000C093A" w:rsidRDefault="005B4F9C" w:rsidP="000C093A">
      <w:pPr>
        <w:pStyle w:val="af2"/>
        <w:spacing w:line="276" w:lineRule="auto"/>
        <w:ind w:firstLine="420"/>
        <w:rPr>
          <w:rFonts w:eastAsia="宋体" w:hAnsi="宋体" w:cs="等线" w:hint="eastAsia"/>
          <w:color w:val="FF0000"/>
          <w:sz w:val="21"/>
        </w:rPr>
      </w:pPr>
      <w:r w:rsidRPr="000C093A">
        <w:rPr>
          <w:rFonts w:eastAsia="宋体" w:hAnsi="宋体" w:cs="等线" w:hint="eastAsia"/>
          <w:color w:val="FF0000"/>
          <w:sz w:val="21"/>
        </w:rPr>
        <w:t>对法院不予准许一并审理的决定，当事人可以申请复议一次。</w:t>
      </w:r>
    </w:p>
    <w:p w14:paraId="5BC6CF58" w14:textId="04E9EACE"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3．提出一并解决民事争议的时间</w:t>
      </w:r>
      <w:r w:rsidR="00DF510D" w:rsidRPr="000C093A">
        <w:rPr>
          <w:rFonts w:eastAsia="宋体" w:hAnsi="宋体" w:hint="eastAsia"/>
          <w:color w:val="auto"/>
          <w:sz w:val="21"/>
        </w:rPr>
        <w:t>。</w:t>
      </w:r>
      <w:r w:rsidRPr="000C093A">
        <w:rPr>
          <w:rFonts w:eastAsia="宋体" w:hAnsi="宋体" w:cs="等线" w:hint="eastAsia"/>
          <w:color w:val="auto"/>
          <w:sz w:val="21"/>
        </w:rPr>
        <w:t>原则：一审开庭审理前。例外：有正当理由的，在法庭调查中提出。</w:t>
      </w:r>
    </w:p>
    <w:p w14:paraId="32BAC833" w14:textId="0DCF2F16"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4．审理方式</w:t>
      </w:r>
      <w:r w:rsidR="00DF510D" w:rsidRPr="000C093A">
        <w:rPr>
          <w:rFonts w:eastAsia="宋体" w:hAnsi="宋体" w:hint="eastAsia"/>
          <w:color w:val="auto"/>
          <w:sz w:val="21"/>
        </w:rPr>
        <w:t>。</w:t>
      </w:r>
      <w:r w:rsidRPr="000C093A">
        <w:rPr>
          <w:rFonts w:eastAsia="宋体" w:hAnsi="宋体" w:cs="等线" w:hint="eastAsia"/>
          <w:color w:val="auto"/>
          <w:sz w:val="21"/>
        </w:rPr>
        <w:t>原则：民事争议应当单独立案，由同一审判组织审理。例外：</w:t>
      </w:r>
      <w:r w:rsidRPr="000C093A">
        <w:rPr>
          <w:rFonts w:eastAsia="宋体" w:hAnsi="宋体" w:cs="等线" w:hint="eastAsia"/>
          <w:color w:val="FF0000"/>
          <w:sz w:val="21"/>
        </w:rPr>
        <w:t>审理行政机关对民事争议所作裁决的案件，一并审理民事争议的，</w:t>
      </w:r>
      <w:proofErr w:type="gramStart"/>
      <w:r w:rsidRPr="000C093A">
        <w:rPr>
          <w:rFonts w:eastAsia="宋体" w:hAnsi="宋体" w:cs="等线" w:hint="eastAsia"/>
          <w:color w:val="FF0000"/>
          <w:sz w:val="21"/>
        </w:rPr>
        <w:t>不</w:t>
      </w:r>
      <w:proofErr w:type="gramEnd"/>
      <w:r w:rsidRPr="000C093A">
        <w:rPr>
          <w:rFonts w:eastAsia="宋体" w:hAnsi="宋体" w:cs="等线" w:hint="eastAsia"/>
          <w:color w:val="FF0000"/>
          <w:sz w:val="21"/>
        </w:rPr>
        <w:t>另行立案。</w:t>
      </w:r>
    </w:p>
    <w:p w14:paraId="6B7EF920" w14:textId="36C8530B"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5．适用法律</w:t>
      </w:r>
      <w:r w:rsidR="00DF510D" w:rsidRPr="000C093A">
        <w:rPr>
          <w:rFonts w:eastAsia="宋体" w:hAnsi="宋体" w:hint="eastAsia"/>
          <w:color w:val="auto"/>
          <w:sz w:val="21"/>
        </w:rPr>
        <w:t>。</w:t>
      </w:r>
      <w:r w:rsidRPr="000C093A">
        <w:rPr>
          <w:rFonts w:eastAsia="宋体" w:hAnsi="宋体" w:cs="等线" w:hint="eastAsia"/>
          <w:color w:val="auto"/>
          <w:sz w:val="21"/>
        </w:rPr>
        <w:t>一并审理相关民事争议，适用民事法律规范的相关规定。</w:t>
      </w:r>
    </w:p>
    <w:p w14:paraId="45ECC7B5" w14:textId="3A0BB9DB"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6．裁判方式</w:t>
      </w:r>
      <w:r w:rsidR="00DF510D" w:rsidRPr="000C093A">
        <w:rPr>
          <w:rFonts w:eastAsia="宋体" w:hAnsi="宋体" w:hint="eastAsia"/>
          <w:color w:val="auto"/>
          <w:sz w:val="21"/>
        </w:rPr>
        <w:t>。</w:t>
      </w:r>
      <w:r w:rsidRPr="000C093A">
        <w:rPr>
          <w:rFonts w:eastAsia="宋体" w:hAnsi="宋体" w:cs="等线" w:hint="eastAsia"/>
          <w:color w:val="auto"/>
          <w:sz w:val="21"/>
        </w:rPr>
        <w:t>原则：行政争议和民事争议应当分别裁判。例外：</w:t>
      </w:r>
      <w:r w:rsidRPr="000C093A">
        <w:rPr>
          <w:rFonts w:eastAsia="宋体" w:hAnsi="宋体" w:cs="等线" w:hint="eastAsia"/>
          <w:color w:val="FF0000"/>
          <w:sz w:val="21"/>
        </w:rPr>
        <w:t>行政裁决案件一并解决民事争议的，法院针对行政裁决和民事权利一并</w:t>
      </w:r>
      <w:proofErr w:type="gramStart"/>
      <w:r w:rsidRPr="000C093A">
        <w:rPr>
          <w:rFonts w:eastAsia="宋体" w:hAnsi="宋体" w:cs="等线" w:hint="eastAsia"/>
          <w:color w:val="FF0000"/>
          <w:sz w:val="21"/>
        </w:rPr>
        <w:t>作出</w:t>
      </w:r>
      <w:proofErr w:type="gramEnd"/>
      <w:r w:rsidRPr="000C093A">
        <w:rPr>
          <w:rFonts w:eastAsia="宋体" w:hAnsi="宋体" w:cs="等线" w:hint="eastAsia"/>
          <w:color w:val="FF0000"/>
          <w:sz w:val="21"/>
        </w:rPr>
        <w:t>裁判</w:t>
      </w:r>
      <w:r w:rsidRPr="000C093A">
        <w:rPr>
          <w:rFonts w:eastAsia="宋体" w:hAnsi="宋体" w:cs="等线" w:hint="eastAsia"/>
          <w:color w:val="auto"/>
          <w:sz w:val="21"/>
        </w:rPr>
        <w:t>。</w:t>
      </w:r>
      <w:r w:rsidRPr="000C093A">
        <w:rPr>
          <w:rFonts w:eastAsia="宋体" w:hAnsi="宋体" w:cs="等线" w:hint="eastAsia"/>
          <w:color w:val="FF0000"/>
          <w:sz w:val="21"/>
        </w:rPr>
        <w:t>即行政裁决案件，合并立案、合并审理、合并裁判。</w:t>
      </w:r>
    </w:p>
    <w:p w14:paraId="13F9E958" w14:textId="0AFDDC0D"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7．对上诉的处理</w:t>
      </w:r>
      <w:r w:rsidR="00DF510D" w:rsidRPr="000C093A">
        <w:rPr>
          <w:rFonts w:eastAsia="宋体" w:hAnsi="宋体" w:hint="eastAsia"/>
          <w:color w:val="auto"/>
          <w:sz w:val="21"/>
        </w:rPr>
        <w:t>。</w:t>
      </w:r>
      <w:r w:rsidRPr="000C093A">
        <w:rPr>
          <w:rFonts w:eastAsia="宋体" w:hAnsi="宋体" w:cs="等线" w:hint="eastAsia"/>
          <w:color w:val="auto"/>
          <w:sz w:val="21"/>
        </w:rPr>
        <w:t>当事人仅对行政裁判或者民事裁判提出上诉的，未上诉的裁判在上诉期满后即发生法律效力。</w:t>
      </w:r>
    </w:p>
    <w:p w14:paraId="159EB08C" w14:textId="13C1C060"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8．诉讼费用收取</w:t>
      </w:r>
      <w:r w:rsidR="00DF510D" w:rsidRPr="000C093A">
        <w:rPr>
          <w:rFonts w:eastAsia="宋体" w:hAnsi="宋体" w:hint="eastAsia"/>
          <w:color w:val="auto"/>
          <w:sz w:val="21"/>
        </w:rPr>
        <w:t>。</w:t>
      </w:r>
      <w:r w:rsidRPr="000C093A">
        <w:rPr>
          <w:rFonts w:eastAsia="宋体" w:hAnsi="宋体" w:cs="Times New Roman" w:hint="eastAsia"/>
          <w:color w:val="FF0000"/>
          <w:sz w:val="21"/>
        </w:rPr>
        <w:t>一并审理相关民事争议，按行政案件、民事案件的标准分别收取诉讼费用。</w:t>
      </w:r>
    </w:p>
    <w:p w14:paraId="03E7B98A" w14:textId="77777777" w:rsidR="005B4F9C" w:rsidRPr="000C093A" w:rsidRDefault="005B4F9C" w:rsidP="000C093A">
      <w:pPr>
        <w:pStyle w:val="af2"/>
        <w:spacing w:line="276" w:lineRule="auto"/>
        <w:ind w:firstLineChars="0" w:firstLine="0"/>
        <w:rPr>
          <w:rFonts w:eastAsia="宋体" w:hAnsi="宋体" w:hint="eastAsia"/>
          <w:b/>
          <w:bCs/>
          <w:sz w:val="21"/>
        </w:rPr>
      </w:pPr>
      <w:r w:rsidRPr="000C093A">
        <w:rPr>
          <w:rFonts w:eastAsia="宋体" w:hAnsi="宋体" w:hint="eastAsia"/>
          <w:b/>
          <w:bCs/>
          <w:sz w:val="21"/>
        </w:rPr>
        <w:t>三、撤诉程序</w:t>
      </w:r>
    </w:p>
    <w:p w14:paraId="6CF28FDA" w14:textId="77777777" w:rsidR="005B4F9C" w:rsidRPr="000C093A" w:rsidRDefault="005B4F9C" w:rsidP="000C093A">
      <w:pPr>
        <w:pStyle w:val="af2"/>
        <w:spacing w:line="276" w:lineRule="auto"/>
        <w:ind w:firstLine="422"/>
        <w:rPr>
          <w:rFonts w:eastAsia="宋体" w:hAnsi="宋体" w:cs="Times New Roman" w:hint="eastAsia"/>
          <w:b/>
          <w:bCs/>
          <w:sz w:val="21"/>
        </w:rPr>
      </w:pPr>
      <w:bookmarkStart w:id="5" w:name="_Hlk37844551"/>
      <w:r w:rsidRPr="000C093A">
        <w:rPr>
          <w:rFonts w:eastAsia="宋体" w:hAnsi="宋体" w:cs="Times New Roman" w:hint="eastAsia"/>
          <w:b/>
          <w:bCs/>
          <w:sz w:val="21"/>
        </w:rPr>
        <w:t>（一）自愿撤诉</w:t>
      </w:r>
    </w:p>
    <w:p w14:paraId="21F8B45A" w14:textId="77777777" w:rsidR="00383824" w:rsidRPr="00383824" w:rsidRDefault="00383824" w:rsidP="000C093A">
      <w:pPr>
        <w:tabs>
          <w:tab w:val="clear" w:pos="420"/>
        </w:tabs>
        <w:spacing w:line="276" w:lineRule="auto"/>
        <w:ind w:firstLineChars="202" w:firstLine="424"/>
        <w:rPr>
          <w:rFonts w:eastAsia="宋体" w:hint="eastAsia"/>
          <w:color w:val="auto"/>
        </w:rPr>
      </w:pPr>
      <w:r w:rsidRPr="00383824">
        <w:rPr>
          <w:rFonts w:eastAsia="宋体"/>
          <w:color w:val="auto"/>
        </w:rPr>
        <w:t>人民法院对行政案件宣告判决或者裁定前，</w:t>
      </w:r>
      <w:r w:rsidRPr="00383824">
        <w:rPr>
          <w:rFonts w:eastAsia="宋体"/>
          <w:color w:val="FF0000"/>
        </w:rPr>
        <w:t>原告申请撤诉的</w:t>
      </w:r>
      <w:r w:rsidRPr="00383824">
        <w:rPr>
          <w:rFonts w:eastAsia="宋体"/>
          <w:color w:val="auto"/>
        </w:rPr>
        <w:t>，</w:t>
      </w:r>
      <w:r w:rsidRPr="00383824">
        <w:rPr>
          <w:rFonts w:eastAsia="宋体" w:hint="eastAsia"/>
          <w:color w:val="auto"/>
        </w:rPr>
        <w:t>符合以下条件，人民法院应当准许：原告提出；自愿申请；合法；裁判</w:t>
      </w:r>
      <w:proofErr w:type="gramStart"/>
      <w:r w:rsidRPr="00383824">
        <w:rPr>
          <w:rFonts w:eastAsia="宋体" w:hint="eastAsia"/>
          <w:color w:val="auto"/>
        </w:rPr>
        <w:t>作出</w:t>
      </w:r>
      <w:proofErr w:type="gramEnd"/>
      <w:r w:rsidRPr="00383824">
        <w:rPr>
          <w:rFonts w:eastAsia="宋体" w:hint="eastAsia"/>
          <w:color w:val="auto"/>
        </w:rPr>
        <w:t>前提出；经法院准许。</w:t>
      </w:r>
    </w:p>
    <w:p w14:paraId="5D567364" w14:textId="57159B10" w:rsidR="00383824" w:rsidRPr="000C093A" w:rsidRDefault="00383824" w:rsidP="000C093A">
      <w:pPr>
        <w:tabs>
          <w:tab w:val="clear" w:pos="420"/>
        </w:tabs>
        <w:spacing w:line="276" w:lineRule="auto"/>
        <w:ind w:firstLineChars="202" w:firstLine="424"/>
        <w:rPr>
          <w:rFonts w:eastAsia="宋体"/>
          <w:color w:val="auto"/>
        </w:rPr>
      </w:pPr>
      <w:r w:rsidRPr="00383824">
        <w:rPr>
          <w:rFonts w:eastAsia="宋体" w:hint="eastAsia"/>
          <w:color w:val="FF0000"/>
        </w:rPr>
        <w:t>被告改变其所作的行政行为</w:t>
      </w:r>
      <w:r w:rsidRPr="00383824">
        <w:rPr>
          <w:rFonts w:eastAsia="宋体" w:hint="eastAsia"/>
          <w:color w:val="auto"/>
        </w:rPr>
        <w:t>，原告同意并申请撤诉，须符合以下条件：真实意思表示；被告合法改变被诉行为；被告已经改变行为并告知法院；第三人无异议</w:t>
      </w:r>
    </w:p>
    <w:p w14:paraId="4DED6561" w14:textId="430A3731"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w:t>
      </w:r>
      <w:r w:rsidR="00383824" w:rsidRPr="000C093A">
        <w:rPr>
          <w:rFonts w:eastAsia="宋体" w:hAnsi="宋体" w:cs="Times New Roman" w:hint="eastAsia"/>
          <w:b/>
          <w:bCs/>
          <w:sz w:val="21"/>
        </w:rPr>
        <w:t>二</w:t>
      </w:r>
      <w:r w:rsidRPr="000C093A">
        <w:rPr>
          <w:rFonts w:eastAsia="宋体" w:hAnsi="宋体" w:cs="Times New Roman" w:hint="eastAsia"/>
          <w:b/>
          <w:bCs/>
          <w:sz w:val="21"/>
        </w:rPr>
        <w:t>）视为撤诉与缺席判决</w:t>
      </w:r>
    </w:p>
    <w:p w14:paraId="2757082A" w14:textId="77777777"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1．视为撤诉</w:t>
      </w:r>
    </w:p>
    <w:p w14:paraId="0610E5E5" w14:textId="30E0EE3F" w:rsidR="00383824" w:rsidRPr="00383824" w:rsidRDefault="00383824" w:rsidP="000C093A">
      <w:pPr>
        <w:tabs>
          <w:tab w:val="clear" w:pos="420"/>
        </w:tabs>
        <w:spacing w:line="276" w:lineRule="auto"/>
        <w:ind w:firstLineChars="202" w:firstLine="424"/>
        <w:rPr>
          <w:rFonts w:eastAsia="宋体" w:hint="eastAsia"/>
          <w:color w:val="auto"/>
        </w:rPr>
      </w:pPr>
      <w:r w:rsidRPr="00383824">
        <w:rPr>
          <w:rFonts w:eastAsia="宋体"/>
          <w:color w:val="auto"/>
        </w:rPr>
        <w:t>（</w:t>
      </w:r>
      <w:r w:rsidRPr="00383824">
        <w:rPr>
          <w:rFonts w:eastAsia="宋体" w:hint="eastAsia"/>
          <w:color w:val="auto"/>
        </w:rPr>
        <w:t>1</w:t>
      </w:r>
      <w:r w:rsidRPr="00383824">
        <w:rPr>
          <w:rFonts w:eastAsia="宋体"/>
          <w:color w:val="auto"/>
        </w:rPr>
        <w:t>）经人民法院</w:t>
      </w:r>
      <w:r w:rsidRPr="00383824">
        <w:rPr>
          <w:rFonts w:eastAsia="宋体" w:hint="eastAsia"/>
          <w:b/>
          <w:bCs/>
          <w:color w:val="FF0000"/>
          <w:u w:val="single"/>
        </w:rPr>
        <w:t>传票</w:t>
      </w:r>
      <w:r w:rsidRPr="00383824">
        <w:rPr>
          <w:rFonts w:eastAsia="宋体"/>
          <w:b/>
          <w:bCs/>
          <w:color w:val="FF0000"/>
          <w:u w:val="single"/>
        </w:rPr>
        <w:t>传唤</w:t>
      </w:r>
      <w:r w:rsidRPr="00383824">
        <w:rPr>
          <w:rFonts w:eastAsia="宋体" w:hint="eastAsia"/>
          <w:color w:val="auto"/>
        </w:rPr>
        <w:t>，</w:t>
      </w:r>
      <w:r w:rsidRPr="00383824">
        <w:rPr>
          <w:rFonts w:eastAsia="宋体"/>
          <w:color w:val="auto"/>
        </w:rPr>
        <w:t>原告无正当理由拒不到庭</w:t>
      </w:r>
      <w:r w:rsidRPr="00383824">
        <w:rPr>
          <w:rFonts w:eastAsia="宋体" w:hint="eastAsia"/>
          <w:color w:val="auto"/>
        </w:rPr>
        <w:t>：（2）</w:t>
      </w:r>
      <w:r w:rsidRPr="00383824">
        <w:rPr>
          <w:rFonts w:eastAsia="宋体"/>
          <w:color w:val="auto"/>
        </w:rPr>
        <w:t>原告未经法庭许可，中途退庭；</w:t>
      </w:r>
      <w:r w:rsidRPr="00383824">
        <w:rPr>
          <w:rFonts w:eastAsia="宋体" w:hint="eastAsia"/>
          <w:color w:val="auto"/>
        </w:rPr>
        <w:t>（3）</w:t>
      </w:r>
      <w:r w:rsidRPr="00383824">
        <w:rPr>
          <w:rFonts w:eastAsia="宋体"/>
          <w:color w:val="auto"/>
        </w:rPr>
        <w:t>原告</w:t>
      </w:r>
      <w:r w:rsidRPr="00383824">
        <w:rPr>
          <w:rFonts w:eastAsia="宋体" w:hint="eastAsia"/>
          <w:color w:val="auto"/>
        </w:rPr>
        <w:t>未按规定的期限缴纳相关非由。</w:t>
      </w:r>
      <w:r w:rsidRPr="00383824">
        <w:rPr>
          <w:rFonts w:eastAsia="宋体"/>
          <w:color w:val="auto"/>
        </w:rPr>
        <w:t xml:space="preserve"> </w:t>
      </w:r>
    </w:p>
    <w:p w14:paraId="6A064AE3" w14:textId="77777777"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2．缺席判决</w:t>
      </w:r>
    </w:p>
    <w:p w14:paraId="12A843BD" w14:textId="0077D046" w:rsidR="00940BBF" w:rsidRPr="00940BBF" w:rsidRDefault="00940BBF" w:rsidP="000C093A">
      <w:pPr>
        <w:tabs>
          <w:tab w:val="clear" w:pos="420"/>
        </w:tabs>
        <w:spacing w:line="276" w:lineRule="auto"/>
        <w:ind w:firstLineChars="202" w:firstLine="424"/>
        <w:rPr>
          <w:rFonts w:eastAsia="宋体" w:hint="eastAsia"/>
          <w:color w:val="auto"/>
        </w:rPr>
      </w:pPr>
      <w:r w:rsidRPr="000C093A">
        <w:rPr>
          <w:rFonts w:eastAsia="宋体" w:hint="eastAsia"/>
          <w:color w:val="auto"/>
        </w:rPr>
        <w:t>（1）</w:t>
      </w:r>
      <w:r w:rsidRPr="00940BBF">
        <w:rPr>
          <w:rFonts w:eastAsia="宋体"/>
          <w:color w:val="auto"/>
        </w:rPr>
        <w:t>经人民法院传票传唤，被告无正当理由拒不到庭，或者未经法庭许可中途退庭的</w:t>
      </w:r>
      <w:r w:rsidRPr="00940BBF">
        <w:rPr>
          <w:rFonts w:eastAsia="宋体" w:hint="eastAsia"/>
          <w:color w:val="auto"/>
        </w:rPr>
        <w:t>.</w:t>
      </w:r>
    </w:p>
    <w:p w14:paraId="5C3B7051" w14:textId="34E44E72" w:rsidR="00940BBF" w:rsidRPr="00940BBF" w:rsidRDefault="00940BBF" w:rsidP="000C093A">
      <w:pPr>
        <w:tabs>
          <w:tab w:val="clear" w:pos="420"/>
        </w:tabs>
        <w:spacing w:line="276" w:lineRule="auto"/>
        <w:ind w:firstLineChars="202" w:firstLine="424"/>
        <w:rPr>
          <w:rFonts w:eastAsia="宋体" w:hint="eastAsia"/>
          <w:color w:val="auto"/>
        </w:rPr>
      </w:pPr>
      <w:r w:rsidRPr="000C093A">
        <w:rPr>
          <w:rFonts w:eastAsia="宋体" w:hint="eastAsia"/>
          <w:color w:val="auto"/>
        </w:rPr>
        <w:t>（2）</w:t>
      </w:r>
      <w:r w:rsidRPr="00940BBF">
        <w:rPr>
          <w:rFonts w:eastAsia="宋体" w:hint="eastAsia"/>
          <w:color w:val="auto"/>
        </w:rPr>
        <w:t>原告或者上诉人申请撤诉，人民法院裁定不予准许的，原告或者上诉人经传票传唤无正当理由拒不到庭，或者未经法庭许可中途退庭的。</w:t>
      </w:r>
    </w:p>
    <w:p w14:paraId="6F50B847" w14:textId="1094DD24" w:rsidR="00940BBF" w:rsidRPr="00940BBF" w:rsidRDefault="00940BBF" w:rsidP="000C093A">
      <w:pPr>
        <w:tabs>
          <w:tab w:val="clear" w:pos="420"/>
        </w:tabs>
        <w:spacing w:line="276" w:lineRule="auto"/>
        <w:ind w:firstLineChars="202" w:firstLine="424"/>
        <w:rPr>
          <w:rFonts w:eastAsia="宋体" w:hint="eastAsia"/>
          <w:color w:val="auto"/>
        </w:rPr>
      </w:pPr>
      <w:r w:rsidRPr="000C093A">
        <w:rPr>
          <w:rFonts w:eastAsia="宋体" w:hint="eastAsia"/>
          <w:color w:val="auto"/>
        </w:rPr>
        <w:t>（3）</w:t>
      </w:r>
      <w:r w:rsidRPr="00940BBF">
        <w:rPr>
          <w:rFonts w:eastAsia="宋体" w:hint="eastAsia"/>
          <w:color w:val="auto"/>
        </w:rPr>
        <w:t>惩戒措施：将被告拒不到庭或者中途退庭的情况予以</w:t>
      </w:r>
      <w:r w:rsidRPr="00940BBF">
        <w:rPr>
          <w:rFonts w:eastAsia="宋体" w:hint="eastAsia"/>
          <w:color w:val="FF0000"/>
        </w:rPr>
        <w:t>公告</w:t>
      </w:r>
      <w:r w:rsidRPr="00940BBF">
        <w:rPr>
          <w:rFonts w:eastAsia="宋体" w:hint="eastAsia"/>
          <w:color w:val="auto"/>
        </w:rPr>
        <w:t>；向</w:t>
      </w:r>
      <w:r w:rsidRPr="00940BBF">
        <w:rPr>
          <w:rFonts w:eastAsia="宋体" w:hint="eastAsia"/>
          <w:color w:val="FF0000"/>
        </w:rPr>
        <w:t>监察机关或者被告的上一级行政机关</w:t>
      </w:r>
      <w:r w:rsidRPr="00940BBF">
        <w:rPr>
          <w:rFonts w:eastAsia="宋体" w:hint="eastAsia"/>
          <w:color w:val="auto"/>
        </w:rPr>
        <w:t>提出依法给予其主要负责人或者直接责任人员处分的</w:t>
      </w:r>
      <w:r w:rsidRPr="00940BBF">
        <w:rPr>
          <w:rFonts w:eastAsia="宋体" w:hint="eastAsia"/>
          <w:color w:val="FF0000"/>
        </w:rPr>
        <w:t>司法建议</w:t>
      </w:r>
      <w:r w:rsidRPr="00940BBF">
        <w:rPr>
          <w:rFonts w:eastAsia="宋体" w:hint="eastAsia"/>
          <w:color w:val="auto"/>
        </w:rPr>
        <w:t>。</w:t>
      </w:r>
    </w:p>
    <w:p w14:paraId="09CC3E55" w14:textId="39F47556"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FF0000"/>
          <w:sz w:val="21"/>
        </w:rPr>
        <w:t>第三人经合法传唤无正当理由拒不到庭，或未经法庭许可中途退庭的，不影响案件的审</w:t>
      </w:r>
      <w:r w:rsidRPr="000C093A">
        <w:rPr>
          <w:rFonts w:eastAsia="宋体" w:hAnsi="宋体" w:cs="Times New Roman" w:hint="eastAsia"/>
          <w:color w:val="FF0000"/>
          <w:sz w:val="21"/>
        </w:rPr>
        <w:lastRenderedPageBreak/>
        <w:t>理。</w:t>
      </w:r>
    </w:p>
    <w:p w14:paraId="531A41D2" w14:textId="18E64B79" w:rsidR="005B4F9C" w:rsidRPr="000C093A" w:rsidRDefault="005B4F9C" w:rsidP="000C093A">
      <w:pPr>
        <w:pStyle w:val="af2"/>
        <w:spacing w:line="276" w:lineRule="auto"/>
        <w:ind w:firstLine="420"/>
        <w:rPr>
          <w:rFonts w:eastAsia="宋体" w:hAnsi="宋体" w:cs="华康娃娃体W5" w:hint="eastAsia"/>
          <w:color w:val="FF0000"/>
          <w:sz w:val="21"/>
        </w:rPr>
      </w:pPr>
      <w:r w:rsidRPr="000C093A">
        <w:rPr>
          <w:rFonts w:eastAsia="宋体" w:hAnsi="宋体" w:cs="汉仪书宋二简"/>
          <w:noProof/>
          <w:color w:val="FF0000"/>
          <w:sz w:val="21"/>
        </w:rPr>
        <mc:AlternateContent>
          <mc:Choice Requires="wps">
            <w:drawing>
              <wp:anchor distT="0" distB="0" distL="114300" distR="114300" simplePos="0" relativeHeight="251681792" behindDoc="0" locked="0" layoutInCell="1" allowOverlap="1" wp14:anchorId="4561175A" wp14:editId="38C9A89E">
                <wp:simplePos x="0" y="0"/>
                <wp:positionH relativeFrom="column">
                  <wp:posOffset>57785</wp:posOffset>
                </wp:positionH>
                <wp:positionV relativeFrom="paragraph">
                  <wp:posOffset>73396</wp:posOffset>
                </wp:positionV>
                <wp:extent cx="142875" cy="142875"/>
                <wp:effectExtent l="0" t="0" r="9525" b="9525"/>
                <wp:wrapNone/>
                <wp:docPr id="783985357"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4D05684" id="五角星 1" o:spid="_x0000_s1026" style="position:absolute;margin-left:4.55pt;margin-top:5.8pt;width:11.2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HEPr7jZAAAABgEAAA8A&#10;AABkcnMvZG93bnJldi54bWxMjkFLxDAQhe+C/yGM4M1No0vR2nSRFcGLQqvsOW3GtthMSpPd1H/v&#10;7ElPjzfv8eYrd6ubxAmXMHrSoDYZCKTO25F6DZ8fLzf3IEI0ZM3kCTX8YIBddXlRmsL6RDWemtgL&#10;HqFQGA1DjHMhZegGdCZs/IzE2ZdfnIlsl17axSQed5O8zbJcOjMSfxjMjPsBu+/m6DQ06bB/H98O&#10;ScXUyjzWr8tzvdX6+mp9egQRcY1/ZTjjMzpUzNT6I9kgJg0Piot8VjkIju/O2rJuFciqlP/xq18A&#10;AAD//wMAUEsBAi0AFAAGAAgAAAAhALaDOJL+AAAA4QEAABMAAAAAAAAAAAAAAAAAAAAAAFtDb250&#10;ZW50X1R5cGVzXS54bWxQSwECLQAUAAYACAAAACEAOP0h/9YAAACUAQAACwAAAAAAAAAAAAAAAAAv&#10;AQAAX3JlbHMvLnJlbHNQSwECLQAUAAYACAAAACEA4MLyRzcCAABoBAAADgAAAAAAAAAAAAAAAAAu&#10;AgAAZHJzL2Uyb0RvYy54bWxQSwECLQAUAAYACAAAACEAcQ+vuNkAAAAGAQAADwAAAAAAAAAAAAAA&#10;AACRBAAAZHJzL2Rvd25yZXYueG1sUEsFBgAAAAAEAAQA8wAAAJcFA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0C093A">
        <w:rPr>
          <w:rFonts w:eastAsia="宋体" w:hAnsi="宋体" w:cs="仿宋" w:hint="eastAsia"/>
          <w:color w:val="FF0000"/>
          <w:sz w:val="21"/>
        </w:rPr>
        <w:t>注意：</w:t>
      </w:r>
      <w:r w:rsidRPr="000C093A">
        <w:rPr>
          <w:rFonts w:eastAsia="宋体" w:hAnsi="宋体" w:cs="华康娃娃体W5" w:hint="eastAsia"/>
          <w:sz w:val="21"/>
        </w:rPr>
        <w:t>法院对被告经传票传唤无正当理由拒不到庭，或者未经法庭许可中途退庭的，</w:t>
      </w:r>
      <w:r w:rsidRPr="000C093A">
        <w:rPr>
          <w:rFonts w:eastAsia="宋体" w:hAnsi="宋体" w:cs="华康娃娃体W5" w:hint="eastAsia"/>
          <w:color w:val="FF0000"/>
          <w:sz w:val="21"/>
        </w:rPr>
        <w:t>可以将被告拒不到庭或者中途退庭的情况予以公告，并可以向监察机关或者被告的上一级行政机关提出依法给予其主要负责人或者直接责任人员处分的司法建议。</w:t>
      </w:r>
    </w:p>
    <w:p w14:paraId="08BDC23B" w14:textId="6E9321DC" w:rsidR="005B4F9C" w:rsidRPr="000C093A" w:rsidRDefault="005B4F9C" w:rsidP="000C093A">
      <w:pPr>
        <w:pStyle w:val="af2"/>
        <w:spacing w:line="276" w:lineRule="auto"/>
        <w:ind w:firstLineChars="0" w:firstLine="0"/>
        <w:rPr>
          <w:rFonts w:eastAsia="宋体" w:hAnsi="宋体" w:cs="宋体" w:hint="eastAsia"/>
          <w:b/>
          <w:bCs/>
          <w:sz w:val="21"/>
        </w:rPr>
      </w:pPr>
      <w:bookmarkStart w:id="6" w:name="_Hlk37844601"/>
      <w:bookmarkEnd w:id="5"/>
      <w:r w:rsidRPr="000C093A">
        <w:rPr>
          <w:rFonts w:eastAsia="宋体" w:hAnsi="宋体" w:hint="eastAsia"/>
          <w:b/>
          <w:bCs/>
          <w:sz w:val="21"/>
        </w:rPr>
        <w:t>四、调解制度</w:t>
      </w:r>
    </w:p>
    <w:p w14:paraId="57CE433B" w14:textId="62B90EE9"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（一）调解案件范围</w:t>
      </w:r>
      <w:r w:rsidR="00940BBF" w:rsidRPr="000C093A">
        <w:rPr>
          <w:rFonts w:eastAsia="宋体" w:hAnsi="宋体" w:cs="Times New Roman" w:hint="eastAsia"/>
          <w:b/>
          <w:bCs/>
          <w:color w:val="FF0000"/>
          <w:sz w:val="21"/>
        </w:rPr>
        <w:t>。</w:t>
      </w:r>
      <w:r w:rsidRPr="000C093A">
        <w:rPr>
          <w:rFonts w:eastAsia="宋体" w:hAnsi="宋体" w:cs="Times New Roman" w:hint="eastAsia"/>
          <w:color w:val="auto"/>
          <w:sz w:val="21"/>
        </w:rPr>
        <w:t>法院审理行政案件，不适用调解。但是，</w:t>
      </w:r>
      <w:r w:rsidRPr="000C093A">
        <w:rPr>
          <w:rFonts w:eastAsia="宋体" w:hAnsi="宋体" w:cs="Times New Roman" w:hint="eastAsia"/>
          <w:color w:val="FF0000"/>
          <w:sz w:val="21"/>
        </w:rPr>
        <w:t>行政赔偿、行政补偿、行政协议以及行政机关行使法律、法规规定的自由裁量权的案件可以调解。</w:t>
      </w:r>
    </w:p>
    <w:p w14:paraId="1D026D63" w14:textId="6044B89B"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（二）调解过程</w:t>
      </w:r>
      <w:r w:rsidR="00940BBF" w:rsidRPr="000C093A">
        <w:rPr>
          <w:rFonts w:eastAsia="宋体" w:hAnsi="宋体" w:cs="Times New Roman" w:hint="eastAsia"/>
          <w:b/>
          <w:bCs/>
          <w:sz w:val="21"/>
        </w:rPr>
        <w:t>。</w:t>
      </w:r>
      <w:r w:rsidRPr="000C093A">
        <w:rPr>
          <w:rFonts w:eastAsia="宋体" w:hAnsi="宋体" w:cs="Times New Roman" w:hint="eastAsia"/>
          <w:color w:val="auto"/>
          <w:sz w:val="21"/>
        </w:rPr>
        <w:t>原则：调解过程不公开。例外：当事人同意公开的，调解过程可以公开。</w:t>
      </w:r>
    </w:p>
    <w:p w14:paraId="6257AD93" w14:textId="5B1A7EE2"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（三）调解结果</w:t>
      </w:r>
      <w:r w:rsidR="00940BBF" w:rsidRPr="000C093A">
        <w:rPr>
          <w:rFonts w:eastAsia="宋体" w:hAnsi="宋体" w:cs="Times New Roman" w:hint="eastAsia"/>
          <w:b/>
          <w:bCs/>
          <w:sz w:val="21"/>
        </w:rPr>
        <w:t>。</w:t>
      </w:r>
      <w:r w:rsidRPr="000C093A">
        <w:rPr>
          <w:rFonts w:eastAsia="宋体" w:hAnsi="宋体" w:cs="Times New Roman" w:hint="eastAsia"/>
          <w:color w:val="auto"/>
          <w:sz w:val="21"/>
        </w:rPr>
        <w:t>调解达成协议的，法院应当制作调解书。不愿调解、调解未达成协议的，法院应当及时判决。</w:t>
      </w:r>
    </w:p>
    <w:p w14:paraId="0E18B1F4" w14:textId="20B9EAD5"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w:t>
      </w:r>
      <w:r w:rsidR="00940BBF" w:rsidRPr="000C093A">
        <w:rPr>
          <w:rFonts w:eastAsia="宋体" w:hAnsi="宋体" w:cs="Times New Roman" w:hint="eastAsia"/>
          <w:b/>
          <w:bCs/>
          <w:sz w:val="21"/>
        </w:rPr>
        <w:t>四</w:t>
      </w:r>
      <w:r w:rsidRPr="000C093A">
        <w:rPr>
          <w:rFonts w:eastAsia="宋体" w:hAnsi="宋体" w:cs="Times New Roman" w:hint="eastAsia"/>
          <w:b/>
          <w:bCs/>
          <w:sz w:val="21"/>
        </w:rPr>
        <w:t>）调解书的生效</w:t>
      </w:r>
      <w:r w:rsidR="00940BBF" w:rsidRPr="000C093A">
        <w:rPr>
          <w:rFonts w:eastAsia="宋体" w:hAnsi="宋体" w:cs="Times New Roman" w:hint="eastAsia"/>
          <w:b/>
          <w:bCs/>
          <w:sz w:val="21"/>
        </w:rPr>
        <w:t>。</w:t>
      </w:r>
      <w:r w:rsidRPr="000C093A">
        <w:rPr>
          <w:rFonts w:eastAsia="宋体" w:hAnsi="宋体" w:cs="Times New Roman" w:hint="eastAsia"/>
          <w:color w:val="auto"/>
          <w:sz w:val="21"/>
        </w:rPr>
        <w:t>调解书经双方当事人签收后，即具有法律效力。调解书生效日期根据最后收到调解书的当事人签收的日期确定。</w:t>
      </w:r>
    </w:p>
    <w:p w14:paraId="5280F6A9" w14:textId="3B960013"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w:t>
      </w:r>
      <w:r w:rsidR="00940BBF" w:rsidRPr="000C093A">
        <w:rPr>
          <w:rFonts w:eastAsia="宋体" w:hAnsi="宋体" w:cs="Times New Roman" w:hint="eastAsia"/>
          <w:b/>
          <w:bCs/>
          <w:sz w:val="21"/>
        </w:rPr>
        <w:t>五</w:t>
      </w:r>
      <w:r w:rsidRPr="000C093A">
        <w:rPr>
          <w:rFonts w:eastAsia="宋体" w:hAnsi="宋体" w:cs="Times New Roman" w:hint="eastAsia"/>
          <w:b/>
          <w:bCs/>
          <w:sz w:val="21"/>
        </w:rPr>
        <w:t>）调解协议是否公开</w:t>
      </w:r>
      <w:r w:rsidR="00940BBF" w:rsidRPr="000C093A">
        <w:rPr>
          <w:rFonts w:eastAsia="宋体" w:hAnsi="宋体" w:cs="Times New Roman" w:hint="eastAsia"/>
          <w:b/>
          <w:bCs/>
          <w:sz w:val="21"/>
        </w:rPr>
        <w:t>。</w:t>
      </w:r>
      <w:r w:rsidRPr="000C093A">
        <w:rPr>
          <w:rFonts w:eastAsia="宋体" w:hAnsi="宋体" w:cs="Times New Roman" w:hint="eastAsia"/>
          <w:color w:val="auto"/>
          <w:sz w:val="21"/>
        </w:rPr>
        <w:t>原则：调解协议内容不公开。例外：为保护国家利益、社会公共利益、他人合法权益，法院认为确有必要公开的可公开。</w:t>
      </w:r>
    </w:p>
    <w:bookmarkEnd w:id="6"/>
    <w:p w14:paraId="2A646441" w14:textId="47EC21B6" w:rsidR="005B4F9C" w:rsidRPr="000C093A" w:rsidRDefault="005B4F9C" w:rsidP="000C093A">
      <w:pPr>
        <w:pStyle w:val="af2"/>
        <w:spacing w:line="276" w:lineRule="auto"/>
        <w:ind w:firstLineChars="0" w:firstLine="0"/>
        <w:rPr>
          <w:rFonts w:eastAsia="宋体" w:hAnsi="宋体" w:cs="宋体" w:hint="eastAsia"/>
          <w:b/>
          <w:bCs/>
          <w:sz w:val="21"/>
        </w:rPr>
      </w:pPr>
      <w:r w:rsidRPr="000C093A">
        <w:rPr>
          <w:rFonts w:eastAsia="宋体" w:hAnsi="宋体" w:hint="eastAsia"/>
          <w:b/>
          <w:bCs/>
          <w:sz w:val="21"/>
        </w:rPr>
        <w:t>五、保全措施</w:t>
      </w:r>
    </w:p>
    <w:p w14:paraId="6866D858"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（一）诉中保全措施</w:t>
      </w:r>
    </w:p>
    <w:p w14:paraId="7FBA9128" w14:textId="1B7C8A56"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1．启动方式</w:t>
      </w:r>
      <w:r w:rsidR="00E9274E" w:rsidRPr="000C093A">
        <w:rPr>
          <w:rFonts w:eastAsia="宋体" w:hAnsi="宋体" w:hint="eastAsia"/>
          <w:color w:val="auto"/>
          <w:sz w:val="21"/>
        </w:rPr>
        <w:t>。</w:t>
      </w:r>
      <w:r w:rsidRPr="000C093A">
        <w:rPr>
          <w:rFonts w:eastAsia="宋体" w:hAnsi="宋体" w:cs="Times New Roman" w:hint="eastAsia"/>
          <w:color w:val="auto"/>
          <w:sz w:val="21"/>
        </w:rPr>
        <w:t>当事人申请启动：</w:t>
      </w:r>
      <w:r w:rsidR="00E9274E" w:rsidRPr="000C093A">
        <w:rPr>
          <w:rFonts w:eastAsia="宋体" w:hAnsi="宋体" w:cs="Times New Roman" w:hint="eastAsia"/>
          <w:color w:val="auto"/>
          <w:sz w:val="21"/>
        </w:rPr>
        <w:t xml:space="preserve"> </w:t>
      </w:r>
      <w:r w:rsidRPr="000C093A">
        <w:rPr>
          <w:rFonts w:eastAsia="宋体" w:hAnsi="宋体" w:cs="Times New Roman" w:hint="eastAsia"/>
          <w:color w:val="auto"/>
          <w:sz w:val="21"/>
        </w:rPr>
        <w:t>法院主动启动</w:t>
      </w:r>
      <w:r w:rsidR="00E9274E" w:rsidRPr="000C093A">
        <w:rPr>
          <w:rFonts w:eastAsia="宋体" w:hAnsi="宋体" w:cs="Times New Roman" w:hint="eastAsia"/>
          <w:color w:val="auto"/>
          <w:sz w:val="21"/>
        </w:rPr>
        <w:t xml:space="preserve"> </w:t>
      </w:r>
    </w:p>
    <w:p w14:paraId="103F91AD" w14:textId="1CBF4FF9" w:rsidR="005B4F9C" w:rsidRPr="000C093A" w:rsidRDefault="00E9274E"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2</w:t>
      </w:r>
      <w:r w:rsidR="005B4F9C" w:rsidRPr="000C093A">
        <w:rPr>
          <w:rFonts w:eastAsia="宋体" w:hAnsi="宋体" w:hint="eastAsia"/>
          <w:color w:val="auto"/>
          <w:sz w:val="21"/>
        </w:rPr>
        <w:t>．救济途径</w:t>
      </w:r>
      <w:r w:rsidRPr="000C093A">
        <w:rPr>
          <w:rFonts w:eastAsia="宋体" w:hAnsi="宋体" w:hint="eastAsia"/>
          <w:color w:val="auto"/>
          <w:sz w:val="21"/>
        </w:rPr>
        <w:t>。</w:t>
      </w:r>
      <w:r w:rsidR="005B4F9C" w:rsidRPr="000C093A">
        <w:rPr>
          <w:rFonts w:eastAsia="宋体" w:hAnsi="宋体" w:cs="Times New Roman" w:hint="eastAsia"/>
          <w:color w:val="auto"/>
          <w:sz w:val="21"/>
        </w:rPr>
        <w:t>当事人对保全的裁定不服的，可以申请复议；复议期间不停止裁定的执行</w:t>
      </w:r>
    </w:p>
    <w:p w14:paraId="7EE3C539" w14:textId="0C2D5B52" w:rsidR="005B4F9C" w:rsidRPr="000C093A" w:rsidRDefault="00E9274E"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3</w:t>
      </w:r>
      <w:r w:rsidR="005B4F9C" w:rsidRPr="000C093A">
        <w:rPr>
          <w:rFonts w:eastAsia="宋体" w:hAnsi="宋体" w:hint="eastAsia"/>
          <w:color w:val="auto"/>
          <w:sz w:val="21"/>
        </w:rPr>
        <w:t>．是否提供担保</w:t>
      </w:r>
      <w:r w:rsidRPr="000C093A">
        <w:rPr>
          <w:rFonts w:eastAsia="宋体" w:hAnsi="宋体" w:hint="eastAsia"/>
          <w:color w:val="auto"/>
          <w:sz w:val="21"/>
        </w:rPr>
        <w:t>。</w:t>
      </w:r>
      <w:r w:rsidR="005B4F9C" w:rsidRPr="000C093A">
        <w:rPr>
          <w:rFonts w:eastAsia="宋体" w:hAnsi="宋体" w:cs="Times New Roman" w:hint="eastAsia"/>
          <w:color w:val="auto"/>
          <w:sz w:val="21"/>
        </w:rPr>
        <w:t>法院采取保全措施，可以责令申请人提供担保。</w:t>
      </w:r>
      <w:proofErr w:type="gramStart"/>
      <w:r w:rsidR="005B4F9C" w:rsidRPr="000C093A">
        <w:rPr>
          <w:rFonts w:eastAsia="宋体" w:hAnsi="宋体" w:cs="Times New Roman" w:hint="eastAsia"/>
          <w:color w:val="auto"/>
          <w:sz w:val="21"/>
        </w:rPr>
        <w:t>若法院</w:t>
      </w:r>
      <w:proofErr w:type="gramEnd"/>
      <w:r w:rsidR="005B4F9C" w:rsidRPr="000C093A">
        <w:rPr>
          <w:rFonts w:eastAsia="宋体" w:hAnsi="宋体" w:cs="Times New Roman" w:hint="eastAsia"/>
          <w:color w:val="auto"/>
          <w:sz w:val="21"/>
        </w:rPr>
        <w:t>责令提供担保而申请人不提供担保的，裁定驳回申请。</w:t>
      </w:r>
    </w:p>
    <w:p w14:paraId="031215C5"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（二）诉前保全措施</w:t>
      </w:r>
    </w:p>
    <w:p w14:paraId="2AF370A8" w14:textId="5952A852"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1．适用前提</w:t>
      </w:r>
      <w:r w:rsidR="00E9274E" w:rsidRPr="000C093A">
        <w:rPr>
          <w:rFonts w:eastAsia="宋体" w:hAnsi="宋体" w:hint="eastAsia"/>
          <w:color w:val="auto"/>
          <w:sz w:val="21"/>
        </w:rPr>
        <w:t>。</w:t>
      </w:r>
      <w:r w:rsidRPr="000C093A">
        <w:rPr>
          <w:rFonts w:eastAsia="宋体" w:hAnsi="宋体" w:cs="Times New Roman" w:hint="eastAsia"/>
          <w:color w:val="auto"/>
          <w:sz w:val="21"/>
        </w:rPr>
        <w:t>因情况紧急，</w:t>
      </w:r>
      <w:proofErr w:type="gramStart"/>
      <w:r w:rsidRPr="000C093A">
        <w:rPr>
          <w:rFonts w:eastAsia="宋体" w:hAnsi="宋体" w:cs="Times New Roman" w:hint="eastAsia"/>
          <w:color w:val="auto"/>
          <w:sz w:val="21"/>
        </w:rPr>
        <w:t>不</w:t>
      </w:r>
      <w:proofErr w:type="gramEnd"/>
      <w:r w:rsidRPr="000C093A">
        <w:rPr>
          <w:rFonts w:eastAsia="宋体" w:hAnsi="宋体" w:cs="Times New Roman" w:hint="eastAsia"/>
          <w:color w:val="auto"/>
          <w:sz w:val="21"/>
        </w:rPr>
        <w:t>立即申请保全将会使其合法权益受到难以弥补的损害的。</w:t>
      </w:r>
    </w:p>
    <w:p w14:paraId="1C31A32A" w14:textId="2DDF773D"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2．管辖法院</w:t>
      </w:r>
      <w:r w:rsidR="00E9274E" w:rsidRPr="000C093A">
        <w:rPr>
          <w:rFonts w:eastAsia="宋体" w:hAnsi="宋体" w:hint="eastAsia"/>
          <w:color w:val="auto"/>
          <w:sz w:val="21"/>
        </w:rPr>
        <w:t>。</w:t>
      </w:r>
      <w:r w:rsidRPr="000C093A">
        <w:rPr>
          <w:rFonts w:eastAsia="宋体" w:hAnsi="宋体" w:cs="Times New Roman" w:hint="eastAsia"/>
          <w:color w:val="auto"/>
          <w:sz w:val="21"/>
        </w:rPr>
        <w:t>一般向被保全财产所在地的法院、被申请人住所地的法院或其他对案件有管辖权的法院提交采取诉前保全措施的申请。</w:t>
      </w:r>
    </w:p>
    <w:p w14:paraId="2B96F67E" w14:textId="7E442436" w:rsidR="005B4F9C" w:rsidRPr="000C093A" w:rsidRDefault="005B4F9C" w:rsidP="000C093A">
      <w:pPr>
        <w:pStyle w:val="af2"/>
        <w:spacing w:line="276" w:lineRule="auto"/>
        <w:ind w:firstLine="420"/>
        <w:rPr>
          <w:rFonts w:eastAsia="宋体" w:hAnsi="宋体" w:hint="eastAsia"/>
          <w:color w:val="EE0000"/>
          <w:sz w:val="21"/>
        </w:rPr>
      </w:pPr>
      <w:r w:rsidRPr="000C093A">
        <w:rPr>
          <w:rFonts w:eastAsia="宋体" w:hAnsi="宋体" w:hint="eastAsia"/>
          <w:color w:val="auto"/>
          <w:sz w:val="21"/>
        </w:rPr>
        <w:t>3．是否提供担保</w:t>
      </w:r>
      <w:r w:rsidR="00E9274E" w:rsidRPr="000C093A">
        <w:rPr>
          <w:rFonts w:eastAsia="宋体" w:hAnsi="宋体" w:hint="eastAsia"/>
          <w:color w:val="auto"/>
          <w:sz w:val="21"/>
        </w:rPr>
        <w:t>。</w:t>
      </w:r>
      <w:r w:rsidRPr="000C093A">
        <w:rPr>
          <w:rFonts w:eastAsia="宋体" w:hAnsi="宋体" w:cs="Times New Roman" w:hint="eastAsia"/>
          <w:color w:val="EE0000"/>
          <w:sz w:val="21"/>
        </w:rPr>
        <w:t>申请人应当提供担保；不提供担保的，裁定驳回申请。</w:t>
      </w:r>
    </w:p>
    <w:p w14:paraId="272323AE" w14:textId="37F91D79"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4．法院处理</w:t>
      </w:r>
      <w:r w:rsidR="00E9274E" w:rsidRPr="000C093A">
        <w:rPr>
          <w:rFonts w:eastAsia="宋体" w:hAnsi="宋体" w:hint="eastAsia"/>
          <w:color w:val="auto"/>
          <w:sz w:val="21"/>
        </w:rPr>
        <w:t>。</w:t>
      </w:r>
      <w:r w:rsidRPr="000C093A">
        <w:rPr>
          <w:rFonts w:eastAsia="宋体" w:hAnsi="宋体" w:cs="Times New Roman" w:hint="eastAsia"/>
          <w:color w:val="auto"/>
          <w:sz w:val="21"/>
        </w:rPr>
        <w:t>法院接受申请后，必须在48小时内</w:t>
      </w:r>
      <w:proofErr w:type="gramStart"/>
      <w:r w:rsidRPr="000C093A">
        <w:rPr>
          <w:rFonts w:eastAsia="宋体" w:hAnsi="宋体" w:cs="Times New Roman" w:hint="eastAsia"/>
          <w:color w:val="auto"/>
          <w:sz w:val="21"/>
        </w:rPr>
        <w:t>作出</w:t>
      </w:r>
      <w:proofErr w:type="gramEnd"/>
      <w:r w:rsidRPr="000C093A">
        <w:rPr>
          <w:rFonts w:eastAsia="宋体" w:hAnsi="宋体" w:cs="Times New Roman" w:hint="eastAsia"/>
          <w:color w:val="auto"/>
          <w:sz w:val="21"/>
        </w:rPr>
        <w:t>裁定。裁定采取保全措施的，应当立即开始执行。</w:t>
      </w:r>
    </w:p>
    <w:p w14:paraId="0A1C91C5" w14:textId="77777777" w:rsidR="005B4F9C" w:rsidRPr="000C093A" w:rsidRDefault="005B4F9C" w:rsidP="000C093A">
      <w:pPr>
        <w:pStyle w:val="af2"/>
        <w:spacing w:line="276" w:lineRule="auto"/>
        <w:ind w:firstLine="420"/>
        <w:rPr>
          <w:rFonts w:eastAsia="宋体" w:hAnsi="宋体" w:cs="华康娃娃体W5" w:hint="eastAsia"/>
          <w:sz w:val="21"/>
        </w:rPr>
      </w:pPr>
      <w:r w:rsidRPr="000C093A">
        <w:rPr>
          <w:rFonts w:eastAsia="宋体" w:hAnsi="宋体" w:cs="汉仪书宋二简"/>
          <w:noProof/>
          <w:color w:val="FF0000"/>
          <w:sz w:val="21"/>
        </w:rPr>
        <mc:AlternateContent>
          <mc:Choice Requires="wps">
            <w:drawing>
              <wp:anchor distT="0" distB="0" distL="114300" distR="114300" simplePos="0" relativeHeight="251669504" behindDoc="0" locked="0" layoutInCell="1" allowOverlap="1" wp14:anchorId="3C427326" wp14:editId="5C4841A2">
                <wp:simplePos x="0" y="0"/>
                <wp:positionH relativeFrom="column">
                  <wp:posOffset>82550</wp:posOffset>
                </wp:positionH>
                <wp:positionV relativeFrom="paragraph">
                  <wp:posOffset>82286</wp:posOffset>
                </wp:positionV>
                <wp:extent cx="142875" cy="142875"/>
                <wp:effectExtent l="0" t="0" r="9525" b="9525"/>
                <wp:wrapNone/>
                <wp:docPr id="1930859616"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8ADDE7" id="五角星 1" o:spid="_x0000_s1026" style="position:absolute;margin-left:6.5pt;margin-top:6.5pt;width:11.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I/ZNCPYAAAABwEAAA8A&#10;AABkcnMvZG93bnJldi54bWxMj0FLw0AQhe+C/2EZwZvd1NoiMZsiFaEXhUTpeZMdk2B2NuxOu+m/&#10;d0VBT4/HG958r9jOdhQn9GFwpGC5yEAgtc4M1Cl4f3u+uQcRWJPRoyNUcMYA2/LyotC5cZEqPNXc&#10;iVRCIdcKeuYplzK0PVodFm5CStmH81Zzsr6TxuuYyu0ob7NsI60eKH3o9YS7HtvP+mgV1PGwex1e&#10;DnHJsZEbrvb+qbpT6vpqfnwAwTjz3zF84yd0KBNT445kghiTX6Up/KspX63XIJoflWUh//OXXwAA&#10;AP//AwBQSwECLQAUAAYACAAAACEAtoM4kv4AAADhAQAAEwAAAAAAAAAAAAAAAAAAAAAAW0NvbnRl&#10;bnRfVHlwZXNdLnhtbFBLAQItABQABgAIAAAAIQA4/SH/1gAAAJQBAAALAAAAAAAAAAAAAAAAAC8B&#10;AABfcmVscy8ucmVsc1BLAQItABQABgAIAAAAIQDgwvJHNwIAAGgEAAAOAAAAAAAAAAAAAAAAAC4C&#10;AABkcnMvZTJvRG9jLnhtbFBLAQItABQABgAIAAAAIQCP2TQj2AAAAAcBAAAPAAAAAAAAAAAAAAAA&#10;AJEEAABkcnMvZG93bnJldi54bWxQSwUGAAAAAAQABADzAAAAlgU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0C093A">
        <w:rPr>
          <w:rFonts w:eastAsia="宋体" w:hAnsi="宋体" w:cs="仿宋" w:hint="eastAsia"/>
          <w:color w:val="FF0000"/>
          <w:sz w:val="21"/>
        </w:rPr>
        <w:t>注意：</w:t>
      </w:r>
      <w:r w:rsidRPr="000C093A">
        <w:rPr>
          <w:rFonts w:eastAsia="宋体" w:hAnsi="宋体" w:cs="华康娃娃体W5" w:hint="eastAsia"/>
          <w:sz w:val="21"/>
        </w:rPr>
        <w:t>申请人在法院采取保全措施后30日内不依法提起诉讼的，法院应当解除保全。</w:t>
      </w:r>
    </w:p>
    <w:p w14:paraId="6D524305" w14:textId="04663A06" w:rsidR="005B4F9C" w:rsidRPr="000C093A" w:rsidRDefault="005B4F9C" w:rsidP="000C093A">
      <w:pPr>
        <w:pStyle w:val="af2"/>
        <w:spacing w:line="276" w:lineRule="auto"/>
        <w:ind w:firstLineChars="0" w:firstLine="0"/>
        <w:rPr>
          <w:rFonts w:eastAsia="宋体" w:hAnsi="宋体" w:cs="宋体" w:hint="eastAsia"/>
          <w:b/>
          <w:bCs/>
          <w:sz w:val="21"/>
        </w:rPr>
      </w:pPr>
      <w:r w:rsidRPr="000C093A">
        <w:rPr>
          <w:rFonts w:eastAsia="宋体" w:hAnsi="宋体" w:hint="eastAsia"/>
          <w:b/>
          <w:bCs/>
          <w:sz w:val="21"/>
        </w:rPr>
        <w:t>六、裁定先予执行</w:t>
      </w:r>
    </w:p>
    <w:p w14:paraId="07E215AC"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（一）适用条件</w:t>
      </w:r>
    </w:p>
    <w:p w14:paraId="7621BEA3"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（1）诉行政机关没有依法支付抚恤金、最低生活保障金和工伤、医疗社会保险金。</w:t>
      </w:r>
    </w:p>
    <w:p w14:paraId="079B5CF1"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（2）权利义务关系明确。</w:t>
      </w:r>
    </w:p>
    <w:p w14:paraId="6E49486A"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（3）不先予执行将严重影响原告生活的。</w:t>
      </w:r>
    </w:p>
    <w:p w14:paraId="0C6BF390"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（4）根据原告的申请，法院可以裁定先予执行。</w:t>
      </w:r>
    </w:p>
    <w:p w14:paraId="4B63434C" w14:textId="28AE0903" w:rsidR="005B4F9C" w:rsidRPr="000C093A" w:rsidRDefault="005B4F9C" w:rsidP="000C093A">
      <w:pPr>
        <w:pStyle w:val="af2"/>
        <w:spacing w:line="276" w:lineRule="auto"/>
        <w:ind w:firstLine="420"/>
        <w:rPr>
          <w:rFonts w:eastAsia="宋体" w:hAnsi="宋体" w:cs="华康娃娃体W5" w:hint="eastAsia"/>
          <w:sz w:val="21"/>
        </w:rPr>
      </w:pPr>
      <w:r w:rsidRPr="000C093A">
        <w:rPr>
          <w:rFonts w:eastAsia="宋体" w:hAnsi="宋体" w:cs="汉仪书宋二简"/>
          <w:noProof/>
          <w:color w:val="FF0000"/>
          <w:sz w:val="21"/>
        </w:rPr>
        <mc:AlternateContent>
          <mc:Choice Requires="wps">
            <w:drawing>
              <wp:anchor distT="0" distB="0" distL="114300" distR="114300" simplePos="0" relativeHeight="251687936" behindDoc="0" locked="0" layoutInCell="1" allowOverlap="1" wp14:anchorId="5B0AD2F8" wp14:editId="494C5C3E">
                <wp:simplePos x="0" y="0"/>
                <wp:positionH relativeFrom="column">
                  <wp:posOffset>66411</wp:posOffset>
                </wp:positionH>
                <wp:positionV relativeFrom="paragraph">
                  <wp:posOffset>74295</wp:posOffset>
                </wp:positionV>
                <wp:extent cx="142875" cy="142875"/>
                <wp:effectExtent l="0" t="0" r="9525" b="9525"/>
                <wp:wrapNone/>
                <wp:docPr id="1890532033"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5F42DF7" id="五角星 1" o:spid="_x0000_s1026" style="position:absolute;margin-left:5.25pt;margin-top:5.85pt;width:11.2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Oi2kArbAAAABwEAAA8A&#10;AABkcnMvZG93bnJldi54bWxMj0FLxDAQhe+C/yGM4M1Nu7uuUpsusiJ4UWiVPafN2BabSUmym/rv&#10;HU96ejze48035X6xkzijD6MjBfkqA4HUOTNSr+Dj/fnmHkSImoyeHKGCbwywry4vSl0Yl6jGcxN7&#10;wSMUCq1giHEupAzdgFaHlZuROPt03urI1vfSeJ143E5ynWU7afVIfGHQMx4G7L6ak1XQpOPhbXw9&#10;pjymVu5i/eKf6q1S11fL4wOIiEv8K8MvPqNDxUytO5EJYmKf3XKTNb8Dwflmw6+1rNs1yKqU//mr&#10;HwAAAP//AwBQSwECLQAUAAYACAAAACEAtoM4kv4AAADhAQAAEwAAAAAAAAAAAAAAAAAAAAAAW0Nv&#10;bnRlbnRfVHlwZXNdLnhtbFBLAQItABQABgAIAAAAIQA4/SH/1gAAAJQBAAALAAAAAAAAAAAAAAAA&#10;AC8BAABfcmVscy8ucmVsc1BLAQItABQABgAIAAAAIQDgwvJHNwIAAGgEAAAOAAAAAAAAAAAAAAAA&#10;AC4CAABkcnMvZTJvRG9jLnhtbFBLAQItABQABgAIAAAAIQDotpAK2wAAAAcBAAAPAAAAAAAAAAAA&#10;AAAAAJEEAABkcnMvZG93bnJldi54bWxQSwUGAAAAAAQABADzAAAAmQU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0C093A">
        <w:rPr>
          <w:rFonts w:eastAsia="宋体" w:hAnsi="宋体" w:cs="仿宋" w:hint="eastAsia"/>
          <w:color w:val="FF0000"/>
          <w:sz w:val="21"/>
        </w:rPr>
        <w:t>注意：</w:t>
      </w:r>
      <w:r w:rsidRPr="000C093A">
        <w:rPr>
          <w:rFonts w:eastAsia="宋体" w:hAnsi="宋体" w:cs="华康娃娃体W5" w:hint="eastAsia"/>
          <w:sz w:val="21"/>
        </w:rPr>
        <w:t>在行政诉讼中，原告向法院申请裁定先予执行的，不需要提供担保。</w:t>
      </w:r>
    </w:p>
    <w:p w14:paraId="3A19A648"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（二）救济途径</w:t>
      </w:r>
    </w:p>
    <w:p w14:paraId="050CF2AC" w14:textId="77777777" w:rsidR="005B4F9C" w:rsidRPr="000C093A" w:rsidRDefault="005B4F9C" w:rsidP="000C093A">
      <w:pPr>
        <w:pStyle w:val="af2"/>
        <w:spacing w:line="276" w:lineRule="auto"/>
        <w:ind w:firstLine="420"/>
        <w:rPr>
          <w:rFonts w:eastAsia="宋体" w:hAnsi="宋体" w:cs="Times New Roman" w:hint="eastAsia"/>
          <w:color w:val="FF0000"/>
          <w:sz w:val="21"/>
        </w:rPr>
      </w:pPr>
      <w:r w:rsidRPr="000C093A">
        <w:rPr>
          <w:rFonts w:eastAsia="宋体" w:hAnsi="宋体" w:cs="Times New Roman" w:hint="eastAsia"/>
          <w:color w:val="FF0000"/>
          <w:sz w:val="21"/>
        </w:rPr>
        <w:lastRenderedPageBreak/>
        <w:t>当事人对先予执行裁定不服的，可以申请复议一次。</w:t>
      </w:r>
    </w:p>
    <w:p w14:paraId="44628A1B" w14:textId="60CCB7A4" w:rsidR="005B4F9C" w:rsidRPr="000C093A" w:rsidRDefault="005B4F9C" w:rsidP="000C093A">
      <w:pPr>
        <w:pStyle w:val="af2"/>
        <w:spacing w:line="276" w:lineRule="auto"/>
        <w:ind w:firstLine="420"/>
        <w:rPr>
          <w:rFonts w:eastAsia="宋体" w:hAnsi="宋体" w:cs="Times New Roman" w:hint="eastAsia"/>
          <w:color w:val="FF0000"/>
          <w:sz w:val="21"/>
        </w:rPr>
      </w:pPr>
      <w:r w:rsidRPr="000C093A">
        <w:rPr>
          <w:rFonts w:eastAsia="宋体" w:hAnsi="宋体" w:cs="Times New Roman" w:hint="eastAsia"/>
          <w:color w:val="FF0000"/>
          <w:sz w:val="21"/>
        </w:rPr>
        <w:t>复议期间不停止裁定的执行。</w:t>
      </w:r>
    </w:p>
    <w:p w14:paraId="61E38CC9" w14:textId="22262F47" w:rsidR="005B4F9C" w:rsidRPr="000C093A" w:rsidRDefault="005B4F9C" w:rsidP="000C093A">
      <w:pPr>
        <w:pStyle w:val="af2"/>
        <w:spacing w:line="276" w:lineRule="auto"/>
        <w:ind w:firstLine="422"/>
        <w:jc w:val="center"/>
        <w:rPr>
          <w:rFonts w:eastAsia="宋体" w:hAnsi="宋体" w:cs="Times New Roman" w:hint="eastAsia"/>
          <w:b/>
          <w:bCs/>
          <w:color w:val="auto"/>
          <w:kern w:val="2"/>
          <w:sz w:val="21"/>
        </w:rPr>
      </w:pPr>
      <w:bookmarkStart w:id="7" w:name="_Toc190544246"/>
      <w:bookmarkStart w:id="8" w:name="_Toc192256146"/>
      <w:r w:rsidRPr="000C093A">
        <w:rPr>
          <w:rFonts w:eastAsia="宋体" w:hAnsi="宋体" w:hint="eastAsia"/>
          <w:b/>
          <w:bCs/>
          <w:color w:val="auto"/>
          <w:sz w:val="21"/>
        </w:rPr>
        <w:t>考点22  行政诉讼的证据</w:t>
      </w:r>
      <w:bookmarkEnd w:id="7"/>
      <w:bookmarkEnd w:id="8"/>
      <w:r w:rsidR="00BA085D" w:rsidRPr="000C093A">
        <w:rPr>
          <w:rFonts w:eastAsia="宋体" w:hAnsi="宋体" w:hint="eastAsia"/>
          <w:b/>
          <w:bCs/>
          <w:color w:val="auto"/>
          <w:sz w:val="21"/>
        </w:rPr>
        <w:t>（21:08-21:30）</w:t>
      </w:r>
    </w:p>
    <w:p w14:paraId="31878701" w14:textId="379C8A49" w:rsidR="005B4F9C" w:rsidRPr="000C093A" w:rsidRDefault="005B4F9C" w:rsidP="000C093A">
      <w:pPr>
        <w:pStyle w:val="af2"/>
        <w:spacing w:line="276" w:lineRule="auto"/>
        <w:ind w:firstLineChars="0" w:firstLine="0"/>
        <w:rPr>
          <w:rFonts w:eastAsia="宋体" w:hAnsi="宋体" w:cs="宋体" w:hint="eastAsia"/>
          <w:b/>
          <w:bCs/>
          <w:sz w:val="21"/>
        </w:rPr>
      </w:pPr>
      <w:bookmarkStart w:id="9" w:name="_Hlk37844746"/>
      <w:r w:rsidRPr="000C093A">
        <w:rPr>
          <w:rFonts w:eastAsia="宋体" w:hAnsi="宋体" w:hint="eastAsia"/>
          <w:b/>
          <w:bCs/>
          <w:sz w:val="21"/>
        </w:rPr>
        <w:t>一、行政诉讼的证据种类与要求</w:t>
      </w:r>
    </w:p>
    <w:p w14:paraId="375311F2"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（一）书证</w:t>
      </w:r>
    </w:p>
    <w:p w14:paraId="69AE175C" w14:textId="5153F265"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FF0000"/>
          <w:sz w:val="21"/>
        </w:rPr>
        <w:t>提供由有关部门保管的书证原件的复制件、影印件或者抄录件的，应当注明出处，经该部门核对无异后加盖其印章</w:t>
      </w:r>
      <w:r w:rsidRPr="000C093A">
        <w:rPr>
          <w:rFonts w:eastAsia="宋体" w:hAnsi="宋体" w:cs="等线" w:hint="eastAsia"/>
          <w:color w:val="auto"/>
          <w:sz w:val="21"/>
        </w:rPr>
        <w:t>。</w:t>
      </w:r>
    </w:p>
    <w:p w14:paraId="0C7579EF" w14:textId="021D9A22" w:rsidR="005B4F9C" w:rsidRPr="000C093A" w:rsidRDefault="005B4F9C" w:rsidP="000C093A">
      <w:pPr>
        <w:pStyle w:val="af2"/>
        <w:spacing w:line="276" w:lineRule="auto"/>
        <w:ind w:firstLine="420"/>
        <w:rPr>
          <w:rFonts w:eastAsia="宋体" w:hAnsi="宋体" w:cs="华康娃娃体W5" w:hint="eastAsia"/>
          <w:sz w:val="21"/>
        </w:rPr>
      </w:pPr>
      <w:r w:rsidRPr="000C093A">
        <w:rPr>
          <w:rFonts w:eastAsia="宋体" w:hAnsi="宋体" w:cs="汉仪书宋二简"/>
          <w:noProof/>
          <w:color w:val="FF0000"/>
          <w:sz w:val="21"/>
        </w:rPr>
        <mc:AlternateContent>
          <mc:Choice Requires="wps">
            <w:drawing>
              <wp:anchor distT="0" distB="0" distL="114300" distR="114300" simplePos="0" relativeHeight="251688960" behindDoc="0" locked="0" layoutInCell="1" allowOverlap="1" wp14:anchorId="477A4FFF" wp14:editId="3A5BC74C">
                <wp:simplePos x="0" y="0"/>
                <wp:positionH relativeFrom="column">
                  <wp:posOffset>57785</wp:posOffset>
                </wp:positionH>
                <wp:positionV relativeFrom="paragraph">
                  <wp:posOffset>82286</wp:posOffset>
                </wp:positionV>
                <wp:extent cx="142875" cy="142875"/>
                <wp:effectExtent l="0" t="0" r="9525" b="9525"/>
                <wp:wrapNone/>
                <wp:docPr id="1934509364"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D794069" id="五角星 1" o:spid="_x0000_s1026" style="position:absolute;margin-left:4.55pt;margin-top:6.5pt;width:11.25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M3s5wncAAAABgEAAA8A&#10;AABkcnMvZG93bnJldi54bWxMj0FPwzAMhe9I/IfISNxYWsYq6JpOaAiJC0gtaOe08dqKxqmabCn/&#10;HnNiJ8t+T8/fK3aLHcUZZz84UpCuEhBIrTMDdQq+Pl/vHkH4oMno0REq+EEPu/L6qtC5cZEqPNeh&#10;ExxCPtcK+hCmXErf9mi1X7kJibWjm60OvM6dNLOOHG5HeZ8kmbR6IP7Q6wn3Pbbf9ckqqONh/zG8&#10;H2IaYiOzUL3NL9WDUrc3y/MWRMAl/JvhD5/RoWSmxp3IeDEqeErZyOc1N2J5nWYgGp6bDciykJf4&#10;5S8AAAD//wMAUEsBAi0AFAAGAAgAAAAhALaDOJL+AAAA4QEAABMAAAAAAAAAAAAAAAAAAAAAAFtD&#10;b250ZW50X1R5cGVzXS54bWxQSwECLQAUAAYACAAAACEAOP0h/9YAAACUAQAACwAAAAAAAAAAAAAA&#10;AAAvAQAAX3JlbHMvLnJlbHNQSwECLQAUAAYACAAAACEA4MLyRzcCAABoBAAADgAAAAAAAAAAAAAA&#10;AAAuAgAAZHJzL2Uyb0RvYy54bWxQSwECLQAUAAYACAAAACEAzeznCdwAAAAGAQAADwAAAAAAAAAA&#10;AAAAAACRBAAAZHJzL2Rvd25yZXYueG1sUEsFBgAAAAAEAAQA8wAAAJoFA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0C093A">
        <w:rPr>
          <w:rFonts w:eastAsia="宋体" w:hAnsi="宋体" w:cs="仿宋" w:hint="eastAsia"/>
          <w:color w:val="FF0000"/>
          <w:sz w:val="21"/>
        </w:rPr>
        <w:t>注意：</w:t>
      </w:r>
      <w:r w:rsidRPr="000C093A">
        <w:rPr>
          <w:rFonts w:eastAsia="宋体" w:hAnsi="宋体" w:cs="华康娃娃体W5" w:hint="eastAsia"/>
          <w:sz w:val="21"/>
        </w:rPr>
        <w:t>行政机关执法人员对现场进行拍照的照片属于书证，不是物证。对现场进行拍照的目的在于保留案发现场的状况，通过照片记载呈现的现场状况来证明案件事实，属于书证。</w:t>
      </w:r>
    </w:p>
    <w:p w14:paraId="11D38FDB"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（二）物证</w:t>
      </w:r>
    </w:p>
    <w:p w14:paraId="1FAA246C" w14:textId="77777777"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物证和书证的区别在于，物证以其物质属性和外观特征来证明案件事实，书证以其内容来证明案件事实。</w:t>
      </w:r>
    </w:p>
    <w:p w14:paraId="5CE7E450"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（三）视听资料</w:t>
      </w:r>
    </w:p>
    <w:p w14:paraId="26BB231E" w14:textId="77777777"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（1）提供有关资料的原始载体。提供原始载体确有困难的，可以提供复制件。</w:t>
      </w:r>
    </w:p>
    <w:p w14:paraId="743EEA92" w14:textId="77777777"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（2）</w:t>
      </w:r>
      <w:r w:rsidRPr="000C093A">
        <w:rPr>
          <w:rFonts w:eastAsia="宋体" w:hAnsi="宋体" w:cs="等线" w:hint="eastAsia"/>
          <w:color w:val="FF0000"/>
          <w:sz w:val="21"/>
        </w:rPr>
        <w:t>注明制作方法、制作时间、制作人和证明对象等</w:t>
      </w:r>
      <w:r w:rsidRPr="000C093A">
        <w:rPr>
          <w:rFonts w:eastAsia="宋体" w:hAnsi="宋体" w:cs="等线" w:hint="eastAsia"/>
          <w:color w:val="auto"/>
          <w:sz w:val="21"/>
        </w:rPr>
        <w:t>。</w:t>
      </w:r>
    </w:p>
    <w:p w14:paraId="708C47A6" w14:textId="44AEB4E9" w:rsidR="005B4F9C" w:rsidRPr="000C093A" w:rsidRDefault="005B4F9C" w:rsidP="000C093A">
      <w:pPr>
        <w:pStyle w:val="af2"/>
        <w:spacing w:line="276" w:lineRule="auto"/>
        <w:ind w:firstLine="420"/>
        <w:rPr>
          <w:rFonts w:eastAsia="宋体" w:hAnsi="宋体" w:cs="等线" w:hint="eastAsia"/>
          <w:color w:val="auto"/>
          <w:sz w:val="21"/>
        </w:rPr>
      </w:pPr>
      <w:r w:rsidRPr="000C093A">
        <w:rPr>
          <w:rFonts w:eastAsia="宋体" w:hAnsi="宋体" w:cs="等线" w:hint="eastAsia"/>
          <w:color w:val="auto"/>
          <w:sz w:val="21"/>
        </w:rPr>
        <w:t>（3）</w:t>
      </w:r>
      <w:r w:rsidRPr="000C093A">
        <w:rPr>
          <w:rFonts w:eastAsia="宋体" w:hAnsi="宋体" w:cs="等线" w:hint="eastAsia"/>
          <w:color w:val="FF0000"/>
          <w:sz w:val="21"/>
        </w:rPr>
        <w:t>声音资料应当附有该声音内容的文字记录</w:t>
      </w:r>
      <w:r w:rsidRPr="000C093A">
        <w:rPr>
          <w:rFonts w:eastAsia="宋体" w:hAnsi="宋体" w:cs="等线" w:hint="eastAsia"/>
          <w:color w:val="auto"/>
          <w:sz w:val="21"/>
        </w:rPr>
        <w:t>。</w:t>
      </w:r>
    </w:p>
    <w:p w14:paraId="50A58D76" w14:textId="5EDF970D"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（四）电子数据</w:t>
      </w:r>
    </w:p>
    <w:p w14:paraId="7A30BFE8" w14:textId="77777777" w:rsidR="005B4F9C" w:rsidRPr="000C093A" w:rsidRDefault="005B4F9C" w:rsidP="000C093A">
      <w:pPr>
        <w:pStyle w:val="af2"/>
        <w:spacing w:line="276" w:lineRule="auto"/>
        <w:ind w:firstLine="420"/>
        <w:rPr>
          <w:rFonts w:eastAsia="宋体" w:hAnsi="宋体" w:cs="等线" w:hint="eastAsia"/>
          <w:color w:val="FF0000"/>
          <w:sz w:val="21"/>
        </w:rPr>
      </w:pPr>
      <w:r w:rsidRPr="000C093A">
        <w:rPr>
          <w:rFonts w:eastAsia="宋体" w:hAnsi="宋体" w:cs="等线" w:hint="eastAsia"/>
          <w:color w:val="FF0000"/>
          <w:sz w:val="21"/>
        </w:rPr>
        <w:t>电子数据是指经电子计算机或类电脑等信息化设备以电子形式生成，并且可存在于硬盘、磁盘、光盘、闪存等存储载体或介质，能够证明案件事实的电子数据资料。</w:t>
      </w:r>
    </w:p>
    <w:p w14:paraId="76DE81BB"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（五）证人证言</w:t>
      </w:r>
    </w:p>
    <w:p w14:paraId="5123DC51"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证人证言是指了解案件有关情况的非本案诉讼当事人</w:t>
      </w:r>
      <w:proofErr w:type="gramStart"/>
      <w:r w:rsidRPr="000C093A">
        <w:rPr>
          <w:rFonts w:eastAsia="宋体" w:hAnsi="宋体" w:cs="Times New Roman" w:hint="eastAsia"/>
          <w:color w:val="auto"/>
          <w:sz w:val="21"/>
        </w:rPr>
        <w:t>对待证案件</w:t>
      </w:r>
      <w:proofErr w:type="gramEnd"/>
      <w:r w:rsidRPr="000C093A">
        <w:rPr>
          <w:rFonts w:eastAsia="宋体" w:hAnsi="宋体" w:cs="Times New Roman" w:hint="eastAsia"/>
          <w:color w:val="auto"/>
          <w:sz w:val="21"/>
        </w:rPr>
        <w:t>事实的陈述。</w:t>
      </w:r>
    </w:p>
    <w:p w14:paraId="1633747B"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（六）当事人的陈述</w:t>
      </w:r>
    </w:p>
    <w:p w14:paraId="2291C9CA" w14:textId="479DFA5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当事人陈述是指原告、被告、第三人就自己所经历的案件事实，向法院所做的叙述、承认和陈词。</w:t>
      </w:r>
    </w:p>
    <w:p w14:paraId="4DF71576"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（七）鉴定意见</w:t>
      </w:r>
    </w:p>
    <w:p w14:paraId="6D8EC0C4" w14:textId="1299C0FD"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被告向法院提供的在行政程序中采用的鉴定意见，应当载明委托人和委托鉴定的事项、向鉴定部门提交的相关材料、鉴定的依据和使用的科学技术手段、鉴定部门和鉴定人鉴定资格的说明，并应有</w:t>
      </w:r>
      <w:r w:rsidRPr="000C093A">
        <w:rPr>
          <w:rFonts w:eastAsia="宋体" w:hAnsi="宋体" w:cs="Times New Roman" w:hint="eastAsia"/>
          <w:color w:val="FF0000"/>
          <w:sz w:val="21"/>
        </w:rPr>
        <w:t>鉴定人的签名</w:t>
      </w:r>
      <w:r w:rsidRPr="000C093A">
        <w:rPr>
          <w:rFonts w:eastAsia="宋体" w:hAnsi="宋体" w:cs="Times New Roman" w:hint="eastAsia"/>
          <w:color w:val="auto"/>
          <w:sz w:val="21"/>
        </w:rPr>
        <w:t>和</w:t>
      </w:r>
      <w:r w:rsidRPr="000C093A">
        <w:rPr>
          <w:rFonts w:eastAsia="宋体" w:hAnsi="宋体" w:cs="Times New Roman" w:hint="eastAsia"/>
          <w:color w:val="FF0000"/>
          <w:sz w:val="21"/>
        </w:rPr>
        <w:t>鉴定部门的盖章</w:t>
      </w:r>
      <w:r w:rsidRPr="000C093A">
        <w:rPr>
          <w:rFonts w:eastAsia="宋体" w:hAnsi="宋体" w:cs="Times New Roman" w:hint="eastAsia"/>
          <w:color w:val="auto"/>
          <w:sz w:val="21"/>
        </w:rPr>
        <w:t>。</w:t>
      </w:r>
    </w:p>
    <w:p w14:paraId="1886148B" w14:textId="5BB906A3"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（八）勘验笔录</w:t>
      </w:r>
    </w:p>
    <w:p w14:paraId="5A607F29" w14:textId="64408430" w:rsidR="005B4F9C" w:rsidRPr="000C093A" w:rsidRDefault="005B4F9C" w:rsidP="000C093A">
      <w:pPr>
        <w:pStyle w:val="af2"/>
        <w:spacing w:line="276" w:lineRule="auto"/>
        <w:ind w:firstLine="420"/>
        <w:rPr>
          <w:rFonts w:eastAsia="宋体" w:hAnsi="宋体" w:cs="Times New Roman" w:hint="eastAsia"/>
          <w:color w:val="FF0000"/>
          <w:sz w:val="21"/>
        </w:rPr>
      </w:pPr>
      <w:r w:rsidRPr="000C093A">
        <w:rPr>
          <w:rFonts w:eastAsia="宋体" w:hAnsi="宋体" w:cs="Times New Roman" w:hint="eastAsia"/>
          <w:color w:val="FF0000"/>
          <w:sz w:val="21"/>
        </w:rPr>
        <w:t>勘验笔录是指行政机关或者法院对有关案件事实的现场或者物品进行就地检验、测量、勘查和分析所作的书面记录。</w:t>
      </w:r>
      <w:r w:rsidRPr="000C093A">
        <w:rPr>
          <w:rFonts w:eastAsia="宋体" w:hAnsi="宋体" w:cs="Times New Roman" w:hint="eastAsia"/>
          <w:color w:val="auto"/>
          <w:sz w:val="21"/>
        </w:rPr>
        <w:t>法院可以依当事人申请或者依职权勘验现场。</w:t>
      </w:r>
    </w:p>
    <w:p w14:paraId="42FB2E3F" w14:textId="41DD58C8"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（九）现场笔录</w:t>
      </w:r>
    </w:p>
    <w:p w14:paraId="392A055F" w14:textId="77777777" w:rsidR="005B4F9C" w:rsidRPr="000C093A" w:rsidRDefault="005B4F9C" w:rsidP="000C093A">
      <w:pPr>
        <w:pStyle w:val="af2"/>
        <w:spacing w:line="276" w:lineRule="auto"/>
        <w:ind w:firstLine="420"/>
        <w:rPr>
          <w:rFonts w:eastAsia="宋体" w:hAnsi="宋体" w:cs="Times New Roman" w:hint="eastAsia"/>
          <w:color w:val="FF0000"/>
          <w:sz w:val="21"/>
        </w:rPr>
      </w:pPr>
      <w:r w:rsidRPr="000C093A">
        <w:rPr>
          <w:rFonts w:eastAsia="宋体" w:hAnsi="宋体" w:cs="Times New Roman" w:hint="eastAsia"/>
          <w:color w:val="FF0000"/>
          <w:sz w:val="21"/>
        </w:rPr>
        <w:t>现场笔录是指行政机关工作人员在执行职务过程中对有关执法活动的现场情况所作的书面记录。</w:t>
      </w:r>
    </w:p>
    <w:p w14:paraId="1C1CE93A" w14:textId="77777777" w:rsidR="005B4F9C" w:rsidRPr="000C093A" w:rsidRDefault="005B4F9C" w:rsidP="000C093A">
      <w:pPr>
        <w:pStyle w:val="af2"/>
        <w:spacing w:line="276" w:lineRule="auto"/>
        <w:ind w:firstLine="420"/>
        <w:rPr>
          <w:rFonts w:eastAsia="宋体" w:hAnsi="宋体" w:cs="Times New Roman"/>
          <w:sz w:val="21"/>
        </w:rPr>
      </w:pPr>
      <w:r w:rsidRPr="000C093A">
        <w:rPr>
          <w:rFonts w:eastAsia="宋体" w:hAnsi="宋体" w:cs="汉仪书宋二简"/>
          <w:noProof/>
          <w:color w:val="FF0000"/>
          <w:sz w:val="21"/>
        </w:rPr>
        <mc:AlternateContent>
          <mc:Choice Requires="wps">
            <w:drawing>
              <wp:anchor distT="0" distB="0" distL="114300" distR="114300" simplePos="0" relativeHeight="251689984" behindDoc="0" locked="0" layoutInCell="1" allowOverlap="1" wp14:anchorId="6DF98A65" wp14:editId="193F3217">
                <wp:simplePos x="0" y="0"/>
                <wp:positionH relativeFrom="column">
                  <wp:posOffset>75565</wp:posOffset>
                </wp:positionH>
                <wp:positionV relativeFrom="paragraph">
                  <wp:posOffset>65034</wp:posOffset>
                </wp:positionV>
                <wp:extent cx="142875" cy="142875"/>
                <wp:effectExtent l="0" t="0" r="9525" b="9525"/>
                <wp:wrapNone/>
                <wp:docPr id="78573077"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788FEC8" id="五角星 1" o:spid="_x0000_s1026" style="position:absolute;margin-left:5.95pt;margin-top:5.1pt;width:11.25pt;height:11.2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Lr2H7/aAAAABwEAAA8A&#10;AABkcnMvZG93bnJldi54bWxMjkFLxDAUhO+C/yE8wZubtpZVa9NFVgQvCq2y57R5tsXmpTTZTf33&#10;Pk/uaRhmmPnK3WonccLFj44UpJsEBFLnzEi9gs+Pl5t7ED5oMnpyhAp+0MOuurwodWFcpBpPTegF&#10;j5AvtIIhhLmQ0ncDWu03bkbi7MstVge2Sy/NoiOP20lmSbKVVo/ED4OecT9g990crYImHvbv49sh&#10;piG2chvq1+W5zpW6vlqfHkEEXMN/Gf7wGR0qZmrdkYwXE/v0gZusSQaC89s8B9GyZncgq1Ke81e/&#10;AAAA//8DAFBLAQItABQABgAIAAAAIQC2gziS/gAAAOEBAAATAAAAAAAAAAAAAAAAAAAAAABbQ29u&#10;dGVudF9UeXBlc10ueG1sUEsBAi0AFAAGAAgAAAAhADj9If/WAAAAlAEAAAsAAAAAAAAAAAAAAAAA&#10;LwEAAF9yZWxzLy5yZWxzUEsBAi0AFAAGAAgAAAAhAODC8kc3AgAAaAQAAA4AAAAAAAAAAAAAAAAA&#10;LgIAAGRycy9lMm9Eb2MueG1sUEsBAi0AFAAGAAgAAAAhALr2H7/aAAAABwEAAA8AAAAAAAAAAAAA&#10;AAAAkQQAAGRycy9kb3ducmV2LnhtbFBLBQYAAAAABAAEAPMAAACYBQ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0C093A">
        <w:rPr>
          <w:rFonts w:eastAsia="宋体" w:hAnsi="宋体" w:cs="仿宋" w:hint="eastAsia"/>
          <w:color w:val="FF0000"/>
          <w:sz w:val="21"/>
        </w:rPr>
        <w:t>注意：</w:t>
      </w:r>
      <w:r w:rsidRPr="000C093A">
        <w:rPr>
          <w:rFonts w:eastAsia="宋体" w:hAnsi="宋体" w:cs="Times New Roman" w:hint="eastAsia"/>
          <w:sz w:val="21"/>
        </w:rPr>
        <w:t>现场笔录得是行政机关工作人员自己制作，不能委托他人制作；得是行政执法现场制作，不得事后补作。</w:t>
      </w:r>
    </w:p>
    <w:p w14:paraId="1BB671AB" w14:textId="4BCEA02E" w:rsidR="00334148" w:rsidRPr="000C093A" w:rsidRDefault="00334148" w:rsidP="000C093A">
      <w:pPr>
        <w:pStyle w:val="af2"/>
        <w:spacing w:line="276" w:lineRule="auto"/>
        <w:ind w:firstLine="420"/>
        <w:rPr>
          <w:rFonts w:eastAsia="宋体" w:hAnsi="宋体" w:cs="Times New Roman" w:hint="eastAsia"/>
          <w:color w:val="EE0000"/>
          <w:sz w:val="21"/>
        </w:rPr>
      </w:pPr>
      <w:r w:rsidRPr="000C093A">
        <w:rPr>
          <w:rFonts w:eastAsia="宋体" w:hAnsi="宋体" w:cs="Times New Roman" w:hint="eastAsia"/>
          <w:color w:val="EE0000"/>
          <w:sz w:val="21"/>
        </w:rPr>
        <w:t>现场笔录和勘验笔录是独立证据。</w:t>
      </w:r>
    </w:p>
    <w:p w14:paraId="6525B8C4" w14:textId="29CD160E" w:rsidR="005B4F9C" w:rsidRPr="000C093A" w:rsidRDefault="005B4F9C" w:rsidP="000C093A">
      <w:pPr>
        <w:pStyle w:val="af2"/>
        <w:spacing w:line="276" w:lineRule="auto"/>
        <w:ind w:firstLineChars="0" w:firstLine="0"/>
        <w:rPr>
          <w:rFonts w:eastAsia="宋体" w:hAnsi="宋体" w:hint="eastAsia"/>
          <w:b/>
          <w:bCs/>
          <w:sz w:val="21"/>
        </w:rPr>
      </w:pPr>
      <w:r w:rsidRPr="000C093A">
        <w:rPr>
          <w:rFonts w:eastAsia="宋体" w:hAnsi="宋体" w:hint="eastAsia"/>
          <w:b/>
          <w:bCs/>
          <w:sz w:val="21"/>
        </w:rPr>
        <w:t>二、举证</w:t>
      </w:r>
    </w:p>
    <w:p w14:paraId="732E1F6D" w14:textId="1E75AF73"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lastRenderedPageBreak/>
        <w:t>（一）举证责任的分配</w:t>
      </w:r>
    </w:p>
    <w:p w14:paraId="6A9978AA" w14:textId="77777777"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1．被告的举证责任</w:t>
      </w:r>
    </w:p>
    <w:p w14:paraId="645B0A22" w14:textId="77777777" w:rsidR="00334148" w:rsidRPr="00334148" w:rsidRDefault="00334148" w:rsidP="000C093A">
      <w:pPr>
        <w:pStyle w:val="af2"/>
        <w:spacing w:line="276" w:lineRule="auto"/>
        <w:ind w:firstLine="408"/>
        <w:rPr>
          <w:rFonts w:eastAsia="宋体" w:hAnsi="宋体" w:cs="Times New Roman" w:hint="eastAsia"/>
          <w:color w:val="auto"/>
          <w:spacing w:val="-3"/>
          <w:sz w:val="21"/>
        </w:rPr>
      </w:pPr>
      <w:r w:rsidRPr="00334148">
        <w:rPr>
          <w:rFonts w:eastAsia="宋体" w:hAnsi="宋体" w:cs="Times New Roman" w:hint="eastAsia"/>
          <w:color w:val="auto"/>
          <w:spacing w:val="-3"/>
          <w:sz w:val="21"/>
        </w:rPr>
        <w:t>（1）被告对</w:t>
      </w:r>
      <w:proofErr w:type="gramStart"/>
      <w:r w:rsidRPr="00334148">
        <w:rPr>
          <w:rFonts w:eastAsia="宋体" w:hAnsi="宋体" w:cs="Times New Roman" w:hint="eastAsia"/>
          <w:color w:val="auto"/>
          <w:spacing w:val="-3"/>
          <w:sz w:val="21"/>
        </w:rPr>
        <w:t>作出</w:t>
      </w:r>
      <w:proofErr w:type="gramEnd"/>
      <w:r w:rsidRPr="00334148">
        <w:rPr>
          <w:rFonts w:eastAsia="宋体" w:hAnsi="宋体" w:cs="Times New Roman" w:hint="eastAsia"/>
          <w:color w:val="auto"/>
          <w:spacing w:val="-3"/>
          <w:sz w:val="21"/>
        </w:rPr>
        <w:t>的行政行为负有举证责任.</w:t>
      </w:r>
    </w:p>
    <w:p w14:paraId="13A0A162" w14:textId="77777777" w:rsidR="00334148" w:rsidRPr="00334148" w:rsidRDefault="00334148" w:rsidP="000C093A">
      <w:pPr>
        <w:pStyle w:val="af2"/>
        <w:spacing w:line="276" w:lineRule="auto"/>
        <w:ind w:firstLine="408"/>
        <w:rPr>
          <w:rFonts w:eastAsia="宋体" w:hAnsi="宋体" w:cs="Times New Roman" w:hint="eastAsia"/>
          <w:color w:val="auto"/>
          <w:spacing w:val="-3"/>
          <w:sz w:val="21"/>
        </w:rPr>
      </w:pPr>
      <w:r w:rsidRPr="00334148">
        <w:rPr>
          <w:rFonts w:eastAsia="宋体" w:hAnsi="宋体" w:cs="Times New Roman" w:hint="eastAsia"/>
          <w:color w:val="auto"/>
          <w:spacing w:val="-3"/>
          <w:sz w:val="21"/>
        </w:rPr>
        <w:t>（2）被告主张原告起诉超过起诉期限时，需要承担举证责任。</w:t>
      </w:r>
    </w:p>
    <w:p w14:paraId="074A9EA2" w14:textId="77777777"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2．原告的举证责任</w:t>
      </w:r>
    </w:p>
    <w:p w14:paraId="4122D955" w14:textId="77777777" w:rsidR="00334148" w:rsidRPr="00334148" w:rsidRDefault="00334148" w:rsidP="000C093A">
      <w:pPr>
        <w:tabs>
          <w:tab w:val="clear" w:pos="420"/>
        </w:tabs>
        <w:spacing w:line="276" w:lineRule="auto"/>
        <w:ind w:firstLineChars="171" w:firstLine="359"/>
        <w:rPr>
          <w:rFonts w:eastAsia="宋体" w:hint="eastAsia"/>
          <w:color w:val="auto"/>
        </w:rPr>
      </w:pPr>
      <w:r w:rsidRPr="00334148">
        <w:rPr>
          <w:rFonts w:eastAsia="宋体" w:hint="eastAsia"/>
          <w:color w:val="auto"/>
        </w:rPr>
        <w:t>（1）在起诉被告不履行法定职责的案件中，原告应当提供其向被告提出申请的证据。</w:t>
      </w:r>
    </w:p>
    <w:p w14:paraId="70F85610" w14:textId="77777777" w:rsidR="00334148" w:rsidRPr="00334148" w:rsidRDefault="00334148" w:rsidP="000C093A">
      <w:pPr>
        <w:tabs>
          <w:tab w:val="clear" w:pos="420"/>
        </w:tabs>
        <w:spacing w:line="276" w:lineRule="auto"/>
        <w:ind w:firstLineChars="171" w:firstLine="359"/>
        <w:rPr>
          <w:rFonts w:eastAsia="宋体" w:hint="eastAsia"/>
          <w:color w:val="auto"/>
        </w:rPr>
      </w:pPr>
      <w:r w:rsidRPr="00334148">
        <w:rPr>
          <w:rFonts w:eastAsia="宋体" w:hint="eastAsia"/>
          <w:color w:val="auto"/>
        </w:rPr>
        <w:t>（2）在行政赔偿、补偿的案件中，原告应当对</w:t>
      </w:r>
      <w:r w:rsidRPr="00334148">
        <w:rPr>
          <w:rFonts w:eastAsia="宋体" w:hint="eastAsia"/>
          <w:b/>
          <w:bCs/>
          <w:color w:val="FF0000"/>
          <w:u w:val="single"/>
        </w:rPr>
        <w:t>行政行为造成的损害</w:t>
      </w:r>
      <w:r w:rsidRPr="00334148">
        <w:rPr>
          <w:rFonts w:eastAsia="宋体" w:hint="eastAsia"/>
          <w:color w:val="auto"/>
        </w:rPr>
        <w:t>提供证据。</w:t>
      </w:r>
    </w:p>
    <w:p w14:paraId="020A88E5" w14:textId="77777777" w:rsidR="00334148" w:rsidRPr="00334148" w:rsidRDefault="00334148" w:rsidP="000C093A">
      <w:pPr>
        <w:tabs>
          <w:tab w:val="clear" w:pos="420"/>
        </w:tabs>
        <w:spacing w:line="276" w:lineRule="auto"/>
        <w:ind w:firstLineChars="171" w:firstLine="359"/>
        <w:rPr>
          <w:rFonts w:eastAsia="宋体" w:hint="eastAsia"/>
          <w:color w:val="auto"/>
        </w:rPr>
      </w:pPr>
      <w:r w:rsidRPr="00334148">
        <w:rPr>
          <w:rFonts w:eastAsia="宋体" w:hint="eastAsia"/>
          <w:color w:val="auto"/>
        </w:rPr>
        <w:t>（3）符合起诉条件的相应证据。</w:t>
      </w:r>
    </w:p>
    <w:p w14:paraId="76714A77" w14:textId="77777777" w:rsidR="005B4F9C" w:rsidRPr="000C093A" w:rsidRDefault="005B4F9C" w:rsidP="000C093A">
      <w:pPr>
        <w:pStyle w:val="af2"/>
        <w:spacing w:line="276" w:lineRule="auto"/>
        <w:ind w:firstLine="420"/>
        <w:rPr>
          <w:rFonts w:eastAsia="宋体" w:hAnsi="宋体" w:cs="Times New Roman" w:hint="eastAsia"/>
          <w:color w:val="FF0000"/>
          <w:sz w:val="21"/>
        </w:rPr>
      </w:pPr>
      <w:r w:rsidRPr="000C093A">
        <w:rPr>
          <w:rFonts w:eastAsia="宋体" w:hAnsi="宋体" w:cs="Times New Roman" w:hint="eastAsia"/>
          <w:color w:val="FF0000"/>
          <w:sz w:val="21"/>
        </w:rPr>
        <w:t>当原告提出行政赔偿的诉讼请求时，应当对被诉行政行为造成损害的事实提供证据。但是，因被告的原因导致原告无法举证的，由被告承担举证责任。</w:t>
      </w:r>
      <w:bookmarkStart w:id="10" w:name="_Hlk508184585"/>
      <w:r w:rsidRPr="000C093A">
        <w:rPr>
          <w:rFonts w:eastAsia="宋体" w:hAnsi="宋体" w:cs="Times New Roman" w:hint="eastAsia"/>
          <w:color w:val="FF0000"/>
          <w:sz w:val="21"/>
        </w:rPr>
        <w:t>对于原告主张的生产和生活所必需物品的合理损失，应当予以支持；对于原告提出的超出生产和生活所必需的其他贵重物品、现金损失，并不免除原告提出初步存在的证据，法官遵循职业道德，运用逻辑推理和生活经验、生活常识等，结合案件相关证据予以认定，酌情确定赔偿数额。</w:t>
      </w:r>
      <w:bookmarkEnd w:id="10"/>
    </w:p>
    <w:p w14:paraId="5BD9DD0D" w14:textId="18864C1F"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（二）举证期限</w:t>
      </w:r>
    </w:p>
    <w:p w14:paraId="7ED63AE1" w14:textId="77777777"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1．被告的举证期限</w:t>
      </w:r>
    </w:p>
    <w:p w14:paraId="7B9DD7A6"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FF0000"/>
          <w:sz w:val="21"/>
        </w:rPr>
        <w:t>原则上，被告应当在收到起诉状副本之日起15日内，提供据以</w:t>
      </w:r>
      <w:proofErr w:type="gramStart"/>
      <w:r w:rsidRPr="000C093A">
        <w:rPr>
          <w:rFonts w:eastAsia="宋体" w:hAnsi="宋体" w:cs="Times New Roman" w:hint="eastAsia"/>
          <w:color w:val="FF0000"/>
          <w:sz w:val="21"/>
        </w:rPr>
        <w:t>作出</w:t>
      </w:r>
      <w:proofErr w:type="gramEnd"/>
      <w:r w:rsidRPr="000C093A">
        <w:rPr>
          <w:rFonts w:eastAsia="宋体" w:hAnsi="宋体" w:cs="Times New Roman" w:hint="eastAsia"/>
          <w:color w:val="FF0000"/>
          <w:sz w:val="21"/>
        </w:rPr>
        <w:t>被诉行政行为的全部证据和所依据的规范性文件。</w:t>
      </w:r>
      <w:r w:rsidRPr="000C093A">
        <w:rPr>
          <w:rFonts w:eastAsia="宋体" w:hAnsi="宋体" w:cs="Times New Roman" w:hint="eastAsia"/>
          <w:color w:val="auto"/>
          <w:sz w:val="21"/>
        </w:rPr>
        <w:t>被告不提供，或者无正当理由逾期提供的，视为被诉行政行为没有相应的证据。此时被告很可能将遭遇败诉的不利后果。但是，被诉行政行为涉及第三人合法权益，第三人提供证据的除外。</w:t>
      </w:r>
    </w:p>
    <w:p w14:paraId="16F979E8" w14:textId="77777777"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hint="eastAsia"/>
          <w:color w:val="auto"/>
          <w:sz w:val="21"/>
        </w:rPr>
        <w:t>2．原告和第三人的举证期限</w:t>
      </w:r>
    </w:p>
    <w:p w14:paraId="08E20226" w14:textId="49E8E723" w:rsidR="005B4F9C" w:rsidRPr="000C093A" w:rsidRDefault="005B4F9C" w:rsidP="000C093A">
      <w:pPr>
        <w:pStyle w:val="af2"/>
        <w:spacing w:line="276" w:lineRule="auto"/>
        <w:ind w:firstLine="420"/>
        <w:rPr>
          <w:rFonts w:eastAsia="宋体" w:hAnsi="宋体" w:cs="Times New Roman" w:hint="eastAsia"/>
          <w:color w:val="FF0000"/>
          <w:sz w:val="21"/>
        </w:rPr>
      </w:pPr>
      <w:r w:rsidRPr="000C093A">
        <w:rPr>
          <w:rFonts w:eastAsia="宋体" w:hAnsi="宋体" w:cs="Times New Roman" w:hint="eastAsia"/>
          <w:color w:val="FF0000"/>
          <w:sz w:val="21"/>
        </w:rPr>
        <w:t>原告和第三人原则上应当在开庭审理前或法院指定的交换证据之日提供证据。</w:t>
      </w:r>
    </w:p>
    <w:p w14:paraId="2FDC780D" w14:textId="1C5C3B53" w:rsidR="005B4F9C" w:rsidRPr="000C093A" w:rsidRDefault="005B4F9C" w:rsidP="000C093A">
      <w:pPr>
        <w:pStyle w:val="af2"/>
        <w:spacing w:line="276" w:lineRule="auto"/>
        <w:ind w:firstLineChars="0" w:firstLine="0"/>
        <w:rPr>
          <w:rFonts w:eastAsia="宋体" w:hAnsi="宋体" w:hint="eastAsia"/>
          <w:b/>
          <w:bCs/>
          <w:sz w:val="21"/>
        </w:rPr>
      </w:pPr>
      <w:r w:rsidRPr="000C093A">
        <w:rPr>
          <w:rFonts w:eastAsia="宋体" w:hAnsi="宋体" w:hint="eastAsia"/>
          <w:b/>
          <w:bCs/>
          <w:sz w:val="21"/>
        </w:rPr>
        <w:t>三、取证</w:t>
      </w:r>
      <w:r w:rsidR="00334148" w:rsidRPr="000C093A">
        <w:rPr>
          <w:rFonts w:eastAsia="宋体" w:hAnsi="宋体" w:hint="eastAsia"/>
          <w:b/>
          <w:bCs/>
          <w:sz w:val="21"/>
        </w:rPr>
        <w:t>（法院）</w:t>
      </w:r>
    </w:p>
    <w:p w14:paraId="7325C1E1"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（一）依职权取证</w:t>
      </w:r>
    </w:p>
    <w:p w14:paraId="7B2AC92E" w14:textId="106F4589"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人民法院有权向有关行政机关以及其他组织、公民调取证据。</w:t>
      </w:r>
      <w:r w:rsidRPr="000C093A">
        <w:rPr>
          <w:rFonts w:eastAsia="宋体" w:hAnsi="宋体" w:cs="Times New Roman" w:hint="eastAsia"/>
          <w:color w:val="FF0000"/>
          <w:sz w:val="21"/>
        </w:rPr>
        <w:t>但是，不得为证明行政行为的合法性调取被告</w:t>
      </w:r>
      <w:proofErr w:type="gramStart"/>
      <w:r w:rsidRPr="000C093A">
        <w:rPr>
          <w:rFonts w:eastAsia="宋体" w:hAnsi="宋体" w:cs="Times New Roman" w:hint="eastAsia"/>
          <w:color w:val="FF0000"/>
          <w:sz w:val="21"/>
        </w:rPr>
        <w:t>作出</w:t>
      </w:r>
      <w:proofErr w:type="gramEnd"/>
      <w:r w:rsidRPr="000C093A">
        <w:rPr>
          <w:rFonts w:eastAsia="宋体" w:hAnsi="宋体" w:cs="Times New Roman" w:hint="eastAsia"/>
          <w:color w:val="FF0000"/>
          <w:sz w:val="21"/>
        </w:rPr>
        <w:t>行政行为时未收集的证据。</w:t>
      </w:r>
      <w:r w:rsidRPr="000C093A">
        <w:rPr>
          <w:rFonts w:eastAsia="宋体" w:hAnsi="宋体" w:cs="Times New Roman" w:hint="eastAsia"/>
          <w:color w:val="auto"/>
          <w:sz w:val="21"/>
        </w:rPr>
        <w:t>人民法院依职权调取证据，主要适用于两种情况：（1）被调取的证据所证明的事实涉及国家利益、公共利益或他人合法权益的。2）被调取的证据所证明的是程序性事项的。</w:t>
      </w:r>
    </w:p>
    <w:p w14:paraId="6FDD323F"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（二）依申请取证</w:t>
      </w:r>
    </w:p>
    <w:p w14:paraId="664BC2B9" w14:textId="725C2079"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在行政诉讼中，法院可以</w:t>
      </w:r>
      <w:r w:rsidRPr="000C093A">
        <w:rPr>
          <w:rFonts w:eastAsia="宋体" w:hAnsi="宋体" w:cs="Times New Roman" w:hint="eastAsia"/>
          <w:color w:val="FF0000"/>
          <w:sz w:val="21"/>
        </w:rPr>
        <w:t>依原告或第三人的</w:t>
      </w:r>
      <w:r w:rsidRPr="000C093A">
        <w:rPr>
          <w:rFonts w:eastAsia="宋体" w:hAnsi="宋体" w:cs="Times New Roman" w:hint="eastAsia"/>
          <w:color w:val="auto"/>
          <w:sz w:val="21"/>
        </w:rPr>
        <w:t>申请取证。原告或者第三人不能自行收集的，可以申请人民法院调取的证据包括：（1）由国家机关保存而须由人民法院调取的证据。（2）涉及国家秘密、商业秘密和个人隐私的证据。（3）确因客观原因不能自行收集的其他证据。</w:t>
      </w:r>
    </w:p>
    <w:p w14:paraId="5C7A662C" w14:textId="08E4ACA9" w:rsidR="005B4F9C" w:rsidRPr="000C093A" w:rsidRDefault="005B4F9C" w:rsidP="000C093A">
      <w:pPr>
        <w:pStyle w:val="af2"/>
        <w:spacing w:line="276" w:lineRule="auto"/>
        <w:ind w:firstLine="422"/>
        <w:jc w:val="center"/>
        <w:rPr>
          <w:rFonts w:eastAsia="宋体" w:hAnsi="宋体" w:hint="eastAsia"/>
          <w:b/>
          <w:bCs/>
          <w:color w:val="auto"/>
          <w:sz w:val="21"/>
        </w:rPr>
      </w:pPr>
      <w:bookmarkStart w:id="11" w:name="_Toc190544247"/>
      <w:bookmarkStart w:id="12" w:name="_Toc192256147"/>
      <w:r w:rsidRPr="000C093A">
        <w:rPr>
          <w:rFonts w:eastAsia="宋体" w:hAnsi="宋体" w:hint="eastAsia"/>
          <w:b/>
          <w:bCs/>
          <w:color w:val="auto"/>
          <w:sz w:val="21"/>
        </w:rPr>
        <w:t>考点23  行政诉讼的</w:t>
      </w:r>
      <w:proofErr w:type="gramStart"/>
      <w:r w:rsidRPr="000C093A">
        <w:rPr>
          <w:rFonts w:eastAsia="宋体" w:hAnsi="宋体" w:hint="eastAsia"/>
          <w:b/>
          <w:bCs/>
          <w:color w:val="auto"/>
          <w:sz w:val="21"/>
        </w:rPr>
        <w:t>的</w:t>
      </w:r>
      <w:proofErr w:type="gramEnd"/>
      <w:r w:rsidRPr="000C093A">
        <w:rPr>
          <w:rFonts w:eastAsia="宋体" w:hAnsi="宋体" w:hint="eastAsia"/>
          <w:b/>
          <w:bCs/>
          <w:color w:val="auto"/>
          <w:sz w:val="21"/>
        </w:rPr>
        <w:t>法律适用</w:t>
      </w:r>
      <w:bookmarkEnd w:id="11"/>
      <w:bookmarkEnd w:id="12"/>
      <w:r w:rsidR="001B16F7" w:rsidRPr="000C093A">
        <w:rPr>
          <w:rFonts w:eastAsia="宋体" w:hAnsi="宋体" w:hint="eastAsia"/>
          <w:b/>
          <w:bCs/>
          <w:color w:val="auto"/>
          <w:sz w:val="21"/>
        </w:rPr>
        <w:t>（21:30-21:40）</w:t>
      </w:r>
    </w:p>
    <w:bookmarkEnd w:id="9"/>
    <w:p w14:paraId="70D6D4E1" w14:textId="77777777" w:rsidR="005B4F9C" w:rsidRPr="000C093A" w:rsidRDefault="005B4F9C" w:rsidP="000C093A">
      <w:pPr>
        <w:pStyle w:val="af2"/>
        <w:spacing w:line="276" w:lineRule="auto"/>
        <w:ind w:firstLineChars="0" w:firstLine="0"/>
        <w:rPr>
          <w:rFonts w:eastAsia="宋体" w:hAnsi="宋体" w:hint="eastAsia"/>
          <w:b/>
          <w:bCs/>
          <w:sz w:val="21"/>
        </w:rPr>
      </w:pPr>
      <w:r w:rsidRPr="000C093A">
        <w:rPr>
          <w:rFonts w:eastAsia="宋体" w:hAnsi="宋体" w:hint="eastAsia"/>
          <w:b/>
          <w:bCs/>
          <w:sz w:val="21"/>
        </w:rPr>
        <w:t>一、法律适用的概念</w:t>
      </w:r>
    </w:p>
    <w:p w14:paraId="499ADD43" w14:textId="5356A66F"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是指人民法院按照法定程序将法律、法规以及法院决定参照的规章和参考的其他规范性文件具体运用于各种行政案件，对被诉行政行为的合法性进行审查的活动。</w:t>
      </w:r>
    </w:p>
    <w:p w14:paraId="5527392B" w14:textId="77777777" w:rsidR="005B4F9C" w:rsidRPr="000C093A" w:rsidRDefault="005B4F9C" w:rsidP="000C093A">
      <w:pPr>
        <w:pStyle w:val="af2"/>
        <w:spacing w:line="276" w:lineRule="auto"/>
        <w:ind w:firstLineChars="0" w:firstLine="0"/>
        <w:rPr>
          <w:rFonts w:eastAsia="宋体" w:hAnsi="宋体" w:hint="eastAsia"/>
          <w:b/>
          <w:bCs/>
          <w:sz w:val="21"/>
        </w:rPr>
      </w:pPr>
      <w:r w:rsidRPr="000C093A">
        <w:rPr>
          <w:rFonts w:eastAsia="宋体" w:hAnsi="宋体" w:hint="eastAsia"/>
          <w:b/>
          <w:bCs/>
          <w:sz w:val="21"/>
        </w:rPr>
        <w:t>二、法律适用的规则</w:t>
      </w:r>
    </w:p>
    <w:p w14:paraId="0FD92DF2"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（一）法律和法规作为法院裁判的依据</w:t>
      </w:r>
    </w:p>
    <w:p w14:paraId="1AFC61A0" w14:textId="3E3BE07E"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法律与法规是法院审理行政案件的依据，即法院在审判时所必须遵循的、不得拒绝适用</w:t>
      </w:r>
      <w:r w:rsidRPr="000C093A">
        <w:rPr>
          <w:rFonts w:eastAsia="宋体" w:hAnsi="宋体" w:cs="Times New Roman" w:hint="eastAsia"/>
          <w:color w:val="auto"/>
          <w:sz w:val="21"/>
        </w:rPr>
        <w:lastRenderedPageBreak/>
        <w:t>的根据。法院在审理行政案件时，如果法律和法规已经对与该案件有关的某个问题</w:t>
      </w:r>
      <w:proofErr w:type="gramStart"/>
      <w:r w:rsidRPr="000C093A">
        <w:rPr>
          <w:rFonts w:eastAsia="宋体" w:hAnsi="宋体" w:cs="Times New Roman" w:hint="eastAsia"/>
          <w:color w:val="auto"/>
          <w:sz w:val="21"/>
        </w:rPr>
        <w:t>作出</w:t>
      </w:r>
      <w:proofErr w:type="gramEnd"/>
      <w:r w:rsidRPr="000C093A">
        <w:rPr>
          <w:rFonts w:eastAsia="宋体" w:hAnsi="宋体" w:cs="Times New Roman" w:hint="eastAsia"/>
          <w:color w:val="auto"/>
          <w:sz w:val="21"/>
        </w:rPr>
        <w:t>了规定，就必须适用它。</w:t>
      </w:r>
    </w:p>
    <w:p w14:paraId="5F39EA73"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（二）规章与其他行政规范性文件的引用</w:t>
      </w:r>
    </w:p>
    <w:p w14:paraId="0ADA9E03" w14:textId="59DB834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人民法院审理行政案件，可以在裁判文书中</w:t>
      </w:r>
      <w:r w:rsidRPr="000C093A">
        <w:rPr>
          <w:rFonts w:eastAsia="宋体" w:hAnsi="宋体" w:cs="Times New Roman" w:hint="eastAsia"/>
          <w:color w:val="EE0000"/>
          <w:sz w:val="21"/>
        </w:rPr>
        <w:t>引用合法有效的规章及其他规范性文件</w:t>
      </w:r>
      <w:r w:rsidRPr="000C093A">
        <w:rPr>
          <w:rFonts w:eastAsia="宋体" w:hAnsi="宋体" w:cs="Times New Roman" w:hint="eastAsia"/>
          <w:color w:val="auto"/>
          <w:sz w:val="21"/>
        </w:rPr>
        <w:t>。</w:t>
      </w:r>
    </w:p>
    <w:p w14:paraId="7FEC8033"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（三）司法解释的援引</w:t>
      </w:r>
    </w:p>
    <w:p w14:paraId="2EFF1DB0"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人民法院审理行政案件，适用最高人民法院司法解释的，应当在裁判文书中援引。从实际角度来看，司法解释在行政诉讼中的作用接近于法律，事实上已成为法院审理行政案件的重要依据。</w:t>
      </w:r>
    </w:p>
    <w:p w14:paraId="41AA98FC" w14:textId="25192D71" w:rsidR="005B4F9C" w:rsidRPr="000C093A" w:rsidRDefault="005B4F9C" w:rsidP="000C093A">
      <w:pPr>
        <w:pStyle w:val="af2"/>
        <w:spacing w:line="276" w:lineRule="auto"/>
        <w:ind w:firstLine="422"/>
        <w:jc w:val="center"/>
        <w:rPr>
          <w:rFonts w:eastAsia="宋体" w:hAnsi="宋体" w:hint="eastAsia"/>
          <w:b/>
          <w:bCs/>
          <w:color w:val="auto"/>
          <w:sz w:val="21"/>
        </w:rPr>
      </w:pPr>
      <w:bookmarkStart w:id="13" w:name="_Toc190544248"/>
      <w:bookmarkStart w:id="14" w:name="_Toc192256148"/>
      <w:r w:rsidRPr="000C093A">
        <w:rPr>
          <w:rFonts w:eastAsia="宋体" w:hAnsi="宋体" w:hint="eastAsia"/>
          <w:b/>
          <w:bCs/>
          <w:color w:val="auto"/>
          <w:sz w:val="21"/>
        </w:rPr>
        <w:t>考点24  行政诉讼的判决</w:t>
      </w:r>
      <w:bookmarkEnd w:id="13"/>
      <w:r w:rsidRPr="000C093A">
        <w:rPr>
          <w:rFonts w:eastAsia="宋体" w:hAnsi="宋体" w:hint="eastAsia"/>
          <w:b/>
          <w:bCs/>
          <w:color w:val="auto"/>
          <w:sz w:val="21"/>
        </w:rPr>
        <w:t>和执行</w:t>
      </w:r>
      <w:bookmarkEnd w:id="14"/>
      <w:r w:rsidR="001B16F7" w:rsidRPr="000C093A">
        <w:rPr>
          <w:rFonts w:eastAsia="宋体" w:hAnsi="宋体" w:hint="eastAsia"/>
          <w:b/>
          <w:bCs/>
          <w:color w:val="auto"/>
          <w:sz w:val="21"/>
        </w:rPr>
        <w:t>（21:40-22:33）</w:t>
      </w:r>
    </w:p>
    <w:p w14:paraId="2BF4FE61" w14:textId="228BBE45" w:rsidR="005B4F9C" w:rsidRPr="000C093A" w:rsidRDefault="005B4F9C" w:rsidP="000C093A">
      <w:pPr>
        <w:pStyle w:val="af2"/>
        <w:spacing w:line="276" w:lineRule="auto"/>
        <w:ind w:firstLineChars="0" w:firstLine="0"/>
        <w:rPr>
          <w:rFonts w:eastAsia="宋体" w:hAnsi="宋体" w:hint="eastAsia"/>
          <w:b/>
          <w:bCs/>
          <w:color w:val="FF0000"/>
          <w:sz w:val="21"/>
        </w:rPr>
      </w:pPr>
      <w:bookmarkStart w:id="15" w:name="_Hlk37845063"/>
      <w:r w:rsidRPr="000C093A">
        <w:rPr>
          <w:rFonts w:eastAsia="宋体" w:hAnsi="宋体" w:hint="eastAsia"/>
          <w:b/>
          <w:bCs/>
          <w:sz w:val="21"/>
        </w:rPr>
        <w:t>一、行政诉讼的一审判决</w:t>
      </w:r>
    </w:p>
    <w:p w14:paraId="70CFA015"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（一）驳回判决</w:t>
      </w:r>
    </w:p>
    <w:p w14:paraId="65F3E973" w14:textId="77777777" w:rsidR="003018B6" w:rsidRPr="003018B6" w:rsidRDefault="003018B6" w:rsidP="000C093A">
      <w:pPr>
        <w:pStyle w:val="af2"/>
        <w:spacing w:line="276" w:lineRule="auto"/>
        <w:ind w:firstLine="420"/>
        <w:rPr>
          <w:rFonts w:eastAsia="宋体" w:hAnsi="宋体" w:hint="eastAsia"/>
          <w:color w:val="auto"/>
          <w:sz w:val="21"/>
        </w:rPr>
      </w:pPr>
      <w:r w:rsidRPr="003018B6">
        <w:rPr>
          <w:rFonts w:eastAsia="宋体" w:hAnsi="宋体" w:hint="eastAsia"/>
          <w:color w:val="auto"/>
          <w:sz w:val="21"/>
        </w:rPr>
        <w:t>1.被诉行政行为合法</w:t>
      </w:r>
      <w:r w:rsidRPr="003018B6">
        <w:rPr>
          <w:rFonts w:eastAsia="宋体" w:hAnsi="宋体"/>
          <w:color w:val="auto"/>
          <w:sz w:val="21"/>
        </w:rPr>
        <w:t>。</w:t>
      </w:r>
      <w:r w:rsidRPr="003018B6">
        <w:rPr>
          <w:rFonts w:eastAsia="宋体" w:hAnsi="宋体" w:hint="eastAsia"/>
          <w:color w:val="auto"/>
          <w:sz w:val="21"/>
        </w:rPr>
        <w:t>包括</w:t>
      </w:r>
      <w:r w:rsidRPr="003018B6">
        <w:rPr>
          <w:rFonts w:eastAsia="宋体" w:hAnsi="宋体"/>
          <w:color w:val="auto"/>
          <w:sz w:val="21"/>
        </w:rPr>
        <w:t>：</w:t>
      </w:r>
      <w:r w:rsidRPr="003018B6">
        <w:rPr>
          <w:rFonts w:eastAsia="宋体" w:hAnsi="宋体" w:hint="eastAsia"/>
          <w:color w:val="auto"/>
          <w:sz w:val="21"/>
        </w:rPr>
        <w:t>证据确凿；适用法律、法规正确；符合法定程序。</w:t>
      </w:r>
    </w:p>
    <w:p w14:paraId="594FBCDD" w14:textId="77777777" w:rsidR="003018B6" w:rsidRPr="003018B6" w:rsidRDefault="003018B6" w:rsidP="000C093A">
      <w:pPr>
        <w:pStyle w:val="af2"/>
        <w:spacing w:line="276" w:lineRule="auto"/>
        <w:ind w:firstLine="420"/>
        <w:rPr>
          <w:rFonts w:eastAsia="宋体" w:hAnsi="宋体" w:hint="eastAsia"/>
          <w:color w:val="auto"/>
          <w:sz w:val="21"/>
        </w:rPr>
      </w:pPr>
      <w:r w:rsidRPr="003018B6">
        <w:rPr>
          <w:rFonts w:eastAsia="宋体" w:hAnsi="宋体" w:hint="eastAsia"/>
          <w:color w:val="auto"/>
          <w:sz w:val="21"/>
        </w:rPr>
        <w:t>2.原告申请被告履行法定职责理由不成立</w:t>
      </w:r>
      <w:r w:rsidRPr="003018B6">
        <w:rPr>
          <w:rFonts w:eastAsia="宋体" w:hAnsi="宋体"/>
          <w:color w:val="auto"/>
          <w:sz w:val="21"/>
        </w:rPr>
        <w:t>。</w:t>
      </w:r>
    </w:p>
    <w:p w14:paraId="630D4D30" w14:textId="77777777" w:rsidR="003018B6" w:rsidRPr="003018B6" w:rsidRDefault="003018B6" w:rsidP="000C093A">
      <w:pPr>
        <w:pStyle w:val="af2"/>
        <w:spacing w:line="276" w:lineRule="auto"/>
        <w:ind w:firstLine="420"/>
        <w:rPr>
          <w:rFonts w:eastAsia="宋体" w:hAnsi="宋体" w:hint="eastAsia"/>
          <w:color w:val="auto"/>
          <w:sz w:val="21"/>
        </w:rPr>
      </w:pPr>
      <w:r w:rsidRPr="003018B6">
        <w:rPr>
          <w:rFonts w:eastAsia="宋体" w:hAnsi="宋体" w:hint="eastAsia"/>
          <w:color w:val="auto"/>
          <w:sz w:val="21"/>
        </w:rPr>
        <w:t>3.原告申请</w:t>
      </w:r>
      <w:r w:rsidRPr="003018B6">
        <w:rPr>
          <w:rFonts w:eastAsia="宋体" w:hAnsi="宋体"/>
          <w:color w:val="auto"/>
          <w:sz w:val="21"/>
        </w:rPr>
        <w:t>被告履行</w:t>
      </w:r>
      <w:r w:rsidRPr="003018B6">
        <w:rPr>
          <w:rFonts w:eastAsia="宋体" w:hAnsi="宋体" w:hint="eastAsia"/>
          <w:color w:val="auto"/>
          <w:sz w:val="21"/>
        </w:rPr>
        <w:t>给付义务理由</w:t>
      </w:r>
      <w:r w:rsidRPr="003018B6">
        <w:rPr>
          <w:rFonts w:eastAsia="宋体" w:hAnsi="宋体"/>
          <w:color w:val="auto"/>
          <w:sz w:val="21"/>
        </w:rPr>
        <w:t>不成立。</w:t>
      </w:r>
    </w:p>
    <w:p w14:paraId="148C4388" w14:textId="3C75F970" w:rsidR="005B4F9C" w:rsidRPr="000C093A" w:rsidRDefault="005B4F9C" w:rsidP="000C093A">
      <w:pPr>
        <w:pStyle w:val="af2"/>
        <w:spacing w:line="276" w:lineRule="auto"/>
        <w:ind w:firstLine="420"/>
        <w:rPr>
          <w:rFonts w:eastAsia="宋体" w:hAnsi="宋体" w:hint="eastAsia"/>
          <w:color w:val="auto"/>
          <w:sz w:val="21"/>
        </w:rPr>
      </w:pPr>
      <w:r w:rsidRPr="000C093A">
        <w:rPr>
          <w:rFonts w:eastAsia="宋体" w:hAnsi="宋体" w:cs="汉仪书宋二简"/>
          <w:noProof/>
          <w:color w:val="FF0000"/>
          <w:sz w:val="21"/>
        </w:rPr>
        <mc:AlternateContent>
          <mc:Choice Requires="wps">
            <w:drawing>
              <wp:anchor distT="0" distB="0" distL="114300" distR="114300" simplePos="0" relativeHeight="251660288" behindDoc="0" locked="0" layoutInCell="1" allowOverlap="1" wp14:anchorId="7B6DDCAE" wp14:editId="40B809E7">
                <wp:simplePos x="0" y="0"/>
                <wp:positionH relativeFrom="column">
                  <wp:posOffset>57785</wp:posOffset>
                </wp:positionH>
                <wp:positionV relativeFrom="paragraph">
                  <wp:posOffset>65776</wp:posOffset>
                </wp:positionV>
                <wp:extent cx="142875" cy="142875"/>
                <wp:effectExtent l="0" t="0" r="9525" b="9525"/>
                <wp:wrapNone/>
                <wp:docPr id="920413151"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37094B2" id="五角星 1" o:spid="_x0000_s1026" style="position:absolute;margin-left:4.55pt;margin-top:5.2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428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JHNwIAAGgEAAAOAAAAZHJzL2Uyb0RvYy54bWysVEuP2jAQvlfqf7B8LwEEhaINK7SIqhLq&#10;Im2rno1jE0u2xx0bAv31HTvssn2cqubgzHgm883jm9zdn51lJ4XRgK/5aDDkTHkJjfGHmn/9snk3&#10;5ywm4RthwauaX1Tk98u3b+66sFBjaME2ChkF8XHRhZq3KYVFVUXZKifiAILyZNSATiRS8VA1KDqK&#10;7mw1Hg7fVx1gExCkipFu172RL0t8rZVMj1pHlZitOeWWyonl3OezWt6JxQFFaI28piH+IQsnjCfQ&#10;l1BrkQQ7ovkjlDMSIYJOAwmuAq2NVKUGqmY0/K2ap1YEVWqh5sTw0qb4/8LKz6ensENqQxfiIpKY&#10;qzhrdPlN+bFzadblpVnqnJiky9FkPJ9NOZNkusoUpbp9HDCmjwocy0LNiQU4LT0Sp21Mve+zTwaL&#10;YE2zMdYWBQ/7B4vsJGhwm82QnjwrCv+Lm/WsI/jxjMxMCiKQtiKR6EJDkP7AmbAHYqZMWLA9ZASK&#10;JBYZey1i22OUsD0dnEnESWtczecZ+BnZ+vyZKqy6VnBrWpb20Fx2yBB6msUgN4ZAtiKmnUDiFSVJ&#10;u5Ie6dAWKHO4Spy1gD/+dp/9adxk5awjnlJV348CFWf2kycifBhNJpnYRZlMZ2NS8LVl/9rij+4B&#10;qKMj2sogi5j9k30WNYL7Riu1yqhkEl4Sdt+/q/KQ+v2hpZRqtSpuROYg0tY/BZmD5z55WB0TaFMm&#10;fesOzTArROcyzevq5X15rRev2w9i+RMAAP//AwBQSwMEFAAGAAgAAAAhAGVyEOTbAAAABgEAAA8A&#10;AABkcnMvZG93bnJldi54bWxMjkFLw0AQhe+C/2GZgje7SS3BxmyKVAQvCkml5012TEKzsyG77cZ/&#10;73jS02Pee7z5iv1iR3HF2Q+OFKTrBARS68xAnYLP4+v9IwgfNBk9OkIF3+hhX97eFDo3LlKF1zp0&#10;gkfI51pBH8KUS+nbHq32azchcfblZqsDn3Mnzawjj9tRbpIkk1YPxB96PeGhx/ZcX6yCOp4OH8P7&#10;KaYhNjIL1dv8Um2Vulstz08gAi7hrwy/+IwOJTM17kLGi1HBLuUi28kWBMcPaQaiYd3sQJaF/I9f&#10;/gAAAP//AwBQSwECLQAUAAYACAAAACEAtoM4kv4AAADhAQAAEwAAAAAAAAAAAAAAAAAAAAAAW0Nv&#10;bnRlbnRfVHlwZXNdLnhtbFBLAQItABQABgAIAAAAIQA4/SH/1gAAAJQBAAALAAAAAAAAAAAAAAAA&#10;AC8BAABfcmVscy8ucmVsc1BLAQItABQABgAIAAAAIQDgwvJHNwIAAGgEAAAOAAAAAAAAAAAAAAAA&#10;AC4CAABkcnMvZTJvRG9jLnhtbFBLAQItABQABgAIAAAAIQBlchDk2wAAAAYBAAAPAAAAAAAAAAAA&#10;AAAAAJEEAABkcnMvZG93bnJldi54bWxQSwUGAAAAAAQABADzAAAAmQUAAAAA&#10;" path="m,54573r54574,1l71438,,88301,54574r54574,-1l98724,88301r16864,54574l71438,109146,27287,142875,44151,88301,,54573xe" fillcolor="red" stroked="f" strokeweight="1pt">
                <v:stroke joinstyle="miter"/>
                <v:path arrowok="t" o:connecttype="custom" o:connectlocs="0,54573;54574,54574;71438,0;88301,54574;142875,54573;98724,88301;115588,142875;71438,109146;27287,142875;44151,88301;0,54573" o:connectangles="0,0,0,0,0,0,0,0,0,0,0"/>
              </v:shape>
            </w:pict>
          </mc:Fallback>
        </mc:AlternateContent>
      </w:r>
      <w:r w:rsidRPr="000C093A">
        <w:rPr>
          <w:rFonts w:eastAsia="宋体" w:hAnsi="宋体" w:cs="仿宋" w:hint="eastAsia"/>
          <w:color w:val="FF0000"/>
          <w:sz w:val="21"/>
        </w:rPr>
        <w:t>注意：</w:t>
      </w:r>
      <w:r w:rsidRPr="000C093A">
        <w:rPr>
          <w:rFonts w:eastAsia="宋体" w:hAnsi="宋体" w:hint="eastAsia"/>
          <w:color w:val="auto"/>
          <w:sz w:val="21"/>
        </w:rPr>
        <w:t>被告胜诉一律适用驳回原告诉讼请求的判决，不再有维持判决的类型。</w:t>
      </w:r>
    </w:p>
    <w:p w14:paraId="64077027"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（二）撤销判决</w:t>
      </w:r>
    </w:p>
    <w:p w14:paraId="228F7694" w14:textId="77777777" w:rsidR="003018B6" w:rsidRPr="003018B6" w:rsidRDefault="003018B6" w:rsidP="000C093A">
      <w:pPr>
        <w:pStyle w:val="af2"/>
        <w:spacing w:line="276" w:lineRule="auto"/>
        <w:ind w:firstLine="420"/>
        <w:rPr>
          <w:rFonts w:eastAsia="宋体" w:hAnsi="宋体" w:cs="Times New Roman" w:hint="eastAsia"/>
          <w:color w:val="auto"/>
          <w:sz w:val="21"/>
        </w:rPr>
      </w:pPr>
      <w:r w:rsidRPr="003018B6">
        <w:rPr>
          <w:rFonts w:eastAsia="宋体" w:hAnsi="宋体" w:cs="Times New Roman" w:hint="eastAsia"/>
          <w:color w:val="auto"/>
          <w:sz w:val="21"/>
        </w:rPr>
        <w:t>1.主要证据不足。行政机关</w:t>
      </w:r>
      <w:proofErr w:type="gramStart"/>
      <w:r w:rsidRPr="003018B6">
        <w:rPr>
          <w:rFonts w:eastAsia="宋体" w:hAnsi="宋体" w:cs="Times New Roman" w:hint="eastAsia"/>
          <w:color w:val="auto"/>
          <w:sz w:val="21"/>
        </w:rPr>
        <w:t>作出</w:t>
      </w:r>
      <w:proofErr w:type="gramEnd"/>
      <w:r w:rsidRPr="003018B6">
        <w:rPr>
          <w:rFonts w:eastAsia="宋体" w:hAnsi="宋体" w:cs="Times New Roman" w:hint="eastAsia"/>
          <w:color w:val="auto"/>
          <w:sz w:val="21"/>
        </w:rPr>
        <w:t>的行政行为缺乏事实根据，所依据的事实不清。</w:t>
      </w:r>
    </w:p>
    <w:p w14:paraId="74C4D8DD" w14:textId="77777777" w:rsidR="003018B6" w:rsidRPr="003018B6" w:rsidRDefault="003018B6" w:rsidP="000C093A">
      <w:pPr>
        <w:pStyle w:val="af2"/>
        <w:spacing w:line="276" w:lineRule="auto"/>
        <w:ind w:firstLine="420"/>
        <w:rPr>
          <w:rFonts w:eastAsia="宋体" w:hAnsi="宋体" w:cs="Times New Roman" w:hint="eastAsia"/>
          <w:color w:val="auto"/>
          <w:sz w:val="21"/>
        </w:rPr>
      </w:pPr>
      <w:r w:rsidRPr="003018B6">
        <w:rPr>
          <w:rFonts w:eastAsia="宋体" w:hAnsi="宋体" w:cs="Times New Roman" w:hint="eastAsia"/>
          <w:color w:val="auto"/>
          <w:sz w:val="21"/>
        </w:rPr>
        <w:t>2.适用法律法规错误。错误理解法律。</w:t>
      </w:r>
    </w:p>
    <w:p w14:paraId="3EC092F7" w14:textId="77777777" w:rsidR="003018B6" w:rsidRPr="003018B6" w:rsidRDefault="003018B6" w:rsidP="000C093A">
      <w:pPr>
        <w:pStyle w:val="af2"/>
        <w:spacing w:line="276" w:lineRule="auto"/>
        <w:ind w:firstLine="420"/>
        <w:rPr>
          <w:rFonts w:eastAsia="宋体" w:hAnsi="宋体" w:cs="Times New Roman" w:hint="eastAsia"/>
          <w:color w:val="auto"/>
          <w:sz w:val="21"/>
        </w:rPr>
      </w:pPr>
      <w:r w:rsidRPr="003018B6">
        <w:rPr>
          <w:rFonts w:eastAsia="宋体" w:hAnsi="宋体" w:cs="Times New Roman" w:hint="eastAsia"/>
          <w:color w:val="auto"/>
          <w:sz w:val="21"/>
        </w:rPr>
        <w:t>3.违反法定程序。行政行为违反了法律、法规规定的步骤、顺序、时限和方式。</w:t>
      </w:r>
    </w:p>
    <w:p w14:paraId="7CD2F128" w14:textId="77777777" w:rsidR="003018B6" w:rsidRPr="003018B6" w:rsidRDefault="003018B6" w:rsidP="000C093A">
      <w:pPr>
        <w:pStyle w:val="af2"/>
        <w:spacing w:line="276" w:lineRule="auto"/>
        <w:ind w:firstLine="420"/>
        <w:rPr>
          <w:rFonts w:eastAsia="宋体" w:hAnsi="宋体" w:cs="Times New Roman" w:hint="eastAsia"/>
          <w:color w:val="auto"/>
          <w:sz w:val="21"/>
        </w:rPr>
      </w:pPr>
      <w:r w:rsidRPr="003018B6">
        <w:rPr>
          <w:rFonts w:eastAsia="宋体" w:hAnsi="宋体" w:cs="Times New Roman" w:hint="eastAsia"/>
          <w:color w:val="auto"/>
          <w:sz w:val="21"/>
        </w:rPr>
        <w:t>4.超越职权。（1）超越级别管辖权（2）超越</w:t>
      </w:r>
      <w:r w:rsidRPr="003018B6">
        <w:rPr>
          <w:rFonts w:eastAsia="宋体" w:hAnsi="宋体" w:cs="Times New Roman"/>
          <w:color w:val="auto"/>
          <w:sz w:val="21"/>
        </w:rPr>
        <w:t>事务管辖权</w:t>
      </w:r>
      <w:r w:rsidRPr="003018B6">
        <w:rPr>
          <w:rFonts w:eastAsia="宋体" w:hAnsi="宋体" w:cs="Times New Roman" w:hint="eastAsia"/>
          <w:color w:val="auto"/>
          <w:sz w:val="21"/>
        </w:rPr>
        <w:t>。（3）超越</w:t>
      </w:r>
      <w:r w:rsidRPr="003018B6">
        <w:rPr>
          <w:rFonts w:eastAsia="宋体" w:hAnsi="宋体" w:cs="Times New Roman"/>
          <w:color w:val="auto"/>
          <w:sz w:val="21"/>
        </w:rPr>
        <w:t>地域管辖</w:t>
      </w:r>
      <w:r w:rsidRPr="003018B6">
        <w:rPr>
          <w:rFonts w:eastAsia="宋体" w:hAnsi="宋体" w:cs="Times New Roman" w:hint="eastAsia"/>
          <w:color w:val="auto"/>
          <w:sz w:val="21"/>
        </w:rPr>
        <w:t>权。</w:t>
      </w:r>
    </w:p>
    <w:p w14:paraId="437A8D28" w14:textId="77777777" w:rsidR="003018B6" w:rsidRPr="003018B6" w:rsidRDefault="003018B6" w:rsidP="000C093A">
      <w:pPr>
        <w:pStyle w:val="af2"/>
        <w:spacing w:line="276" w:lineRule="auto"/>
        <w:ind w:firstLine="420"/>
        <w:rPr>
          <w:rFonts w:eastAsia="宋体" w:hAnsi="宋体" w:cs="Times New Roman" w:hint="eastAsia"/>
          <w:color w:val="auto"/>
          <w:sz w:val="21"/>
        </w:rPr>
      </w:pPr>
      <w:r w:rsidRPr="003018B6">
        <w:rPr>
          <w:rFonts w:eastAsia="宋体" w:hAnsi="宋体" w:cs="Times New Roman" w:hint="eastAsia"/>
          <w:color w:val="auto"/>
          <w:sz w:val="21"/>
        </w:rPr>
        <w:t>5.滥用职权。追求私益；不符合法律目的；不适当考虑；反复无常；不作为</w:t>
      </w:r>
    </w:p>
    <w:p w14:paraId="4F861AA9" w14:textId="3827783A" w:rsidR="003018B6" w:rsidRPr="003018B6" w:rsidRDefault="003018B6" w:rsidP="000C093A">
      <w:pPr>
        <w:pStyle w:val="af2"/>
        <w:spacing w:line="276" w:lineRule="auto"/>
        <w:ind w:firstLine="420"/>
        <w:rPr>
          <w:rFonts w:eastAsia="宋体" w:hAnsi="宋体" w:cs="Times New Roman" w:hint="eastAsia"/>
          <w:color w:val="auto"/>
          <w:sz w:val="21"/>
        </w:rPr>
      </w:pPr>
      <w:r w:rsidRPr="003018B6">
        <w:rPr>
          <w:rFonts w:eastAsia="宋体" w:hAnsi="宋体" w:cs="Times New Roman" w:hint="eastAsia"/>
          <w:color w:val="auto"/>
          <w:sz w:val="21"/>
        </w:rPr>
        <w:t>6.</w:t>
      </w:r>
      <w:r w:rsidRPr="003018B6">
        <w:rPr>
          <w:rFonts w:eastAsia="宋体" w:hAnsi="宋体" w:cs="Times New Roman"/>
          <w:color w:val="auto"/>
          <w:sz w:val="21"/>
        </w:rPr>
        <w:t>明显不当。</w:t>
      </w:r>
      <w:r w:rsidRPr="003018B6">
        <w:rPr>
          <w:rFonts w:eastAsia="宋体" w:hAnsi="宋体" w:cs="Times New Roman" w:hint="eastAsia"/>
          <w:color w:val="auto"/>
          <w:sz w:val="21"/>
        </w:rPr>
        <w:t>违反比例原则；差别对待</w:t>
      </w:r>
      <w:r w:rsidRPr="000C093A">
        <w:rPr>
          <w:rFonts w:eastAsia="宋体" w:hAnsi="宋体" w:cs="Times New Roman" w:hint="eastAsia"/>
          <w:color w:val="auto"/>
          <w:sz w:val="21"/>
        </w:rPr>
        <w:t>，没有过罚相当</w:t>
      </w:r>
      <w:r w:rsidRPr="003018B6">
        <w:rPr>
          <w:rFonts w:eastAsia="宋体" w:hAnsi="宋体" w:cs="Times New Roman" w:hint="eastAsia"/>
          <w:color w:val="auto"/>
          <w:sz w:val="21"/>
        </w:rPr>
        <w:t>。</w:t>
      </w:r>
    </w:p>
    <w:p w14:paraId="69A778E8" w14:textId="14EF0CBD" w:rsidR="005B4F9C" w:rsidRPr="000C093A" w:rsidRDefault="005B4F9C" w:rsidP="000C093A">
      <w:pPr>
        <w:pStyle w:val="af2"/>
        <w:spacing w:line="276" w:lineRule="auto"/>
        <w:ind w:firstLine="420"/>
        <w:rPr>
          <w:rFonts w:eastAsia="宋体" w:hAnsi="宋体" w:cs="Times New Roman" w:hint="eastAsia"/>
          <w:color w:val="EE0000"/>
          <w:sz w:val="21"/>
        </w:rPr>
      </w:pPr>
      <w:r w:rsidRPr="000C093A">
        <w:rPr>
          <w:rFonts w:eastAsia="宋体" w:hAnsi="宋体" w:cs="Times New Roman" w:hint="eastAsia"/>
          <w:color w:val="EE0000"/>
          <w:sz w:val="21"/>
        </w:rPr>
        <w:t>法院在判决撤销被诉行政行为的同时，可以同时判令被告</w:t>
      </w:r>
      <w:proofErr w:type="gramStart"/>
      <w:r w:rsidRPr="000C093A">
        <w:rPr>
          <w:rFonts w:eastAsia="宋体" w:hAnsi="宋体" w:cs="Times New Roman" w:hint="eastAsia"/>
          <w:color w:val="EE0000"/>
          <w:sz w:val="21"/>
        </w:rPr>
        <w:t>作出</w:t>
      </w:r>
      <w:proofErr w:type="gramEnd"/>
      <w:r w:rsidRPr="000C093A">
        <w:rPr>
          <w:rFonts w:eastAsia="宋体" w:hAnsi="宋体" w:cs="Times New Roman" w:hint="eastAsia"/>
          <w:color w:val="EE0000"/>
          <w:sz w:val="21"/>
        </w:rPr>
        <w:t>新的行为，但是不能直接替代被告</w:t>
      </w:r>
      <w:proofErr w:type="gramStart"/>
      <w:r w:rsidRPr="000C093A">
        <w:rPr>
          <w:rFonts w:eastAsia="宋体" w:hAnsi="宋体" w:cs="Times New Roman" w:hint="eastAsia"/>
          <w:color w:val="EE0000"/>
          <w:sz w:val="21"/>
        </w:rPr>
        <w:t>作出</w:t>
      </w:r>
      <w:proofErr w:type="gramEnd"/>
      <w:r w:rsidRPr="000C093A">
        <w:rPr>
          <w:rFonts w:eastAsia="宋体" w:hAnsi="宋体" w:cs="Times New Roman" w:hint="eastAsia"/>
          <w:color w:val="EE0000"/>
          <w:sz w:val="21"/>
        </w:rPr>
        <w:t>新的行政行为。</w:t>
      </w:r>
    </w:p>
    <w:p w14:paraId="58D65D28" w14:textId="31C87A57"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（三）履行判决</w:t>
      </w:r>
    </w:p>
    <w:p w14:paraId="32C0B18E" w14:textId="664D0627" w:rsidR="005B4F9C" w:rsidRPr="000C093A" w:rsidRDefault="003018B6" w:rsidP="000C093A">
      <w:pPr>
        <w:pStyle w:val="af2"/>
        <w:spacing w:line="276" w:lineRule="auto"/>
        <w:ind w:firstLine="420"/>
        <w:rPr>
          <w:rFonts w:eastAsia="宋体" w:hAnsi="宋体" w:cs="Times New Roman" w:hint="eastAsia"/>
          <w:color w:val="auto"/>
          <w:sz w:val="21"/>
          <w:u w:val="single"/>
        </w:rPr>
      </w:pPr>
      <w:r w:rsidRPr="003018B6">
        <w:rPr>
          <w:rFonts w:eastAsia="宋体" w:hAnsi="宋体" w:cs="Times New Roman"/>
          <w:color w:val="auto"/>
          <w:sz w:val="21"/>
        </w:rPr>
        <w:t>原告请求被告履行法定职责的理由成立，被告违法拒绝履行或者无正当理由逾期不予答复的，人民法院可以</w:t>
      </w:r>
      <w:r w:rsidRPr="003018B6">
        <w:rPr>
          <w:rFonts w:eastAsia="宋体" w:hAnsi="宋体" w:cs="Times New Roman" w:hint="eastAsia"/>
          <w:color w:val="auto"/>
          <w:sz w:val="21"/>
        </w:rPr>
        <w:t>依法</w:t>
      </w:r>
      <w:r w:rsidRPr="003018B6">
        <w:rPr>
          <w:rFonts w:eastAsia="宋体" w:hAnsi="宋体" w:cs="Times New Roman"/>
          <w:color w:val="EE0000"/>
          <w:sz w:val="21"/>
        </w:rPr>
        <w:t>判决被告在一定期限内依法履行原告请求的法定职责；尚需被告调查或者裁量的，应当判决被告针对原告的请求重新</w:t>
      </w:r>
      <w:proofErr w:type="gramStart"/>
      <w:r w:rsidRPr="003018B6">
        <w:rPr>
          <w:rFonts w:eastAsia="宋体" w:hAnsi="宋体" w:cs="Times New Roman"/>
          <w:color w:val="EE0000"/>
          <w:sz w:val="21"/>
        </w:rPr>
        <w:t>作出</w:t>
      </w:r>
      <w:proofErr w:type="gramEnd"/>
      <w:r w:rsidRPr="003018B6">
        <w:rPr>
          <w:rFonts w:eastAsia="宋体" w:hAnsi="宋体" w:cs="Times New Roman"/>
          <w:color w:val="EE0000"/>
          <w:sz w:val="21"/>
        </w:rPr>
        <w:t>处理。</w:t>
      </w:r>
    </w:p>
    <w:p w14:paraId="60CF6FDD"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（四）给付判决</w:t>
      </w:r>
    </w:p>
    <w:p w14:paraId="3F071BD7" w14:textId="77777777" w:rsidR="003F00E5" w:rsidRPr="003F00E5" w:rsidRDefault="003F00E5" w:rsidP="000C093A">
      <w:pPr>
        <w:pStyle w:val="af2"/>
        <w:spacing w:line="276" w:lineRule="auto"/>
        <w:ind w:firstLine="420"/>
        <w:rPr>
          <w:rFonts w:eastAsia="宋体" w:hAnsi="宋体" w:cs="Times New Roman" w:hint="eastAsia"/>
          <w:color w:val="auto"/>
          <w:sz w:val="21"/>
        </w:rPr>
      </w:pPr>
      <w:r w:rsidRPr="003F00E5">
        <w:rPr>
          <w:rFonts w:eastAsia="宋体" w:hAnsi="宋体" w:cs="Times New Roman" w:hint="eastAsia"/>
          <w:color w:val="auto"/>
          <w:sz w:val="21"/>
        </w:rPr>
        <w:t>1</w:t>
      </w:r>
      <w:r w:rsidRPr="003F00E5">
        <w:rPr>
          <w:rFonts w:eastAsia="宋体" w:hAnsi="宋体" w:cs="Times New Roman"/>
          <w:color w:val="auto"/>
          <w:sz w:val="21"/>
        </w:rPr>
        <w:t>.</w:t>
      </w:r>
      <w:r w:rsidRPr="003F00E5">
        <w:rPr>
          <w:rFonts w:eastAsia="宋体" w:hAnsi="宋体" w:cs="Times New Roman" w:hint="eastAsia"/>
          <w:color w:val="auto"/>
          <w:sz w:val="21"/>
        </w:rPr>
        <w:t>给付</w:t>
      </w:r>
      <w:r w:rsidRPr="003F00E5">
        <w:rPr>
          <w:rFonts w:eastAsia="宋体" w:hAnsi="宋体" w:cs="Times New Roman"/>
          <w:color w:val="auto"/>
          <w:sz w:val="21"/>
        </w:rPr>
        <w:t>判决是指人民法院依法判令被告履行公法上的给付义务的判决。</w:t>
      </w:r>
      <w:r w:rsidRPr="003F00E5">
        <w:rPr>
          <w:rFonts w:eastAsia="宋体" w:hAnsi="宋体" w:cs="Times New Roman" w:hint="eastAsia"/>
          <w:color w:val="auto"/>
          <w:sz w:val="21"/>
        </w:rPr>
        <w:t>此处</w:t>
      </w:r>
      <w:r w:rsidRPr="003F00E5">
        <w:rPr>
          <w:rFonts w:eastAsia="宋体" w:hAnsi="宋体" w:cs="Times New Roman"/>
          <w:color w:val="auto"/>
          <w:sz w:val="21"/>
        </w:rPr>
        <w:t>的给付</w:t>
      </w:r>
      <w:r w:rsidRPr="003F00E5">
        <w:rPr>
          <w:rFonts w:eastAsia="宋体" w:hAnsi="宋体" w:cs="Times New Roman" w:hint="eastAsia"/>
          <w:color w:val="auto"/>
          <w:sz w:val="21"/>
        </w:rPr>
        <w:t>义务</w:t>
      </w:r>
      <w:r w:rsidRPr="003F00E5">
        <w:rPr>
          <w:rFonts w:eastAsia="宋体" w:hAnsi="宋体" w:cs="Times New Roman" w:hint="eastAsia"/>
          <w:color w:val="EE0000"/>
          <w:sz w:val="21"/>
        </w:rPr>
        <w:t>不限于</w:t>
      </w:r>
      <w:r w:rsidRPr="003F00E5">
        <w:rPr>
          <w:rFonts w:eastAsia="宋体" w:hAnsi="宋体" w:cs="Times New Roman"/>
          <w:color w:val="EE0000"/>
          <w:sz w:val="21"/>
        </w:rPr>
        <w:t>金钱给付义务</w:t>
      </w:r>
      <w:r w:rsidRPr="003F00E5">
        <w:rPr>
          <w:rFonts w:eastAsia="宋体" w:hAnsi="宋体" w:cs="Times New Roman" w:hint="eastAsia"/>
          <w:color w:val="auto"/>
          <w:sz w:val="21"/>
        </w:rPr>
        <w:t>，</w:t>
      </w:r>
      <w:r w:rsidRPr="003F00E5">
        <w:rPr>
          <w:rFonts w:eastAsia="宋体" w:hAnsi="宋体" w:cs="Times New Roman"/>
          <w:color w:val="auto"/>
          <w:sz w:val="21"/>
        </w:rPr>
        <w:t>还可以包括</w:t>
      </w:r>
      <w:proofErr w:type="gramStart"/>
      <w:r w:rsidRPr="003F00E5">
        <w:rPr>
          <w:rFonts w:eastAsia="宋体" w:hAnsi="宋体" w:cs="Times New Roman" w:hint="eastAsia"/>
          <w:color w:val="auto"/>
          <w:sz w:val="21"/>
        </w:rPr>
        <w:t>作出</w:t>
      </w:r>
      <w:proofErr w:type="gramEnd"/>
      <w:r w:rsidRPr="003F00E5">
        <w:rPr>
          <w:rFonts w:eastAsia="宋体" w:hAnsi="宋体" w:cs="Times New Roman"/>
          <w:color w:val="auto"/>
          <w:sz w:val="21"/>
        </w:rPr>
        <w:t>其他不属于行政处理决定的行为义务。</w:t>
      </w:r>
    </w:p>
    <w:p w14:paraId="0EC3CEE4" w14:textId="77777777" w:rsidR="003F00E5" w:rsidRPr="003F00E5" w:rsidRDefault="003F00E5" w:rsidP="000C093A">
      <w:pPr>
        <w:pStyle w:val="af2"/>
        <w:spacing w:line="276" w:lineRule="auto"/>
        <w:ind w:firstLine="420"/>
        <w:rPr>
          <w:rFonts w:eastAsia="宋体" w:hAnsi="宋体" w:cs="Times New Roman" w:hint="eastAsia"/>
          <w:color w:val="auto"/>
          <w:sz w:val="21"/>
        </w:rPr>
      </w:pPr>
      <w:r w:rsidRPr="003F00E5">
        <w:rPr>
          <w:rFonts w:eastAsia="宋体" w:hAnsi="宋体" w:cs="Times New Roman" w:hint="eastAsia"/>
          <w:color w:val="auto"/>
          <w:sz w:val="21"/>
        </w:rPr>
        <w:t>2</w:t>
      </w:r>
      <w:r w:rsidRPr="003F00E5">
        <w:rPr>
          <w:rFonts w:eastAsia="宋体" w:hAnsi="宋体" w:cs="Times New Roman"/>
          <w:color w:val="auto"/>
          <w:sz w:val="21"/>
        </w:rPr>
        <w:t>.原告请求被告履行法定职责或者履行给付义务，原告未</w:t>
      </w:r>
      <w:r w:rsidRPr="003F00E5">
        <w:rPr>
          <w:rFonts w:eastAsia="宋体" w:hAnsi="宋体" w:cs="Times New Roman"/>
          <w:color w:val="EE0000"/>
          <w:sz w:val="21"/>
        </w:rPr>
        <w:t>先向行政机关提出申请</w:t>
      </w:r>
      <w:r w:rsidRPr="003F00E5">
        <w:rPr>
          <w:rFonts w:eastAsia="宋体" w:hAnsi="宋体" w:cs="Times New Roman"/>
          <w:color w:val="auto"/>
          <w:sz w:val="21"/>
        </w:rPr>
        <w:t>的，人民法院裁定驳回起诉。</w:t>
      </w:r>
      <w:r w:rsidRPr="003F00E5">
        <w:rPr>
          <w:rFonts w:eastAsia="宋体" w:hAnsi="宋体" w:cs="Times New Roman" w:hint="eastAsia"/>
          <w:color w:val="EE0000"/>
          <w:sz w:val="21"/>
        </w:rPr>
        <w:t>（申请前置）</w:t>
      </w:r>
      <w:r w:rsidRPr="003F00E5">
        <w:rPr>
          <w:rFonts w:eastAsia="宋体" w:hAnsi="宋体" w:cs="Times New Roman" w:hint="eastAsia"/>
          <w:color w:val="auto"/>
          <w:sz w:val="21"/>
        </w:rPr>
        <w:t>人民法院经审理认为原告所请求履行的法定职责或者给付义务明显不属于行政机关权限范围的，可以</w:t>
      </w:r>
      <w:r w:rsidRPr="003F00E5">
        <w:rPr>
          <w:rFonts w:eastAsia="宋体" w:hAnsi="宋体" w:cs="Times New Roman" w:hint="eastAsia"/>
          <w:color w:val="EE0000"/>
          <w:sz w:val="21"/>
        </w:rPr>
        <w:t>裁定驳回起诉</w:t>
      </w:r>
      <w:r w:rsidRPr="003F00E5">
        <w:rPr>
          <w:rFonts w:eastAsia="宋体" w:hAnsi="宋体" w:cs="Times New Roman" w:hint="eastAsia"/>
          <w:color w:val="auto"/>
          <w:sz w:val="21"/>
        </w:rPr>
        <w:t>。</w:t>
      </w:r>
    </w:p>
    <w:p w14:paraId="7F4C589E" w14:textId="77777777" w:rsidR="005B4F9C" w:rsidRPr="000C093A" w:rsidRDefault="005B4F9C" w:rsidP="000C093A">
      <w:pPr>
        <w:pStyle w:val="af2"/>
        <w:spacing w:line="276" w:lineRule="auto"/>
        <w:ind w:firstLine="420"/>
        <w:rPr>
          <w:rFonts w:eastAsia="宋体" w:hAnsi="宋体" w:cs="楷体" w:hint="eastAsia"/>
          <w:sz w:val="21"/>
        </w:rPr>
      </w:pPr>
      <w:r w:rsidRPr="000C093A">
        <w:rPr>
          <w:rFonts w:eastAsia="宋体" w:hAnsi="宋体" w:cs="Times New Roman" w:hint="eastAsia"/>
          <w:noProof/>
          <w:color w:val="FF0000"/>
          <w:sz w:val="21"/>
          <w:lang w:val="zh-CN"/>
        </w:rPr>
        <w:drawing>
          <wp:anchor distT="0" distB="0" distL="114300" distR="114300" simplePos="0" relativeHeight="251671552" behindDoc="0" locked="0" layoutInCell="1" allowOverlap="1" wp14:anchorId="380F276E" wp14:editId="38688BE4">
            <wp:simplePos x="0" y="0"/>
            <wp:positionH relativeFrom="column">
              <wp:posOffset>49530</wp:posOffset>
            </wp:positionH>
            <wp:positionV relativeFrom="paragraph">
              <wp:posOffset>56144</wp:posOffset>
            </wp:positionV>
            <wp:extent cx="180000" cy="180000"/>
            <wp:effectExtent l="0" t="0" r="0" b="0"/>
            <wp:wrapNone/>
            <wp:docPr id="516144813" name="图形 516144813" descr="原子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15929" name="图形 1833915929" descr="原子 纯色填充"/>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r w:rsidRPr="000C093A">
        <w:rPr>
          <w:rFonts w:eastAsia="宋体" w:hAnsi="宋体" w:cs="仿宋" w:hint="eastAsia"/>
          <w:color w:val="FF0000"/>
          <w:sz w:val="21"/>
        </w:rPr>
        <w:t>总结归纳：</w:t>
      </w:r>
      <w:r w:rsidRPr="000C093A">
        <w:rPr>
          <w:rFonts w:eastAsia="宋体" w:hAnsi="宋体" w:cs="楷体" w:hint="eastAsia"/>
          <w:sz w:val="21"/>
        </w:rPr>
        <w:t>履行判决针对行为给付义务；给付判决针对金钱给付义务。</w:t>
      </w:r>
    </w:p>
    <w:p w14:paraId="1CB711F0" w14:textId="0117C8A2"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（五）变更判决</w:t>
      </w:r>
    </w:p>
    <w:p w14:paraId="5D8B3A69"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1.行政处罚</w:t>
      </w:r>
      <w:r w:rsidRPr="003F00E5">
        <w:rPr>
          <w:rFonts w:eastAsia="宋体"/>
          <w:color w:val="auto"/>
        </w:rPr>
        <w:t>明显不当。</w:t>
      </w:r>
    </w:p>
    <w:p w14:paraId="414CB8D8"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2.</w:t>
      </w:r>
      <w:r w:rsidRPr="003F00E5">
        <w:rPr>
          <w:rFonts w:eastAsia="宋体"/>
          <w:color w:val="auto"/>
        </w:rPr>
        <w:t>其他行政行为涉及对</w:t>
      </w:r>
      <w:r w:rsidRPr="003F00E5">
        <w:rPr>
          <w:rFonts w:eastAsia="宋体"/>
          <w:color w:val="FF0000"/>
        </w:rPr>
        <w:t>款额</w:t>
      </w:r>
      <w:r w:rsidRPr="003F00E5">
        <w:rPr>
          <w:rFonts w:eastAsia="宋体"/>
          <w:color w:val="auto"/>
        </w:rPr>
        <w:t>的确定、认定确有错误的。</w:t>
      </w:r>
    </w:p>
    <w:p w14:paraId="375C031F"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color w:val="auto"/>
        </w:rPr>
        <w:lastRenderedPageBreak/>
        <w:t>人民法院判决变更，</w:t>
      </w:r>
      <w:r w:rsidRPr="003F00E5">
        <w:rPr>
          <w:rFonts w:eastAsia="宋体"/>
          <w:color w:val="FF0000"/>
        </w:rPr>
        <w:t>不得加重原告的义务或者减损原告的权益</w:t>
      </w:r>
      <w:r w:rsidRPr="003F00E5">
        <w:rPr>
          <w:rFonts w:eastAsia="宋体"/>
          <w:color w:val="auto"/>
        </w:rPr>
        <w:t>。但</w:t>
      </w:r>
      <w:r w:rsidRPr="003F00E5">
        <w:rPr>
          <w:rFonts w:eastAsia="宋体"/>
          <w:color w:val="FF0000"/>
        </w:rPr>
        <w:t>利害关系人同为原告，且诉讼请求相反</w:t>
      </w:r>
      <w:r w:rsidRPr="003F00E5">
        <w:rPr>
          <w:rFonts w:eastAsia="宋体"/>
          <w:color w:val="auto"/>
        </w:rPr>
        <w:t>的除外。</w:t>
      </w:r>
    </w:p>
    <w:p w14:paraId="286F40A9" w14:textId="06CDF45F"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（六）确认违法判决</w:t>
      </w:r>
    </w:p>
    <w:p w14:paraId="0E7C8F15"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1.基于</w:t>
      </w:r>
      <w:r w:rsidRPr="003F00E5">
        <w:rPr>
          <w:rFonts w:eastAsia="宋体"/>
          <w:color w:val="auto"/>
        </w:rPr>
        <w:t>利益</w:t>
      </w:r>
      <w:r w:rsidRPr="003F00E5">
        <w:rPr>
          <w:rFonts w:eastAsia="宋体" w:hint="eastAsia"/>
          <w:color w:val="auto"/>
        </w:rPr>
        <w:t>衡量，以</w:t>
      </w:r>
      <w:r w:rsidRPr="003F00E5">
        <w:rPr>
          <w:rFonts w:eastAsia="宋体"/>
          <w:color w:val="auto"/>
        </w:rPr>
        <w:t>确认违法判决</w:t>
      </w:r>
      <w:r w:rsidRPr="003F00E5">
        <w:rPr>
          <w:rFonts w:eastAsia="宋体" w:hint="eastAsia"/>
          <w:color w:val="auto"/>
        </w:rPr>
        <w:t>替代</w:t>
      </w:r>
      <w:r w:rsidRPr="003F00E5">
        <w:rPr>
          <w:rFonts w:eastAsia="宋体"/>
          <w:color w:val="auto"/>
        </w:rPr>
        <w:t>撤销判决</w:t>
      </w:r>
    </w:p>
    <w:p w14:paraId="5B89C283"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（1）</w:t>
      </w:r>
      <w:r w:rsidRPr="003F00E5">
        <w:rPr>
          <w:rFonts w:eastAsia="宋体"/>
          <w:color w:val="auto"/>
        </w:rPr>
        <w:t>行政行为依法应当撤销，但撤销会给国家利益、社会公共利益造成重大损害的</w:t>
      </w:r>
      <w:r w:rsidRPr="003F00E5">
        <w:rPr>
          <w:rFonts w:eastAsia="宋体" w:hint="eastAsia"/>
          <w:color w:val="auto"/>
        </w:rPr>
        <w:t>。</w:t>
      </w:r>
    </w:p>
    <w:p w14:paraId="4EF80A09"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（2）</w:t>
      </w:r>
      <w:r w:rsidRPr="003F00E5">
        <w:rPr>
          <w:rFonts w:eastAsia="宋体"/>
          <w:color w:val="auto"/>
        </w:rPr>
        <w:t>行政行为</w:t>
      </w:r>
      <w:r w:rsidRPr="003F00E5">
        <w:rPr>
          <w:rFonts w:eastAsia="宋体"/>
          <w:color w:val="FF0000"/>
        </w:rPr>
        <w:t>程序轻微违法</w:t>
      </w:r>
      <w:r w:rsidRPr="003F00E5">
        <w:rPr>
          <w:rFonts w:eastAsia="宋体"/>
          <w:color w:val="auto"/>
        </w:rPr>
        <w:t>，但对原告权利不产生实际影响的。</w:t>
      </w:r>
      <w:r w:rsidRPr="003F00E5">
        <w:rPr>
          <w:rFonts w:eastAsia="宋体" w:hint="eastAsia"/>
          <w:color w:val="auto"/>
        </w:rPr>
        <w:t>（处理期限轻微违法；通知、送达等程序轻微违法；）</w:t>
      </w:r>
    </w:p>
    <w:p w14:paraId="1CA5CB12"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2.</w:t>
      </w:r>
      <w:proofErr w:type="gramStart"/>
      <w:r w:rsidRPr="003F00E5">
        <w:rPr>
          <w:rFonts w:eastAsia="宋体" w:hint="eastAsia"/>
          <w:color w:val="auto"/>
        </w:rPr>
        <w:t>基于</w:t>
      </w:r>
      <w:r w:rsidRPr="003F00E5">
        <w:rPr>
          <w:rFonts w:eastAsia="宋体"/>
          <w:color w:val="auto"/>
        </w:rPr>
        <w:t>被</w:t>
      </w:r>
      <w:proofErr w:type="gramEnd"/>
      <w:r w:rsidRPr="003F00E5">
        <w:rPr>
          <w:rFonts w:eastAsia="宋体"/>
          <w:color w:val="auto"/>
        </w:rPr>
        <w:t>诉行政行为的特殊性，</w:t>
      </w:r>
      <w:r w:rsidRPr="003F00E5">
        <w:rPr>
          <w:rFonts w:eastAsia="宋体" w:hint="eastAsia"/>
          <w:color w:val="auto"/>
        </w:rPr>
        <w:t>只能</w:t>
      </w:r>
      <w:r w:rsidRPr="003F00E5">
        <w:rPr>
          <w:rFonts w:eastAsia="宋体"/>
          <w:color w:val="auto"/>
        </w:rPr>
        <w:t>适用确认违法判决</w:t>
      </w:r>
    </w:p>
    <w:p w14:paraId="1F6C362D"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（1）</w:t>
      </w:r>
      <w:r w:rsidRPr="003F00E5">
        <w:rPr>
          <w:rFonts w:eastAsia="宋体"/>
          <w:color w:val="auto"/>
        </w:rPr>
        <w:t>行政行为违法，但</w:t>
      </w:r>
      <w:r w:rsidRPr="003F00E5">
        <w:rPr>
          <w:rFonts w:eastAsia="宋体"/>
          <w:color w:val="FF0000"/>
        </w:rPr>
        <w:t>不具有可撤销内容的</w:t>
      </w:r>
      <w:r w:rsidRPr="003F00E5">
        <w:rPr>
          <w:rFonts w:eastAsia="宋体" w:hint="eastAsia"/>
          <w:color w:val="FF0000"/>
        </w:rPr>
        <w:t>。</w:t>
      </w:r>
    </w:p>
    <w:p w14:paraId="15671E83"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（2）</w:t>
      </w:r>
      <w:r w:rsidRPr="003F00E5">
        <w:rPr>
          <w:rFonts w:eastAsia="宋体"/>
          <w:color w:val="auto"/>
        </w:rPr>
        <w:t>被告</w:t>
      </w:r>
      <w:r w:rsidRPr="003F00E5">
        <w:rPr>
          <w:rFonts w:eastAsia="宋体"/>
          <w:color w:val="FF0000"/>
        </w:rPr>
        <w:t>改变</w:t>
      </w:r>
      <w:proofErr w:type="gramStart"/>
      <w:r w:rsidRPr="003F00E5">
        <w:rPr>
          <w:rFonts w:eastAsia="宋体"/>
          <w:color w:val="auto"/>
        </w:rPr>
        <w:t>原违法</w:t>
      </w:r>
      <w:proofErr w:type="gramEnd"/>
      <w:r w:rsidRPr="003F00E5">
        <w:rPr>
          <w:rFonts w:eastAsia="宋体"/>
          <w:color w:val="auto"/>
        </w:rPr>
        <w:t>行政行为，原告仍要求确认原行政行为违法的</w:t>
      </w:r>
      <w:r w:rsidRPr="003F00E5">
        <w:rPr>
          <w:rFonts w:eastAsia="宋体" w:hint="eastAsia"/>
          <w:color w:val="auto"/>
        </w:rPr>
        <w:t>。</w:t>
      </w:r>
    </w:p>
    <w:p w14:paraId="300A49FA"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（3）</w:t>
      </w:r>
      <w:r w:rsidRPr="003F00E5">
        <w:rPr>
          <w:rFonts w:eastAsia="宋体"/>
          <w:color w:val="auto"/>
        </w:rPr>
        <w:t>被告不履行或者拖延履行法定职责，判决</w:t>
      </w:r>
      <w:r w:rsidRPr="003F00E5">
        <w:rPr>
          <w:rFonts w:eastAsia="宋体"/>
          <w:color w:val="FF0000"/>
        </w:rPr>
        <w:t>履行没有意义的</w:t>
      </w:r>
      <w:r w:rsidRPr="003F00E5">
        <w:rPr>
          <w:rFonts w:eastAsia="宋体" w:hint="eastAsia"/>
          <w:color w:val="auto"/>
        </w:rPr>
        <w:t>。</w:t>
      </w:r>
    </w:p>
    <w:p w14:paraId="6D870962" w14:textId="34790A8B"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（七）确认无效判决</w:t>
      </w:r>
    </w:p>
    <w:p w14:paraId="4EE93A63"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color w:val="auto"/>
        </w:rPr>
        <w:t>行政行为有实施主体不具有行政主体资格或者没有依据等重大且明显违法情形</w:t>
      </w:r>
    </w:p>
    <w:p w14:paraId="6471C972" w14:textId="77777777" w:rsidR="003F00E5" w:rsidRPr="003F00E5" w:rsidRDefault="003F00E5" w:rsidP="000C093A">
      <w:pPr>
        <w:tabs>
          <w:tab w:val="clear" w:pos="420"/>
        </w:tabs>
        <w:spacing w:line="276" w:lineRule="auto"/>
        <w:ind w:firstLineChars="202" w:firstLine="424"/>
        <w:rPr>
          <w:rFonts w:eastAsia="宋体" w:hint="eastAsia"/>
          <w:color w:val="auto"/>
        </w:rPr>
      </w:pPr>
      <w:r w:rsidRPr="003F00E5">
        <w:rPr>
          <w:rFonts w:eastAsia="宋体" w:hint="eastAsia"/>
          <w:color w:val="auto"/>
        </w:rPr>
        <w:t>重大且明显违法：（1）行政行为实施主体</w:t>
      </w:r>
      <w:r w:rsidRPr="003F00E5">
        <w:rPr>
          <w:rFonts w:eastAsia="宋体" w:hint="eastAsia"/>
          <w:color w:val="FF0000"/>
        </w:rPr>
        <w:t>不具有行政主体资格</w:t>
      </w:r>
      <w:r w:rsidRPr="003F00E5">
        <w:rPr>
          <w:rFonts w:eastAsia="宋体" w:hint="eastAsia"/>
          <w:color w:val="auto"/>
        </w:rPr>
        <w:t>（2）减损权利或者增加义务的行政行为</w:t>
      </w:r>
      <w:r w:rsidRPr="003F00E5">
        <w:rPr>
          <w:rFonts w:eastAsia="宋体" w:hint="eastAsia"/>
          <w:color w:val="FF0000"/>
        </w:rPr>
        <w:t>没有法律规范依据</w:t>
      </w:r>
      <w:r w:rsidRPr="003F00E5">
        <w:rPr>
          <w:rFonts w:eastAsia="宋体" w:hint="eastAsia"/>
          <w:color w:val="auto"/>
        </w:rPr>
        <w:t>（3）行政行为的内容客观上</w:t>
      </w:r>
      <w:r w:rsidRPr="003F00E5">
        <w:rPr>
          <w:rFonts w:eastAsia="宋体" w:hint="eastAsia"/>
          <w:color w:val="FF0000"/>
        </w:rPr>
        <w:t>不可能实施</w:t>
      </w:r>
      <w:r w:rsidRPr="003F00E5">
        <w:rPr>
          <w:rFonts w:eastAsia="宋体" w:hint="eastAsia"/>
          <w:color w:val="auto"/>
        </w:rPr>
        <w:t>；</w:t>
      </w:r>
      <w:r w:rsidRPr="003F00E5">
        <w:rPr>
          <w:rFonts w:eastAsia="宋体"/>
          <w:color w:val="auto"/>
        </w:rPr>
        <w:t xml:space="preserve"> </w:t>
      </w:r>
    </w:p>
    <w:p w14:paraId="2E76584D" w14:textId="595642D2" w:rsidR="005B4F9C" w:rsidRPr="000C093A" w:rsidRDefault="005B4F9C" w:rsidP="000C093A">
      <w:pPr>
        <w:pStyle w:val="af2"/>
        <w:spacing w:line="276" w:lineRule="auto"/>
        <w:ind w:firstLine="420"/>
        <w:rPr>
          <w:rFonts w:eastAsia="宋体" w:hAnsi="宋体" w:cs="华康娃娃体W5" w:hint="eastAsia"/>
          <w:sz w:val="21"/>
        </w:rPr>
      </w:pPr>
      <w:r w:rsidRPr="000C093A">
        <w:rPr>
          <w:rFonts w:eastAsia="宋体" w:hAnsi="宋体" w:cs="仿宋" w:hint="eastAsia"/>
          <w:color w:val="FF0000"/>
          <w:sz w:val="21"/>
        </w:rPr>
        <w:t>注意：</w:t>
      </w:r>
      <w:r w:rsidRPr="000C093A">
        <w:rPr>
          <w:rFonts w:eastAsia="宋体" w:hAnsi="宋体" w:cs="华康娃娃体W5" w:hint="eastAsia"/>
          <w:sz w:val="21"/>
        </w:rPr>
        <w:t>在行政诉讼的一审中，经审理认为被诉行政行为违法或者无效，可能给原告造成损失，经释明，原告请求一并解决行政赔偿争议的，法院可以就赔偿事项进行调解；调解不成的，应当一并判决。法院也可以告知其就赔偿事项另行提起行政赔偿诉讼。</w:t>
      </w:r>
    </w:p>
    <w:bookmarkEnd w:id="15"/>
    <w:p w14:paraId="0D266016" w14:textId="77777777" w:rsidR="005B4F9C" w:rsidRPr="000C093A" w:rsidRDefault="005B4F9C" w:rsidP="000C093A">
      <w:pPr>
        <w:pStyle w:val="af2"/>
        <w:spacing w:line="276" w:lineRule="auto"/>
        <w:ind w:firstLineChars="0" w:firstLine="0"/>
        <w:rPr>
          <w:rFonts w:eastAsia="宋体" w:hAnsi="宋体" w:hint="eastAsia"/>
          <w:b/>
          <w:bCs/>
          <w:sz w:val="21"/>
        </w:rPr>
      </w:pPr>
      <w:r w:rsidRPr="000C093A">
        <w:rPr>
          <w:rFonts w:eastAsia="宋体" w:hAnsi="宋体" w:hint="eastAsia"/>
          <w:b/>
          <w:bCs/>
          <w:sz w:val="21"/>
        </w:rPr>
        <w:t>二、行政诉讼的二审判决</w:t>
      </w:r>
    </w:p>
    <w:p w14:paraId="1898C6F5" w14:textId="51642093"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二审判决应当对两个问题</w:t>
      </w:r>
      <w:proofErr w:type="gramStart"/>
      <w:r w:rsidRPr="000C093A">
        <w:rPr>
          <w:rFonts w:eastAsia="宋体" w:hAnsi="宋体" w:cs="Times New Roman" w:hint="eastAsia"/>
          <w:color w:val="auto"/>
          <w:sz w:val="21"/>
        </w:rPr>
        <w:t>作出</w:t>
      </w:r>
      <w:proofErr w:type="gramEnd"/>
      <w:r w:rsidRPr="000C093A">
        <w:rPr>
          <w:rFonts w:eastAsia="宋体" w:hAnsi="宋体" w:cs="Times New Roman" w:hint="eastAsia"/>
          <w:color w:val="auto"/>
          <w:sz w:val="21"/>
        </w:rPr>
        <w:t>结论：一是一审裁判；二是被诉的行政行为。</w:t>
      </w:r>
    </w:p>
    <w:p w14:paraId="38156239" w14:textId="77777777" w:rsidR="005B4F9C" w:rsidRPr="000C093A" w:rsidRDefault="005B4F9C" w:rsidP="000C093A">
      <w:pPr>
        <w:pStyle w:val="af2"/>
        <w:spacing w:line="276" w:lineRule="auto"/>
        <w:ind w:firstLine="422"/>
        <w:rPr>
          <w:rFonts w:eastAsia="宋体" w:hAnsi="宋体" w:cs="Times New Roman" w:hint="eastAsia"/>
          <w:b/>
          <w:bCs/>
          <w:sz w:val="21"/>
        </w:rPr>
      </w:pPr>
      <w:r w:rsidRPr="000C093A">
        <w:rPr>
          <w:rFonts w:eastAsia="宋体" w:hAnsi="宋体" w:cs="Times New Roman" w:hint="eastAsia"/>
          <w:b/>
          <w:bCs/>
          <w:sz w:val="21"/>
        </w:rPr>
        <w:t>（一）维持原判</w:t>
      </w:r>
    </w:p>
    <w:p w14:paraId="0B709A3D" w14:textId="5985CAB2"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原判决、裁定认定事实清楚，适用法律、法规正确的，判决或者裁定驳回上诉，维持原判决、裁定。</w:t>
      </w:r>
    </w:p>
    <w:p w14:paraId="79D9C85C" w14:textId="221E64E4" w:rsidR="005B4F9C" w:rsidRPr="000C093A" w:rsidRDefault="005B4F9C" w:rsidP="000C093A">
      <w:pPr>
        <w:pStyle w:val="af2"/>
        <w:spacing w:line="276" w:lineRule="auto"/>
        <w:ind w:firstLine="422"/>
        <w:rPr>
          <w:rFonts w:eastAsia="宋体" w:hAnsi="宋体" w:cs="Times New Roman" w:hint="eastAsia"/>
          <w:b/>
          <w:bCs/>
          <w:color w:val="FF0000"/>
          <w:sz w:val="21"/>
        </w:rPr>
      </w:pPr>
      <w:r w:rsidRPr="000C093A">
        <w:rPr>
          <w:rFonts w:eastAsia="宋体" w:hAnsi="宋体" w:cs="Times New Roman" w:hint="eastAsia"/>
          <w:b/>
          <w:bCs/>
          <w:sz w:val="21"/>
        </w:rPr>
        <w:t>（二）撤销原判，发回重审</w:t>
      </w:r>
    </w:p>
    <w:p w14:paraId="32E86616"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一审法院若存在</w:t>
      </w:r>
      <w:r w:rsidRPr="000C093A">
        <w:rPr>
          <w:rFonts w:eastAsia="宋体" w:hAnsi="宋体" w:cs="Times New Roman" w:hint="eastAsia"/>
          <w:color w:val="FF0000"/>
          <w:sz w:val="21"/>
        </w:rPr>
        <w:t>下列三种情形，二审法院应当裁定撤销原判决，发回原审人民法院重审</w:t>
      </w:r>
      <w:r w:rsidRPr="000C093A">
        <w:rPr>
          <w:rFonts w:eastAsia="宋体" w:hAnsi="宋体" w:cs="Times New Roman" w:hint="eastAsia"/>
          <w:color w:val="auto"/>
          <w:sz w:val="21"/>
        </w:rPr>
        <w:t>，不得直接改判：</w:t>
      </w:r>
    </w:p>
    <w:p w14:paraId="06BA9E65" w14:textId="2AE227D9"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（1）原判决遗漏诉讼请求。（2）遗漏必须参加的诉讼当事人。（3）存在违法缺席判决等严重违反法定程序的。</w:t>
      </w:r>
    </w:p>
    <w:p w14:paraId="405B33C7" w14:textId="1C4400C2" w:rsidR="005B4F9C" w:rsidRPr="000C093A" w:rsidRDefault="002F0BBF"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一审遗漏赔偿诉讼请求，二审</w:t>
      </w:r>
      <w:r w:rsidR="005B4F9C" w:rsidRPr="000C093A">
        <w:rPr>
          <w:rFonts w:eastAsia="宋体" w:hAnsi="宋体" w:cs="Times New Roman" w:hint="eastAsia"/>
          <w:color w:val="auto"/>
          <w:sz w:val="21"/>
        </w:rPr>
        <w:t>处理规则：</w:t>
      </w:r>
    </w:p>
    <w:p w14:paraId="05DE1DC8"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（1）一审判决遗漏行政赔偿请求的，二审法院经审理认为依法不应当予以赔偿的，应当直接判决驳回行政赔偿请求。</w:t>
      </w:r>
    </w:p>
    <w:p w14:paraId="352935E2" w14:textId="77777777" w:rsidR="005B4F9C" w:rsidRPr="000C093A" w:rsidRDefault="005B4F9C" w:rsidP="000C093A">
      <w:pPr>
        <w:pStyle w:val="af2"/>
        <w:spacing w:line="276" w:lineRule="auto"/>
        <w:ind w:firstLine="408"/>
        <w:rPr>
          <w:rFonts w:eastAsia="宋体" w:hAnsi="宋体" w:cs="Times New Roman" w:hint="eastAsia"/>
          <w:color w:val="EE0000"/>
          <w:spacing w:val="-3"/>
          <w:sz w:val="21"/>
        </w:rPr>
      </w:pPr>
      <w:r w:rsidRPr="000C093A">
        <w:rPr>
          <w:rFonts w:eastAsia="宋体" w:hAnsi="宋体" w:cs="Times New Roman" w:hint="eastAsia"/>
          <w:color w:val="auto"/>
          <w:spacing w:val="-3"/>
          <w:sz w:val="21"/>
        </w:rPr>
        <w:t>（2）一审判决遗漏行政赔偿请求，二审法院经审理认为依法应当予以赔偿的，在确认被诉行政行为违法的同时，</w:t>
      </w:r>
      <w:r w:rsidRPr="000C093A">
        <w:rPr>
          <w:rFonts w:eastAsia="宋体" w:hAnsi="宋体" w:cs="Times New Roman" w:hint="eastAsia"/>
          <w:color w:val="EE0000"/>
          <w:spacing w:val="-3"/>
          <w:sz w:val="21"/>
        </w:rPr>
        <w:t>可以就行政赔偿问题进行调解，调解不成的，应当就行政</w:t>
      </w:r>
      <w:proofErr w:type="gramStart"/>
      <w:r w:rsidRPr="000C093A">
        <w:rPr>
          <w:rFonts w:eastAsia="宋体" w:hAnsi="宋体" w:cs="Times New Roman" w:hint="eastAsia"/>
          <w:color w:val="EE0000"/>
          <w:spacing w:val="-3"/>
          <w:sz w:val="21"/>
        </w:rPr>
        <w:t>赔偿部分发回</w:t>
      </w:r>
      <w:proofErr w:type="gramEnd"/>
      <w:r w:rsidRPr="000C093A">
        <w:rPr>
          <w:rFonts w:eastAsia="宋体" w:hAnsi="宋体" w:cs="Times New Roman" w:hint="eastAsia"/>
          <w:color w:val="EE0000"/>
          <w:spacing w:val="-3"/>
          <w:sz w:val="21"/>
        </w:rPr>
        <w:t>重审。</w:t>
      </w:r>
    </w:p>
    <w:p w14:paraId="1C87817A" w14:textId="3C8C112D"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（3）当事人在二审期间提出行政赔偿请求的，二审法院可以进行调解，调解不成的，应当告知当事人另行提起行政赔偿诉讼。</w:t>
      </w:r>
    </w:p>
    <w:p w14:paraId="110C820B" w14:textId="52B7256C" w:rsidR="005B4F9C" w:rsidRPr="000C093A" w:rsidRDefault="002F0BBF" w:rsidP="000C093A">
      <w:pPr>
        <w:pStyle w:val="af2"/>
        <w:spacing w:line="276" w:lineRule="auto"/>
        <w:ind w:firstLineChars="0" w:firstLine="0"/>
        <w:rPr>
          <w:rFonts w:eastAsia="宋体" w:hAnsi="宋体" w:hint="eastAsia"/>
          <w:b/>
          <w:bCs/>
          <w:sz w:val="21"/>
        </w:rPr>
      </w:pPr>
      <w:r w:rsidRPr="000C093A">
        <w:rPr>
          <w:rFonts w:eastAsia="宋体" w:hAnsi="宋体" w:hint="eastAsia"/>
          <w:b/>
          <w:bCs/>
          <w:sz w:val="21"/>
        </w:rPr>
        <w:t>三</w:t>
      </w:r>
      <w:r w:rsidR="005B4F9C" w:rsidRPr="000C093A">
        <w:rPr>
          <w:rFonts w:eastAsia="宋体" w:hAnsi="宋体" w:hint="eastAsia"/>
          <w:b/>
          <w:bCs/>
          <w:sz w:val="21"/>
        </w:rPr>
        <w:t>、</w:t>
      </w:r>
      <w:bookmarkStart w:id="16" w:name="OLE_LINK2"/>
      <w:r w:rsidR="005B4F9C" w:rsidRPr="000C093A">
        <w:rPr>
          <w:rFonts w:eastAsia="宋体" w:hAnsi="宋体" w:hint="eastAsia"/>
          <w:b/>
          <w:bCs/>
          <w:sz w:val="21"/>
        </w:rPr>
        <w:t>行政行为行政诉讼期间的执行</w:t>
      </w:r>
    </w:p>
    <w:bookmarkEnd w:id="16"/>
    <w:p w14:paraId="27E5A708" w14:textId="77777777" w:rsidR="005B4F9C" w:rsidRPr="000C093A" w:rsidRDefault="005B4F9C" w:rsidP="000C093A">
      <w:pPr>
        <w:pStyle w:val="af2"/>
        <w:spacing w:line="276" w:lineRule="auto"/>
        <w:ind w:firstLine="420"/>
        <w:rPr>
          <w:rFonts w:eastAsia="宋体" w:hAnsi="宋体" w:cs="Times New Roman" w:hint="eastAsia"/>
          <w:color w:val="auto"/>
          <w:sz w:val="21"/>
        </w:rPr>
      </w:pPr>
      <w:r w:rsidRPr="000C093A">
        <w:rPr>
          <w:rFonts w:eastAsia="宋体" w:hAnsi="宋体" w:cs="Times New Roman" w:hint="eastAsia"/>
          <w:color w:val="auto"/>
          <w:sz w:val="21"/>
        </w:rPr>
        <w:t>行政行为在行政诉讼期间以不停止执行为原则，以停止执行为例外。</w:t>
      </w:r>
    </w:p>
    <w:p w14:paraId="1BB76D2F" w14:textId="77777777" w:rsidR="0046782A" w:rsidRPr="000C093A" w:rsidRDefault="0046782A" w:rsidP="000C093A">
      <w:pPr>
        <w:pStyle w:val="af2"/>
        <w:spacing w:line="276" w:lineRule="auto"/>
        <w:ind w:firstLine="420"/>
        <w:rPr>
          <w:rFonts w:eastAsia="宋体" w:hAnsi="宋体" w:hint="eastAsia"/>
          <w:sz w:val="21"/>
        </w:rPr>
      </w:pPr>
    </w:p>
    <w:sectPr w:rsidR="0046782A" w:rsidRPr="000C093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5450D" w14:textId="77777777" w:rsidR="00D24557" w:rsidRDefault="00D24557" w:rsidP="00205EDD">
      <w:pPr>
        <w:spacing w:line="240" w:lineRule="auto"/>
        <w:ind w:firstLine="420"/>
        <w:rPr>
          <w:rFonts w:hint="eastAsia"/>
        </w:rPr>
      </w:pPr>
      <w:r>
        <w:separator/>
      </w:r>
    </w:p>
  </w:endnote>
  <w:endnote w:type="continuationSeparator" w:id="0">
    <w:p w14:paraId="41316358" w14:textId="77777777" w:rsidR="00D24557" w:rsidRDefault="00D24557" w:rsidP="00205EDD">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script"/>
    <w:pitch w:val="default"/>
    <w:sig w:usb0="00000000" w:usb1="00000000" w:usb2="00082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华康娃娃体W5">
    <w:altName w:val="微软雅黑"/>
    <w:charset w:val="86"/>
    <w:family w:val="decorative"/>
    <w:pitch w:val="fixed"/>
    <w:sig w:usb0="00000001" w:usb1="080F0000" w:usb2="00000012"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9E0F7" w14:textId="77777777" w:rsidR="00807175" w:rsidRDefault="00807175">
    <w:pPr>
      <w:pStyle w:val="af8"/>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2864545"/>
      <w:docPartObj>
        <w:docPartGallery w:val="Page Numbers (Bottom of Page)"/>
        <w:docPartUnique/>
      </w:docPartObj>
    </w:sdtPr>
    <w:sdtContent>
      <w:p w14:paraId="62AF82EE" w14:textId="2F31AD3F" w:rsidR="00807175" w:rsidRDefault="00807175">
        <w:pPr>
          <w:pStyle w:val="af8"/>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2D09D78" w14:textId="77777777" w:rsidR="00807175" w:rsidRDefault="00807175">
    <w:pPr>
      <w:pStyle w:val="af8"/>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6BE" w14:textId="77777777" w:rsidR="00807175" w:rsidRDefault="00807175">
    <w:pPr>
      <w:pStyle w:val="af8"/>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E955" w14:textId="77777777" w:rsidR="00D24557" w:rsidRDefault="00D24557" w:rsidP="00205EDD">
      <w:pPr>
        <w:spacing w:line="240" w:lineRule="auto"/>
        <w:ind w:firstLine="420"/>
        <w:rPr>
          <w:rFonts w:hint="eastAsia"/>
        </w:rPr>
      </w:pPr>
      <w:r>
        <w:separator/>
      </w:r>
    </w:p>
  </w:footnote>
  <w:footnote w:type="continuationSeparator" w:id="0">
    <w:p w14:paraId="0BF8EB6E" w14:textId="77777777" w:rsidR="00D24557" w:rsidRDefault="00D24557" w:rsidP="00205EDD">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1407" w14:textId="77777777" w:rsidR="00807175" w:rsidRDefault="00807175">
    <w:pPr>
      <w:pStyle w:val="afa"/>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5FE9" w14:textId="77777777" w:rsidR="00807175" w:rsidRDefault="00807175">
    <w:pPr>
      <w:pStyle w:val="afa"/>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8BA87" w14:textId="77777777" w:rsidR="00807175" w:rsidRDefault="00807175">
    <w:pPr>
      <w:pStyle w:val="afa"/>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D8D1A0"/>
    <w:multiLevelType w:val="singleLevel"/>
    <w:tmpl w:val="B9D8D1A0"/>
    <w:lvl w:ilvl="0">
      <w:start w:val="3"/>
      <w:numFmt w:val="chineseCounting"/>
      <w:suff w:val="nothing"/>
      <w:lvlText w:val="（%1）"/>
      <w:lvlJc w:val="left"/>
      <w:rPr>
        <w:rFonts w:hint="eastAsia"/>
      </w:rPr>
    </w:lvl>
  </w:abstractNum>
  <w:abstractNum w:abstractNumId="1" w15:restartNumberingAfterBreak="0">
    <w:nsid w:val="BBBBF0C2"/>
    <w:multiLevelType w:val="singleLevel"/>
    <w:tmpl w:val="BBBBF0C2"/>
    <w:lvl w:ilvl="0">
      <w:start w:val="1"/>
      <w:numFmt w:val="upperLetter"/>
      <w:lvlText w:val="%1."/>
      <w:lvlJc w:val="left"/>
      <w:pPr>
        <w:tabs>
          <w:tab w:val="left" w:pos="312"/>
        </w:tabs>
      </w:pPr>
    </w:lvl>
  </w:abstractNum>
  <w:abstractNum w:abstractNumId="2" w15:restartNumberingAfterBreak="0">
    <w:nsid w:val="DF7EA092"/>
    <w:multiLevelType w:val="singleLevel"/>
    <w:tmpl w:val="DF7EA092"/>
    <w:lvl w:ilvl="0">
      <w:start w:val="2"/>
      <w:numFmt w:val="chineseCounting"/>
      <w:suff w:val="nothing"/>
      <w:lvlText w:val="%1、"/>
      <w:lvlJc w:val="left"/>
      <w:rPr>
        <w:rFonts w:hint="eastAsia"/>
      </w:rPr>
    </w:lvl>
  </w:abstractNum>
  <w:abstractNum w:abstractNumId="3" w15:restartNumberingAfterBreak="0">
    <w:nsid w:val="F55D117F"/>
    <w:multiLevelType w:val="singleLevel"/>
    <w:tmpl w:val="F55D117F"/>
    <w:lvl w:ilvl="0">
      <w:start w:val="3"/>
      <w:numFmt w:val="chineseCounting"/>
      <w:suff w:val="nothing"/>
      <w:lvlText w:val="%1、"/>
      <w:lvlJc w:val="left"/>
      <w:rPr>
        <w:rFonts w:hint="eastAsia"/>
      </w:rPr>
    </w:lvl>
  </w:abstractNum>
  <w:abstractNum w:abstractNumId="4" w15:restartNumberingAfterBreak="0">
    <w:nsid w:val="F7FDB4E0"/>
    <w:multiLevelType w:val="singleLevel"/>
    <w:tmpl w:val="F7FDB4E0"/>
    <w:lvl w:ilvl="0">
      <w:start w:val="1"/>
      <w:numFmt w:val="chineseCounting"/>
      <w:suff w:val="nothing"/>
      <w:lvlText w:val="%1、"/>
      <w:lvlJc w:val="left"/>
      <w:rPr>
        <w:rFonts w:hint="eastAsia"/>
      </w:rPr>
    </w:lvl>
  </w:abstractNum>
  <w:abstractNum w:abstractNumId="5" w15:restartNumberingAfterBreak="0">
    <w:nsid w:val="FF3BCB59"/>
    <w:multiLevelType w:val="singleLevel"/>
    <w:tmpl w:val="FF3BCB59"/>
    <w:lvl w:ilvl="0">
      <w:start w:val="2"/>
      <w:numFmt w:val="decimal"/>
      <w:lvlText w:val="%1."/>
      <w:lvlJc w:val="left"/>
      <w:pPr>
        <w:tabs>
          <w:tab w:val="left" w:pos="312"/>
        </w:tabs>
      </w:pPr>
      <w:rPr>
        <w:rFonts w:hint="default"/>
        <w:b/>
        <w:bCs/>
      </w:rPr>
    </w:lvl>
  </w:abstractNum>
  <w:abstractNum w:abstractNumId="6" w15:restartNumberingAfterBreak="0">
    <w:nsid w:val="06383E77"/>
    <w:multiLevelType w:val="hybridMultilevel"/>
    <w:tmpl w:val="FAE83E90"/>
    <w:lvl w:ilvl="0" w:tplc="77542D3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08717B94"/>
    <w:multiLevelType w:val="hybridMultilevel"/>
    <w:tmpl w:val="5E5C8098"/>
    <w:lvl w:ilvl="0" w:tplc="7B54A746">
      <w:start w:val="1"/>
      <w:numFmt w:val="decimalEnclosedCircle"/>
      <w:lvlText w:val="%1"/>
      <w:lvlJc w:val="left"/>
      <w:pPr>
        <w:ind w:left="360" w:hanging="360"/>
      </w:pPr>
      <w:rPr>
        <w:rFonts w:eastAsia="汉仪书宋一简"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90A579C"/>
    <w:multiLevelType w:val="hybridMultilevel"/>
    <w:tmpl w:val="728CDE8A"/>
    <w:lvl w:ilvl="0" w:tplc="F5B25B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A2A654F"/>
    <w:multiLevelType w:val="hybridMultilevel"/>
    <w:tmpl w:val="E84A268E"/>
    <w:lvl w:ilvl="0" w:tplc="81B8D3CC">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B365EAA"/>
    <w:multiLevelType w:val="singleLevel"/>
    <w:tmpl w:val="1B365EAA"/>
    <w:lvl w:ilvl="0">
      <w:start w:val="3"/>
      <w:numFmt w:val="chineseCounting"/>
      <w:suff w:val="space"/>
      <w:lvlText w:val="第%1节"/>
      <w:lvlJc w:val="left"/>
      <w:rPr>
        <w:rFonts w:hint="eastAsia"/>
      </w:rPr>
    </w:lvl>
  </w:abstractNum>
  <w:abstractNum w:abstractNumId="11" w15:restartNumberingAfterBreak="0">
    <w:nsid w:val="1C940A12"/>
    <w:multiLevelType w:val="hybridMultilevel"/>
    <w:tmpl w:val="4E48AE02"/>
    <w:lvl w:ilvl="0" w:tplc="0686C6D4">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A855B72"/>
    <w:multiLevelType w:val="hybridMultilevel"/>
    <w:tmpl w:val="954E4D7C"/>
    <w:lvl w:ilvl="0" w:tplc="0C3A7764">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4696983"/>
    <w:multiLevelType w:val="hybridMultilevel"/>
    <w:tmpl w:val="F3B27942"/>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56E00BC"/>
    <w:multiLevelType w:val="hybridMultilevel"/>
    <w:tmpl w:val="E75A2ADA"/>
    <w:lvl w:ilvl="0" w:tplc="C75457CE">
      <w:start w:val="2"/>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64B1408"/>
    <w:multiLevelType w:val="hybridMultilevel"/>
    <w:tmpl w:val="1DC8F310"/>
    <w:lvl w:ilvl="0" w:tplc="BEE4A8F0">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7D603A9"/>
    <w:multiLevelType w:val="hybridMultilevel"/>
    <w:tmpl w:val="2990E7F6"/>
    <w:lvl w:ilvl="0" w:tplc="7D24396A">
      <w:start w:val="1"/>
      <w:numFmt w:val="decimalEnclosedCircle"/>
      <w:lvlText w:val="%1"/>
      <w:lvlJc w:val="left"/>
      <w:pPr>
        <w:ind w:left="360" w:hanging="360"/>
      </w:pPr>
      <w:rPr>
        <w:rFonts w:eastAsia="汉仪中黑简" w:hint="default"/>
        <w:color w:val="FF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BD00E2C"/>
    <w:multiLevelType w:val="hybridMultilevel"/>
    <w:tmpl w:val="959AA2F6"/>
    <w:lvl w:ilvl="0" w:tplc="363633DA">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EF06622"/>
    <w:multiLevelType w:val="hybridMultilevel"/>
    <w:tmpl w:val="477A8DEA"/>
    <w:lvl w:ilvl="0" w:tplc="3E908D0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765A3578"/>
    <w:multiLevelType w:val="hybridMultilevel"/>
    <w:tmpl w:val="F78414E6"/>
    <w:lvl w:ilvl="0" w:tplc="7C623E06">
      <w:start w:val="1"/>
      <w:numFmt w:val="decimalEnclosedCircle"/>
      <w:lvlText w:val="%1"/>
      <w:lvlJc w:val="left"/>
      <w:pPr>
        <w:ind w:left="360" w:hanging="360"/>
      </w:pPr>
      <w:rPr>
        <w:rFonts w:eastAsia="汉仪书宋一简" w:cs="Arial Unicode MS" w:hint="default"/>
        <w:color w:val="000000" w:themeColor="text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B8E5BCF"/>
    <w:multiLevelType w:val="hybridMultilevel"/>
    <w:tmpl w:val="A74CA346"/>
    <w:lvl w:ilvl="0" w:tplc="ADBED0D8">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E944045"/>
    <w:multiLevelType w:val="hybridMultilevel"/>
    <w:tmpl w:val="130AE27C"/>
    <w:lvl w:ilvl="0" w:tplc="503A58DA">
      <w:start w:val="1"/>
      <w:numFmt w:val="decimalEnclosedCircle"/>
      <w:lvlText w:val="%1"/>
      <w:lvlJc w:val="left"/>
      <w:pPr>
        <w:ind w:left="360" w:hanging="360"/>
      </w:pPr>
      <w:rPr>
        <w:rFonts w:cs="Arial Unicode M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25091258">
    <w:abstractNumId w:val="3"/>
  </w:num>
  <w:num w:numId="2" w16cid:durableId="787743532">
    <w:abstractNumId w:val="1"/>
  </w:num>
  <w:num w:numId="3" w16cid:durableId="954480099">
    <w:abstractNumId w:val="0"/>
  </w:num>
  <w:num w:numId="4" w16cid:durableId="345180194">
    <w:abstractNumId w:val="2"/>
  </w:num>
  <w:num w:numId="5" w16cid:durableId="1279799000">
    <w:abstractNumId w:val="4"/>
  </w:num>
  <w:num w:numId="6" w16cid:durableId="2055889330">
    <w:abstractNumId w:val="16"/>
  </w:num>
  <w:num w:numId="7" w16cid:durableId="66926560">
    <w:abstractNumId w:val="6"/>
  </w:num>
  <w:num w:numId="8" w16cid:durableId="249199317">
    <w:abstractNumId w:val="11"/>
  </w:num>
  <w:num w:numId="9" w16cid:durableId="685131441">
    <w:abstractNumId w:val="19"/>
  </w:num>
  <w:num w:numId="10" w16cid:durableId="454956407">
    <w:abstractNumId w:val="18"/>
  </w:num>
  <w:num w:numId="11" w16cid:durableId="1889149212">
    <w:abstractNumId w:val="20"/>
  </w:num>
  <w:num w:numId="12" w16cid:durableId="1741488644">
    <w:abstractNumId w:val="8"/>
  </w:num>
  <w:num w:numId="13" w16cid:durableId="1984692714">
    <w:abstractNumId w:val="21"/>
  </w:num>
  <w:num w:numId="14" w16cid:durableId="724454096">
    <w:abstractNumId w:val="9"/>
  </w:num>
  <w:num w:numId="15" w16cid:durableId="883324837">
    <w:abstractNumId w:val="7"/>
  </w:num>
  <w:num w:numId="16" w16cid:durableId="1420639207">
    <w:abstractNumId w:val="15"/>
  </w:num>
  <w:num w:numId="17" w16cid:durableId="908686133">
    <w:abstractNumId w:val="13"/>
  </w:num>
  <w:num w:numId="18" w16cid:durableId="1641036550">
    <w:abstractNumId w:val="17"/>
  </w:num>
  <w:num w:numId="19" w16cid:durableId="1154373180">
    <w:abstractNumId w:val="12"/>
  </w:num>
  <w:num w:numId="20" w16cid:durableId="521825085">
    <w:abstractNumId w:val="14"/>
  </w:num>
  <w:num w:numId="21" w16cid:durableId="697387936">
    <w:abstractNumId w:val="5"/>
  </w:num>
  <w:num w:numId="22" w16cid:durableId="717707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DD"/>
    <w:rsid w:val="00003FEE"/>
    <w:rsid w:val="000621C5"/>
    <w:rsid w:val="000A3D0E"/>
    <w:rsid w:val="000C093A"/>
    <w:rsid w:val="00125345"/>
    <w:rsid w:val="00150C4A"/>
    <w:rsid w:val="001B16F7"/>
    <w:rsid w:val="00205EDD"/>
    <w:rsid w:val="002F0BBF"/>
    <w:rsid w:val="003018B6"/>
    <w:rsid w:val="00334148"/>
    <w:rsid w:val="00383824"/>
    <w:rsid w:val="003F00E5"/>
    <w:rsid w:val="0046782A"/>
    <w:rsid w:val="00467FDA"/>
    <w:rsid w:val="00472C6F"/>
    <w:rsid w:val="004B7179"/>
    <w:rsid w:val="004C29B9"/>
    <w:rsid w:val="005B4F9C"/>
    <w:rsid w:val="007908FF"/>
    <w:rsid w:val="007C1A70"/>
    <w:rsid w:val="00807175"/>
    <w:rsid w:val="0082707F"/>
    <w:rsid w:val="008925A7"/>
    <w:rsid w:val="009127D5"/>
    <w:rsid w:val="00940BBF"/>
    <w:rsid w:val="009700D8"/>
    <w:rsid w:val="009941CB"/>
    <w:rsid w:val="009E7889"/>
    <w:rsid w:val="00A67D38"/>
    <w:rsid w:val="00B6582E"/>
    <w:rsid w:val="00B811AD"/>
    <w:rsid w:val="00BA085D"/>
    <w:rsid w:val="00C4482F"/>
    <w:rsid w:val="00CA41AB"/>
    <w:rsid w:val="00D24557"/>
    <w:rsid w:val="00D842E7"/>
    <w:rsid w:val="00DB0D5D"/>
    <w:rsid w:val="00DF510D"/>
    <w:rsid w:val="00E9274E"/>
    <w:rsid w:val="00EB4751"/>
    <w:rsid w:val="00F920A1"/>
    <w:rsid w:val="00FA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2707"/>
  <w15:chartTrackingRefBased/>
  <w15:docId w15:val="{C4B0B839-70CD-44E4-AF48-49157EDA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EDD"/>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basedOn w:val="a"/>
    <w:next w:val="a"/>
    <w:link w:val="10"/>
    <w:uiPriority w:val="9"/>
    <w:qFormat/>
    <w:rsid w:val="00205ED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205ED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205ED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205ED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rsid w:val="00205ED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05ED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05ED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ED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05ED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05ED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205ED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qFormat/>
    <w:rsid w:val="00205ED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qFormat/>
    <w:rsid w:val="00205EDD"/>
    <w:rPr>
      <w:rFonts w:cstheme="majorBidi"/>
      <w:color w:val="0F4761" w:themeColor="accent1" w:themeShade="BF"/>
      <w:sz w:val="28"/>
      <w:szCs w:val="28"/>
    </w:rPr>
  </w:style>
  <w:style w:type="character" w:customStyle="1" w:styleId="50">
    <w:name w:val="标题 5 字符"/>
    <w:basedOn w:val="a0"/>
    <w:link w:val="5"/>
    <w:uiPriority w:val="9"/>
    <w:qFormat/>
    <w:rsid w:val="00205EDD"/>
    <w:rPr>
      <w:rFonts w:cstheme="majorBidi"/>
      <w:color w:val="0F4761" w:themeColor="accent1" w:themeShade="BF"/>
      <w:sz w:val="24"/>
      <w:szCs w:val="24"/>
    </w:rPr>
  </w:style>
  <w:style w:type="character" w:customStyle="1" w:styleId="60">
    <w:name w:val="标题 6 字符"/>
    <w:basedOn w:val="a0"/>
    <w:link w:val="6"/>
    <w:uiPriority w:val="9"/>
    <w:semiHidden/>
    <w:rsid w:val="00205EDD"/>
    <w:rPr>
      <w:rFonts w:cstheme="majorBidi"/>
      <w:b/>
      <w:bCs/>
      <w:color w:val="0F4761" w:themeColor="accent1" w:themeShade="BF"/>
    </w:rPr>
  </w:style>
  <w:style w:type="character" w:customStyle="1" w:styleId="70">
    <w:name w:val="标题 7 字符"/>
    <w:basedOn w:val="a0"/>
    <w:link w:val="7"/>
    <w:uiPriority w:val="9"/>
    <w:semiHidden/>
    <w:rsid w:val="00205EDD"/>
    <w:rPr>
      <w:rFonts w:cstheme="majorBidi"/>
      <w:b/>
      <w:bCs/>
      <w:color w:val="595959" w:themeColor="text1" w:themeTint="A6"/>
    </w:rPr>
  </w:style>
  <w:style w:type="character" w:customStyle="1" w:styleId="80">
    <w:name w:val="标题 8 字符"/>
    <w:basedOn w:val="a0"/>
    <w:link w:val="8"/>
    <w:uiPriority w:val="9"/>
    <w:semiHidden/>
    <w:rsid w:val="00205EDD"/>
    <w:rPr>
      <w:rFonts w:cstheme="majorBidi"/>
      <w:color w:val="595959" w:themeColor="text1" w:themeTint="A6"/>
    </w:rPr>
  </w:style>
  <w:style w:type="character" w:customStyle="1" w:styleId="90">
    <w:name w:val="标题 9 字符"/>
    <w:basedOn w:val="a0"/>
    <w:link w:val="9"/>
    <w:uiPriority w:val="9"/>
    <w:semiHidden/>
    <w:rsid w:val="00205EDD"/>
    <w:rPr>
      <w:rFonts w:eastAsiaTheme="majorEastAsia" w:cstheme="majorBidi"/>
      <w:color w:val="595959" w:themeColor="text1" w:themeTint="A6"/>
    </w:rPr>
  </w:style>
  <w:style w:type="paragraph" w:styleId="a3">
    <w:name w:val="Title"/>
    <w:basedOn w:val="a"/>
    <w:next w:val="a"/>
    <w:link w:val="a4"/>
    <w:uiPriority w:val="10"/>
    <w:qFormat/>
    <w:rsid w:val="00205E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205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EDD"/>
    <w:pPr>
      <w:numPr>
        <w:ilvl w:val="1"/>
      </w:numPr>
      <w:spacing w:after="160"/>
      <w:ind w:firstLineChars="200" w:firstLine="721"/>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EDD"/>
    <w:pPr>
      <w:spacing w:before="160" w:after="160"/>
      <w:jc w:val="center"/>
    </w:pPr>
    <w:rPr>
      <w:i/>
      <w:iCs/>
      <w:color w:val="404040" w:themeColor="text1" w:themeTint="BF"/>
    </w:rPr>
  </w:style>
  <w:style w:type="character" w:customStyle="1" w:styleId="a8">
    <w:name w:val="引用 字符"/>
    <w:basedOn w:val="a0"/>
    <w:link w:val="a7"/>
    <w:uiPriority w:val="29"/>
    <w:rsid w:val="00205EDD"/>
    <w:rPr>
      <w:i/>
      <w:iCs/>
      <w:color w:val="404040" w:themeColor="text1" w:themeTint="BF"/>
    </w:rPr>
  </w:style>
  <w:style w:type="paragraph" w:styleId="a9">
    <w:name w:val="List Paragraph"/>
    <w:basedOn w:val="a"/>
    <w:uiPriority w:val="34"/>
    <w:qFormat/>
    <w:rsid w:val="00205EDD"/>
    <w:pPr>
      <w:ind w:left="720"/>
      <w:contextualSpacing/>
    </w:pPr>
  </w:style>
  <w:style w:type="character" w:styleId="aa">
    <w:name w:val="Intense Emphasis"/>
    <w:basedOn w:val="a0"/>
    <w:uiPriority w:val="21"/>
    <w:qFormat/>
    <w:rsid w:val="00205EDD"/>
    <w:rPr>
      <w:i/>
      <w:iCs/>
      <w:color w:val="0F4761" w:themeColor="accent1" w:themeShade="BF"/>
    </w:rPr>
  </w:style>
  <w:style w:type="paragraph" w:styleId="ab">
    <w:name w:val="Intense Quote"/>
    <w:basedOn w:val="a"/>
    <w:next w:val="a"/>
    <w:link w:val="ac"/>
    <w:uiPriority w:val="30"/>
    <w:qFormat/>
    <w:rsid w:val="00205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05EDD"/>
    <w:rPr>
      <w:i/>
      <w:iCs/>
      <w:color w:val="0F4761" w:themeColor="accent1" w:themeShade="BF"/>
    </w:rPr>
  </w:style>
  <w:style w:type="character" w:styleId="ad">
    <w:name w:val="Intense Reference"/>
    <w:basedOn w:val="a0"/>
    <w:uiPriority w:val="32"/>
    <w:qFormat/>
    <w:rsid w:val="00205EDD"/>
    <w:rPr>
      <w:b/>
      <w:bCs/>
      <w:smallCaps/>
      <w:color w:val="0F4761" w:themeColor="accent1" w:themeShade="BF"/>
      <w:spacing w:val="5"/>
    </w:rPr>
  </w:style>
  <w:style w:type="paragraph" w:styleId="TOC7">
    <w:name w:val="toc 7"/>
    <w:basedOn w:val="a"/>
    <w:next w:val="a"/>
    <w:uiPriority w:val="39"/>
    <w:unhideWhenUsed/>
    <w:qFormat/>
    <w:rsid w:val="00205EDD"/>
    <w:pPr>
      <w:ind w:left="1260"/>
    </w:pPr>
  </w:style>
  <w:style w:type="paragraph" w:styleId="ae">
    <w:name w:val="Document Map"/>
    <w:basedOn w:val="a"/>
    <w:link w:val="af"/>
    <w:uiPriority w:val="99"/>
    <w:unhideWhenUsed/>
    <w:qFormat/>
    <w:rsid w:val="00205EDD"/>
    <w:rPr>
      <w:sz w:val="24"/>
      <w:szCs w:val="24"/>
    </w:rPr>
  </w:style>
  <w:style w:type="character" w:customStyle="1" w:styleId="af">
    <w:name w:val="文档结构图 字符"/>
    <w:basedOn w:val="a0"/>
    <w:link w:val="ae"/>
    <w:uiPriority w:val="99"/>
    <w:semiHidden/>
    <w:qFormat/>
    <w:rsid w:val="00205EDD"/>
    <w:rPr>
      <w:rFonts w:ascii="宋体" w:eastAsia="汉仪书宋二简" w:hAnsi="宋体" w:cs="宋体"/>
      <w:color w:val="000000" w:themeColor="text1"/>
      <w:sz w:val="24"/>
      <w:szCs w:val="24"/>
    </w:rPr>
  </w:style>
  <w:style w:type="paragraph" w:styleId="af0">
    <w:name w:val="annotation text"/>
    <w:basedOn w:val="a"/>
    <w:link w:val="af1"/>
    <w:uiPriority w:val="99"/>
    <w:unhideWhenUsed/>
    <w:qFormat/>
    <w:rsid w:val="00205EDD"/>
    <w:pPr>
      <w:jc w:val="left"/>
    </w:pPr>
  </w:style>
  <w:style w:type="character" w:customStyle="1" w:styleId="af1">
    <w:name w:val="批注文字 字符"/>
    <w:basedOn w:val="a0"/>
    <w:link w:val="af0"/>
    <w:uiPriority w:val="99"/>
    <w:qFormat/>
    <w:rsid w:val="00205EDD"/>
    <w:rPr>
      <w:rFonts w:ascii="宋体" w:eastAsia="汉仪书宋二简" w:hAnsi="宋体" w:cs="宋体"/>
      <w:color w:val="000000" w:themeColor="text1"/>
      <w:szCs w:val="21"/>
    </w:rPr>
  </w:style>
  <w:style w:type="paragraph" w:styleId="TOC5">
    <w:name w:val="toc 5"/>
    <w:basedOn w:val="a"/>
    <w:next w:val="a"/>
    <w:uiPriority w:val="39"/>
    <w:unhideWhenUsed/>
    <w:qFormat/>
    <w:rsid w:val="00205EDD"/>
    <w:pPr>
      <w:ind w:left="840"/>
    </w:pPr>
  </w:style>
  <w:style w:type="paragraph" w:styleId="TOC3">
    <w:name w:val="toc 3"/>
    <w:basedOn w:val="a"/>
    <w:next w:val="a"/>
    <w:uiPriority w:val="39"/>
    <w:unhideWhenUsed/>
    <w:qFormat/>
    <w:rsid w:val="00205EDD"/>
    <w:pPr>
      <w:ind w:left="420"/>
    </w:pPr>
  </w:style>
  <w:style w:type="paragraph" w:styleId="af2">
    <w:name w:val="Plain Text"/>
    <w:basedOn w:val="a"/>
    <w:link w:val="af3"/>
    <w:unhideWhenUsed/>
    <w:qFormat/>
    <w:rsid w:val="00205EDD"/>
    <w:rPr>
      <w:rFonts w:hAnsi="Courier New" w:cs="Courier New"/>
      <w:kern w:val="0"/>
      <w:sz w:val="20"/>
    </w:rPr>
  </w:style>
  <w:style w:type="character" w:customStyle="1" w:styleId="af3">
    <w:name w:val="纯文本 字符"/>
    <w:basedOn w:val="a0"/>
    <w:link w:val="af2"/>
    <w:qFormat/>
    <w:rsid w:val="00205EDD"/>
    <w:rPr>
      <w:rFonts w:ascii="宋体" w:eastAsia="汉仪书宋二简" w:hAnsi="Courier New" w:cs="Courier New"/>
      <w:color w:val="000000" w:themeColor="text1"/>
      <w:kern w:val="0"/>
      <w:sz w:val="20"/>
      <w:szCs w:val="21"/>
    </w:rPr>
  </w:style>
  <w:style w:type="paragraph" w:styleId="TOC8">
    <w:name w:val="toc 8"/>
    <w:basedOn w:val="a"/>
    <w:next w:val="a"/>
    <w:uiPriority w:val="39"/>
    <w:unhideWhenUsed/>
    <w:qFormat/>
    <w:rsid w:val="00205EDD"/>
    <w:pPr>
      <w:ind w:left="1470"/>
    </w:pPr>
  </w:style>
  <w:style w:type="paragraph" w:styleId="af4">
    <w:name w:val="endnote text"/>
    <w:basedOn w:val="a"/>
    <w:link w:val="af5"/>
    <w:uiPriority w:val="99"/>
    <w:semiHidden/>
    <w:unhideWhenUsed/>
    <w:rsid w:val="00205EDD"/>
    <w:pPr>
      <w:snapToGrid w:val="0"/>
      <w:jc w:val="left"/>
    </w:pPr>
  </w:style>
  <w:style w:type="character" w:customStyle="1" w:styleId="af5">
    <w:name w:val="尾注文本 字符"/>
    <w:basedOn w:val="a0"/>
    <w:link w:val="af4"/>
    <w:uiPriority w:val="99"/>
    <w:semiHidden/>
    <w:rsid w:val="00205EDD"/>
    <w:rPr>
      <w:rFonts w:ascii="宋体" w:eastAsia="汉仪书宋二简" w:hAnsi="宋体" w:cs="宋体"/>
      <w:color w:val="000000" w:themeColor="text1"/>
      <w:szCs w:val="21"/>
    </w:rPr>
  </w:style>
  <w:style w:type="paragraph" w:styleId="af6">
    <w:name w:val="Balloon Text"/>
    <w:basedOn w:val="a"/>
    <w:link w:val="af7"/>
    <w:uiPriority w:val="99"/>
    <w:unhideWhenUsed/>
    <w:qFormat/>
    <w:rsid w:val="00205EDD"/>
    <w:rPr>
      <w:sz w:val="18"/>
      <w:szCs w:val="18"/>
    </w:rPr>
  </w:style>
  <w:style w:type="character" w:customStyle="1" w:styleId="af7">
    <w:name w:val="批注框文本 字符"/>
    <w:basedOn w:val="a0"/>
    <w:link w:val="af6"/>
    <w:uiPriority w:val="99"/>
    <w:semiHidden/>
    <w:qFormat/>
    <w:rsid w:val="00205EDD"/>
    <w:rPr>
      <w:rFonts w:ascii="宋体" w:eastAsia="汉仪书宋二简" w:hAnsi="宋体" w:cs="宋体"/>
      <w:color w:val="000000" w:themeColor="text1"/>
      <w:sz w:val="18"/>
      <w:szCs w:val="18"/>
    </w:rPr>
  </w:style>
  <w:style w:type="paragraph" w:styleId="af8">
    <w:name w:val="footer"/>
    <w:basedOn w:val="a"/>
    <w:link w:val="af9"/>
    <w:uiPriority w:val="99"/>
    <w:unhideWhenUsed/>
    <w:qFormat/>
    <w:rsid w:val="00205EDD"/>
    <w:pPr>
      <w:tabs>
        <w:tab w:val="clear" w:pos="420"/>
        <w:tab w:val="center" w:pos="4153"/>
        <w:tab w:val="right" w:pos="8306"/>
      </w:tabs>
      <w:snapToGrid w:val="0"/>
      <w:jc w:val="left"/>
    </w:pPr>
    <w:rPr>
      <w:sz w:val="18"/>
      <w:szCs w:val="18"/>
    </w:rPr>
  </w:style>
  <w:style w:type="character" w:customStyle="1" w:styleId="af9">
    <w:name w:val="页脚 字符"/>
    <w:basedOn w:val="a0"/>
    <w:link w:val="af8"/>
    <w:uiPriority w:val="99"/>
    <w:qFormat/>
    <w:rsid w:val="00205EDD"/>
    <w:rPr>
      <w:rFonts w:ascii="宋体" w:eastAsia="汉仪书宋二简" w:hAnsi="宋体" w:cs="宋体"/>
      <w:color w:val="000000" w:themeColor="text1"/>
      <w:sz w:val="18"/>
      <w:szCs w:val="18"/>
    </w:rPr>
  </w:style>
  <w:style w:type="paragraph" w:styleId="afa">
    <w:name w:val="header"/>
    <w:basedOn w:val="a"/>
    <w:link w:val="afb"/>
    <w:uiPriority w:val="99"/>
    <w:unhideWhenUsed/>
    <w:qFormat/>
    <w:rsid w:val="00205EDD"/>
    <w:pPr>
      <w:pBdr>
        <w:bottom w:val="single" w:sz="6" w:space="1" w:color="auto"/>
      </w:pBdr>
      <w:tabs>
        <w:tab w:val="clear" w:pos="420"/>
        <w:tab w:val="center" w:pos="4153"/>
        <w:tab w:val="right" w:pos="8306"/>
      </w:tabs>
      <w:snapToGrid w:val="0"/>
      <w:jc w:val="center"/>
    </w:pPr>
    <w:rPr>
      <w:sz w:val="18"/>
      <w:szCs w:val="18"/>
    </w:rPr>
  </w:style>
  <w:style w:type="character" w:customStyle="1" w:styleId="afb">
    <w:name w:val="页眉 字符"/>
    <w:basedOn w:val="a0"/>
    <w:link w:val="afa"/>
    <w:uiPriority w:val="99"/>
    <w:qFormat/>
    <w:rsid w:val="00205EDD"/>
    <w:rPr>
      <w:rFonts w:ascii="宋体" w:eastAsia="汉仪书宋二简" w:hAnsi="宋体" w:cs="宋体"/>
      <w:color w:val="000000" w:themeColor="text1"/>
      <w:sz w:val="18"/>
      <w:szCs w:val="18"/>
    </w:rPr>
  </w:style>
  <w:style w:type="paragraph" w:styleId="TOC1">
    <w:name w:val="toc 1"/>
    <w:basedOn w:val="a"/>
    <w:next w:val="a"/>
    <w:uiPriority w:val="39"/>
    <w:unhideWhenUsed/>
    <w:qFormat/>
    <w:rsid w:val="00205EDD"/>
  </w:style>
  <w:style w:type="paragraph" w:styleId="TOC4">
    <w:name w:val="toc 4"/>
    <w:basedOn w:val="a"/>
    <w:next w:val="a"/>
    <w:uiPriority w:val="39"/>
    <w:unhideWhenUsed/>
    <w:qFormat/>
    <w:rsid w:val="00205EDD"/>
    <w:pPr>
      <w:ind w:left="630"/>
    </w:pPr>
  </w:style>
  <w:style w:type="paragraph" w:styleId="afc">
    <w:name w:val="footnote text"/>
    <w:basedOn w:val="a"/>
    <w:link w:val="afd"/>
    <w:uiPriority w:val="99"/>
    <w:unhideWhenUsed/>
    <w:qFormat/>
    <w:rsid w:val="00205EDD"/>
    <w:pPr>
      <w:snapToGrid w:val="0"/>
      <w:jc w:val="left"/>
    </w:pPr>
    <w:rPr>
      <w:sz w:val="18"/>
      <w:szCs w:val="18"/>
    </w:rPr>
  </w:style>
  <w:style w:type="character" w:customStyle="1" w:styleId="afd">
    <w:name w:val="脚注文本 字符"/>
    <w:basedOn w:val="a0"/>
    <w:link w:val="afc"/>
    <w:uiPriority w:val="99"/>
    <w:qFormat/>
    <w:rsid w:val="00205EDD"/>
    <w:rPr>
      <w:rFonts w:ascii="宋体" w:eastAsia="汉仪书宋二简" w:hAnsi="宋体" w:cs="宋体"/>
      <w:color w:val="000000" w:themeColor="text1"/>
      <w:sz w:val="18"/>
      <w:szCs w:val="18"/>
    </w:rPr>
  </w:style>
  <w:style w:type="paragraph" w:styleId="TOC6">
    <w:name w:val="toc 6"/>
    <w:basedOn w:val="a"/>
    <w:next w:val="a"/>
    <w:uiPriority w:val="39"/>
    <w:unhideWhenUsed/>
    <w:qFormat/>
    <w:rsid w:val="00205EDD"/>
    <w:pPr>
      <w:ind w:left="1050"/>
    </w:pPr>
  </w:style>
  <w:style w:type="paragraph" w:styleId="TOC2">
    <w:name w:val="toc 2"/>
    <w:basedOn w:val="a"/>
    <w:next w:val="a"/>
    <w:uiPriority w:val="39"/>
    <w:unhideWhenUsed/>
    <w:qFormat/>
    <w:rsid w:val="00205EDD"/>
    <w:pPr>
      <w:ind w:left="210"/>
    </w:pPr>
  </w:style>
  <w:style w:type="paragraph" w:styleId="TOC9">
    <w:name w:val="toc 9"/>
    <w:basedOn w:val="a"/>
    <w:next w:val="a"/>
    <w:uiPriority w:val="39"/>
    <w:unhideWhenUsed/>
    <w:qFormat/>
    <w:rsid w:val="00205EDD"/>
    <w:pPr>
      <w:ind w:left="1680"/>
    </w:pPr>
  </w:style>
  <w:style w:type="paragraph" w:styleId="afe">
    <w:name w:val="Normal (Web)"/>
    <w:basedOn w:val="a"/>
    <w:uiPriority w:val="99"/>
    <w:unhideWhenUsed/>
    <w:qFormat/>
    <w:rsid w:val="00205EDD"/>
    <w:pPr>
      <w:widowControl/>
      <w:spacing w:before="100" w:beforeAutospacing="1" w:after="100" w:afterAutospacing="1"/>
      <w:jc w:val="left"/>
    </w:pPr>
    <w:rPr>
      <w:color w:val="auto"/>
      <w:kern w:val="0"/>
      <w:sz w:val="24"/>
      <w:szCs w:val="24"/>
    </w:rPr>
  </w:style>
  <w:style w:type="paragraph" w:styleId="aff">
    <w:name w:val="annotation subject"/>
    <w:basedOn w:val="af0"/>
    <w:next w:val="af0"/>
    <w:link w:val="aff0"/>
    <w:uiPriority w:val="99"/>
    <w:semiHidden/>
    <w:unhideWhenUsed/>
    <w:qFormat/>
    <w:rsid w:val="00205EDD"/>
    <w:rPr>
      <w:b/>
      <w:bCs/>
    </w:rPr>
  </w:style>
  <w:style w:type="character" w:customStyle="1" w:styleId="aff0">
    <w:name w:val="批注主题 字符"/>
    <w:basedOn w:val="af1"/>
    <w:link w:val="aff"/>
    <w:uiPriority w:val="99"/>
    <w:semiHidden/>
    <w:qFormat/>
    <w:rsid w:val="00205EDD"/>
    <w:rPr>
      <w:rFonts w:ascii="宋体" w:eastAsia="汉仪书宋二简" w:hAnsi="宋体" w:cs="宋体"/>
      <w:b/>
      <w:bCs/>
      <w:color w:val="000000" w:themeColor="text1"/>
      <w:szCs w:val="21"/>
    </w:rPr>
  </w:style>
  <w:style w:type="table" w:styleId="aff1">
    <w:name w:val="Table Grid"/>
    <w:basedOn w:val="a1"/>
    <w:uiPriority w:val="59"/>
    <w:qFormat/>
    <w:rsid w:val="00205ED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ndnote reference"/>
    <w:basedOn w:val="a0"/>
    <w:uiPriority w:val="99"/>
    <w:semiHidden/>
    <w:unhideWhenUsed/>
    <w:rsid w:val="00205EDD"/>
    <w:rPr>
      <w:vertAlign w:val="superscript"/>
    </w:rPr>
  </w:style>
  <w:style w:type="character" w:styleId="aff3">
    <w:name w:val="page number"/>
    <w:basedOn w:val="a0"/>
    <w:uiPriority w:val="99"/>
    <w:unhideWhenUsed/>
    <w:qFormat/>
    <w:rsid w:val="00205EDD"/>
  </w:style>
  <w:style w:type="character" w:styleId="aff4">
    <w:name w:val="Hyperlink"/>
    <w:basedOn w:val="a0"/>
    <w:uiPriority w:val="99"/>
    <w:unhideWhenUsed/>
    <w:qFormat/>
    <w:rsid w:val="00205EDD"/>
    <w:rPr>
      <w:color w:val="467886" w:themeColor="hyperlink"/>
      <w:u w:val="single"/>
    </w:rPr>
  </w:style>
  <w:style w:type="character" w:styleId="aff5">
    <w:name w:val="annotation reference"/>
    <w:basedOn w:val="a0"/>
    <w:uiPriority w:val="99"/>
    <w:unhideWhenUsed/>
    <w:qFormat/>
    <w:rsid w:val="00205EDD"/>
    <w:rPr>
      <w:sz w:val="21"/>
      <w:szCs w:val="21"/>
    </w:rPr>
  </w:style>
  <w:style w:type="character" w:styleId="aff6">
    <w:name w:val="footnote reference"/>
    <w:basedOn w:val="a0"/>
    <w:uiPriority w:val="99"/>
    <w:unhideWhenUsed/>
    <w:qFormat/>
    <w:rsid w:val="00205EDD"/>
    <w:rPr>
      <w:vertAlign w:val="superscript"/>
    </w:rPr>
  </w:style>
  <w:style w:type="table" w:customStyle="1" w:styleId="11">
    <w:name w:val="网格型1"/>
    <w:basedOn w:val="a1"/>
    <w:uiPriority w:val="59"/>
    <w:qFormat/>
    <w:rsid w:val="00205ED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表格标题"/>
    <w:basedOn w:val="a"/>
    <w:qFormat/>
    <w:rsid w:val="00205EDD"/>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rsid w:val="00205EDD"/>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rsid w:val="00205EDD"/>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8">
    <w:name w:val="补四级标题"/>
    <w:basedOn w:val="a"/>
    <w:qFormat/>
    <w:rsid w:val="00205EDD"/>
    <w:pPr>
      <w:ind w:firstLineChars="202" w:firstLine="202"/>
    </w:pPr>
    <w:rPr>
      <w:rFonts w:ascii="汉仪中黑简" w:eastAsia="汉仪中黑简" w:hAnsi="汉仪中黑简" w:cs="汉仪中黑简"/>
      <w:bCs/>
      <w:color w:val="auto"/>
      <w:kern w:val="44"/>
      <w:szCs w:val="24"/>
    </w:rPr>
  </w:style>
  <w:style w:type="paragraph" w:customStyle="1" w:styleId="aff9">
    <w:name w:val="导图文字"/>
    <w:qFormat/>
    <w:rsid w:val="00205EDD"/>
    <w:pPr>
      <w:spacing w:line="384" w:lineRule="exact"/>
    </w:pPr>
    <w:rPr>
      <w:rFonts w:ascii="汉仪书宋二简" w:eastAsia="汉仪书宋二简" w:hAnsi="汉仪书宋二简" w:cs="汉仪书宋二简" w:hint="eastAsia"/>
      <w:b/>
      <w:color w:val="000000"/>
      <w:kern w:val="0"/>
      <w:sz w:val="20"/>
      <w:szCs w:val="21"/>
    </w:rPr>
  </w:style>
  <w:style w:type="paragraph" w:customStyle="1" w:styleId="21">
    <w:name w:val="导图正文2"/>
    <w:qFormat/>
    <w:rsid w:val="00205EDD"/>
    <w:pPr>
      <w:spacing w:line="384" w:lineRule="exact"/>
    </w:pPr>
    <w:rPr>
      <w:rFonts w:ascii="汉仪书宋二简" w:eastAsia="汉仪书宋二简" w:hAnsi="汉仪书宋二简" w:cs="汉仪书宋二简" w:hint="eastAsia"/>
      <w:color w:val="000000"/>
      <w:kern w:val="0"/>
      <w:sz w:val="20"/>
      <w:szCs w:val="21"/>
    </w:rPr>
  </w:style>
  <w:style w:type="paragraph" w:customStyle="1" w:styleId="14">
    <w:name w:val="修订1"/>
    <w:hidden/>
    <w:uiPriority w:val="99"/>
    <w:semiHidden/>
    <w:qFormat/>
    <w:rsid w:val="00205EDD"/>
    <w:rPr>
      <w:rFonts w:ascii="宋体" w:eastAsia="汉仪书宋二简" w:hAnsi="宋体" w:cs="宋体"/>
      <w:color w:val="000000" w:themeColor="text1"/>
      <w:szCs w:val="21"/>
    </w:rPr>
  </w:style>
  <w:style w:type="paragraph" w:customStyle="1" w:styleId="15">
    <w:name w:val="正文1"/>
    <w:rsid w:val="00205EDD"/>
    <w:pPr>
      <w:jc w:val="both"/>
    </w:pPr>
    <w:rPr>
      <w:rFonts w:ascii="Times New Roman" w:eastAsia="宋体" w:hAnsi="Times New Roman" w:cs="Times New Roman"/>
      <w:szCs w:val="21"/>
    </w:rPr>
  </w:style>
  <w:style w:type="character" w:customStyle="1" w:styleId="Char1">
    <w:name w:val="纯文本 Char1"/>
    <w:qFormat/>
    <w:rsid w:val="00205EDD"/>
    <w:rPr>
      <w:rFonts w:ascii="宋体" w:hAnsi="Courier New" w:cs="Courier New"/>
      <w:szCs w:val="21"/>
    </w:rPr>
  </w:style>
  <w:style w:type="paragraph" w:styleId="affa">
    <w:name w:val="Body Text"/>
    <w:basedOn w:val="a"/>
    <w:link w:val="affb"/>
    <w:uiPriority w:val="1"/>
    <w:qFormat/>
    <w:rsid w:val="00205EDD"/>
    <w:pPr>
      <w:tabs>
        <w:tab w:val="clear" w:pos="420"/>
      </w:tabs>
      <w:autoSpaceDE w:val="0"/>
      <w:autoSpaceDN w:val="0"/>
      <w:spacing w:line="240" w:lineRule="auto"/>
      <w:ind w:left="126" w:firstLineChars="0" w:firstLine="0"/>
      <w:jc w:val="left"/>
    </w:pPr>
    <w:rPr>
      <w:rFonts w:ascii="方正书宋_GBK" w:eastAsia="方正书宋_GBK" w:hAnsi="方正书宋_GBK" w:cs="方正书宋_GBK"/>
      <w:color w:val="auto"/>
      <w:kern w:val="0"/>
      <w:sz w:val="18"/>
      <w:szCs w:val="18"/>
      <w:lang w:eastAsia="en-US"/>
    </w:rPr>
  </w:style>
  <w:style w:type="character" w:customStyle="1" w:styleId="affb">
    <w:name w:val="正文文本 字符"/>
    <w:basedOn w:val="a0"/>
    <w:link w:val="affa"/>
    <w:uiPriority w:val="1"/>
    <w:qFormat/>
    <w:rsid w:val="00205EDD"/>
    <w:rPr>
      <w:rFonts w:ascii="方正书宋_GBK" w:eastAsia="方正书宋_GBK" w:hAnsi="方正书宋_GBK" w:cs="方正书宋_GBK"/>
      <w:kern w:val="0"/>
      <w:sz w:val="18"/>
      <w:szCs w:val="18"/>
      <w:lang w:eastAsia="en-US"/>
    </w:rPr>
  </w:style>
  <w:style w:type="paragraph" w:styleId="affc">
    <w:name w:val="Date"/>
    <w:basedOn w:val="a"/>
    <w:next w:val="a"/>
    <w:link w:val="affd"/>
    <w:uiPriority w:val="99"/>
    <w:semiHidden/>
    <w:unhideWhenUsed/>
    <w:qFormat/>
    <w:rsid w:val="00205EDD"/>
    <w:pPr>
      <w:tabs>
        <w:tab w:val="clear" w:pos="420"/>
      </w:tabs>
      <w:spacing w:line="240" w:lineRule="auto"/>
      <w:ind w:leftChars="2500" w:left="100" w:firstLineChars="0" w:firstLine="0"/>
    </w:pPr>
    <w:rPr>
      <w:rFonts w:asciiTheme="minorHAnsi" w:eastAsiaTheme="minorEastAsia" w:hAnsiTheme="minorHAnsi" w:cstheme="minorBidi"/>
      <w:color w:val="auto"/>
      <w:szCs w:val="22"/>
    </w:rPr>
  </w:style>
  <w:style w:type="character" w:customStyle="1" w:styleId="affd">
    <w:name w:val="日期 字符"/>
    <w:basedOn w:val="a0"/>
    <w:link w:val="affc"/>
    <w:uiPriority w:val="99"/>
    <w:semiHidden/>
    <w:qFormat/>
    <w:rsid w:val="00205EDD"/>
  </w:style>
  <w:style w:type="character" w:styleId="affe">
    <w:name w:val="Strong"/>
    <w:basedOn w:val="a0"/>
    <w:uiPriority w:val="22"/>
    <w:qFormat/>
    <w:rsid w:val="00205EDD"/>
    <w:rPr>
      <w:b/>
      <w:bCs/>
    </w:rPr>
  </w:style>
  <w:style w:type="character" w:customStyle="1" w:styleId="hitclass0">
    <w:name w:val="hitclass0"/>
    <w:basedOn w:val="a0"/>
    <w:qFormat/>
    <w:rsid w:val="00205EDD"/>
  </w:style>
  <w:style w:type="character" w:customStyle="1" w:styleId="3Batang">
    <w:name w:val="正文文本 (3) + Batang"/>
    <w:qFormat/>
    <w:rsid w:val="00205EDD"/>
    <w:rPr>
      <w:rFonts w:ascii="Batang" w:eastAsia="Batang" w:hAnsi="Batang" w:cs="Batang"/>
      <w:color w:val="000000"/>
      <w:spacing w:val="20"/>
      <w:w w:val="100"/>
      <w:position w:val="0"/>
      <w:sz w:val="8"/>
      <w:szCs w:val="8"/>
      <w:u w:val="none"/>
      <w:lang w:val="zh-CN"/>
    </w:rPr>
  </w:style>
  <w:style w:type="character" w:customStyle="1" w:styleId="afff">
    <w:name w:val="正文文本_"/>
    <w:link w:val="120"/>
    <w:qFormat/>
    <w:rsid w:val="00205EDD"/>
    <w:rPr>
      <w:rFonts w:ascii="黑体" w:eastAsia="黑体" w:hAnsi="黑体" w:cs="黑体"/>
      <w:sz w:val="19"/>
      <w:szCs w:val="19"/>
      <w:shd w:val="clear" w:color="auto" w:fill="FFFFFF"/>
    </w:rPr>
  </w:style>
  <w:style w:type="paragraph" w:customStyle="1" w:styleId="120">
    <w:name w:val="正文文本12"/>
    <w:basedOn w:val="a"/>
    <w:link w:val="afff"/>
    <w:qFormat/>
    <w:rsid w:val="00205EDD"/>
    <w:pPr>
      <w:shd w:val="clear" w:color="auto" w:fill="FFFFFF"/>
      <w:tabs>
        <w:tab w:val="clear" w:pos="420"/>
      </w:tabs>
      <w:spacing w:before="120" w:line="301" w:lineRule="exact"/>
      <w:ind w:firstLineChars="0" w:firstLine="0"/>
      <w:jc w:val="distribute"/>
    </w:pPr>
    <w:rPr>
      <w:rFonts w:ascii="黑体" w:eastAsia="黑体" w:hAnsi="黑体" w:cs="黑体"/>
      <w:color w:val="auto"/>
      <w:sz w:val="19"/>
      <w:szCs w:val="19"/>
    </w:rPr>
  </w:style>
  <w:style w:type="character" w:customStyle="1" w:styleId="Batang">
    <w:name w:val="正文文本 + Batang"/>
    <w:qFormat/>
    <w:rsid w:val="00205EDD"/>
    <w:rPr>
      <w:rFonts w:ascii="Batang" w:eastAsia="Batang" w:hAnsi="Batang" w:cs="Batang"/>
      <w:color w:val="000000"/>
      <w:spacing w:val="10"/>
      <w:w w:val="100"/>
      <w:position w:val="0"/>
      <w:sz w:val="18"/>
      <w:szCs w:val="18"/>
      <w:u w:val="none"/>
      <w:lang w:val="zh-CN"/>
    </w:rPr>
  </w:style>
  <w:style w:type="character" w:customStyle="1" w:styleId="3MingLiU">
    <w:name w:val="标题 #3 + MingLiU"/>
    <w:qFormat/>
    <w:rsid w:val="00205EDD"/>
    <w:rPr>
      <w:rFonts w:ascii="MingLiU" w:eastAsia="MingLiU" w:hAnsi="MingLiU" w:cs="MingLiU"/>
      <w:color w:val="000000"/>
      <w:spacing w:val="-20"/>
      <w:w w:val="100"/>
      <w:position w:val="0"/>
      <w:sz w:val="9"/>
      <w:szCs w:val="9"/>
      <w:u w:val="none"/>
      <w:lang w:val="zh-CN"/>
    </w:rPr>
  </w:style>
  <w:style w:type="character" w:customStyle="1" w:styleId="afff0">
    <w:name w:val="正文文本 + 斜体"/>
    <w:qFormat/>
    <w:rsid w:val="00205EDD"/>
    <w:rPr>
      <w:rFonts w:ascii="黑体" w:eastAsia="黑体" w:hAnsi="黑体" w:cs="黑体"/>
      <w:i/>
      <w:iCs/>
      <w:color w:val="000000"/>
      <w:spacing w:val="0"/>
      <w:w w:val="100"/>
      <w:position w:val="0"/>
      <w:sz w:val="19"/>
      <w:szCs w:val="19"/>
      <w:u w:val="none"/>
    </w:rPr>
  </w:style>
  <w:style w:type="character" w:customStyle="1" w:styleId="100">
    <w:name w:val="正文文本 (10)_"/>
    <w:link w:val="101"/>
    <w:qFormat/>
    <w:rsid w:val="00205EDD"/>
    <w:rPr>
      <w:rFonts w:ascii="黑体" w:eastAsia="黑体" w:hAnsi="黑体" w:cs="黑体"/>
      <w:spacing w:val="50"/>
      <w:sz w:val="17"/>
      <w:szCs w:val="17"/>
      <w:shd w:val="clear" w:color="auto" w:fill="FFFFFF"/>
    </w:rPr>
  </w:style>
  <w:style w:type="paragraph" w:customStyle="1" w:styleId="101">
    <w:name w:val="正文文本 (10)"/>
    <w:basedOn w:val="a"/>
    <w:link w:val="100"/>
    <w:qFormat/>
    <w:rsid w:val="00205EDD"/>
    <w:pPr>
      <w:shd w:val="clear" w:color="auto" w:fill="FFFFFF"/>
      <w:tabs>
        <w:tab w:val="clear" w:pos="420"/>
      </w:tabs>
      <w:spacing w:line="298" w:lineRule="exact"/>
      <w:ind w:firstLineChars="0" w:firstLine="0"/>
      <w:jc w:val="left"/>
    </w:pPr>
    <w:rPr>
      <w:rFonts w:ascii="黑体" w:eastAsia="黑体" w:hAnsi="黑体" w:cs="黑体"/>
      <w:color w:val="auto"/>
      <w:spacing w:val="50"/>
      <w:sz w:val="17"/>
      <w:szCs w:val="17"/>
    </w:rPr>
  </w:style>
  <w:style w:type="character" w:customStyle="1" w:styleId="100pt">
    <w:name w:val="正文文本 (10) + 间距 0 pt"/>
    <w:qFormat/>
    <w:rsid w:val="00205EDD"/>
    <w:rPr>
      <w:rFonts w:ascii="黑体" w:eastAsia="黑体" w:hAnsi="黑体" w:cs="黑体"/>
      <w:color w:val="000000"/>
      <w:spacing w:val="0"/>
      <w:w w:val="100"/>
      <w:position w:val="0"/>
      <w:sz w:val="17"/>
      <w:szCs w:val="17"/>
      <w:u w:val="none"/>
      <w:lang w:val="zh-CN"/>
    </w:rPr>
  </w:style>
  <w:style w:type="character" w:customStyle="1" w:styleId="41">
    <w:name w:val="正文文本4"/>
    <w:qFormat/>
    <w:rsid w:val="00205EDD"/>
    <w:rPr>
      <w:rFonts w:ascii="黑体" w:eastAsia="黑体" w:hAnsi="黑体" w:cs="黑体"/>
      <w:color w:val="000000"/>
      <w:spacing w:val="0"/>
      <w:w w:val="100"/>
      <w:position w:val="0"/>
      <w:sz w:val="19"/>
      <w:szCs w:val="19"/>
      <w:u w:val="none"/>
      <w:lang w:val="zh-CN"/>
    </w:rPr>
  </w:style>
  <w:style w:type="character" w:customStyle="1" w:styleId="0pt">
    <w:name w:val="正文文本 + 间距 0 pt"/>
    <w:qFormat/>
    <w:rsid w:val="00205EDD"/>
    <w:rPr>
      <w:rFonts w:ascii="黑体" w:eastAsia="黑体" w:hAnsi="黑体" w:cs="黑体"/>
      <w:color w:val="000000"/>
      <w:spacing w:val="-10"/>
      <w:w w:val="100"/>
      <w:position w:val="0"/>
      <w:sz w:val="19"/>
      <w:szCs w:val="19"/>
      <w:u w:val="none"/>
      <w:lang w:val="zh-CN"/>
    </w:rPr>
  </w:style>
  <w:style w:type="character" w:customStyle="1" w:styleId="71">
    <w:name w:val="正文文本 (7)"/>
    <w:qFormat/>
    <w:rsid w:val="00205EDD"/>
    <w:rPr>
      <w:rFonts w:ascii="黑体" w:eastAsia="黑体" w:hAnsi="黑体" w:cs="黑体"/>
      <w:color w:val="000000"/>
      <w:spacing w:val="0"/>
      <w:w w:val="100"/>
      <w:position w:val="0"/>
      <w:sz w:val="19"/>
      <w:szCs w:val="19"/>
      <w:u w:val="none"/>
      <w:lang w:val="zh-CN"/>
    </w:rPr>
  </w:style>
  <w:style w:type="character" w:customStyle="1" w:styleId="785pt">
    <w:name w:val="正文文本 (7) + 8.5 pt"/>
    <w:qFormat/>
    <w:rsid w:val="00205EDD"/>
    <w:rPr>
      <w:rFonts w:ascii="黑体" w:eastAsia="黑体" w:hAnsi="黑体" w:cs="黑体"/>
      <w:color w:val="000000"/>
      <w:spacing w:val="0"/>
      <w:w w:val="100"/>
      <w:position w:val="0"/>
      <w:sz w:val="17"/>
      <w:szCs w:val="17"/>
      <w:u w:val="none"/>
      <w:lang w:val="zh-CN"/>
    </w:rPr>
  </w:style>
  <w:style w:type="character" w:customStyle="1" w:styleId="70pt">
    <w:name w:val="正文文本 (7) + 间距 0 pt"/>
    <w:qFormat/>
    <w:rsid w:val="00205EDD"/>
    <w:rPr>
      <w:rFonts w:ascii="黑体" w:eastAsia="黑体" w:hAnsi="黑体" w:cs="黑体"/>
      <w:color w:val="000000"/>
      <w:spacing w:val="-10"/>
      <w:w w:val="100"/>
      <w:position w:val="0"/>
      <w:sz w:val="19"/>
      <w:szCs w:val="19"/>
      <w:u w:val="none"/>
      <w:lang w:val="zh-CN"/>
    </w:rPr>
  </w:style>
  <w:style w:type="character" w:customStyle="1" w:styleId="7MingLiU">
    <w:name w:val="正文文本 (7) + MingLiU"/>
    <w:qFormat/>
    <w:rsid w:val="00205EDD"/>
    <w:rPr>
      <w:rFonts w:ascii="MingLiU" w:eastAsia="MingLiU" w:hAnsi="MingLiU" w:cs="MingLiU"/>
      <w:color w:val="000000"/>
      <w:spacing w:val="0"/>
      <w:w w:val="100"/>
      <w:position w:val="0"/>
      <w:sz w:val="23"/>
      <w:szCs w:val="23"/>
      <w:u w:val="none"/>
    </w:rPr>
  </w:style>
  <w:style w:type="character" w:customStyle="1" w:styleId="150">
    <w:name w:val="正文文本 (15)_"/>
    <w:link w:val="151"/>
    <w:qFormat/>
    <w:rsid w:val="00205EDD"/>
    <w:rPr>
      <w:rFonts w:ascii="黑体" w:eastAsia="黑体" w:hAnsi="黑体" w:cs="黑体"/>
      <w:spacing w:val="-10"/>
      <w:sz w:val="19"/>
      <w:szCs w:val="19"/>
      <w:shd w:val="clear" w:color="auto" w:fill="FFFFFF"/>
    </w:rPr>
  </w:style>
  <w:style w:type="paragraph" w:customStyle="1" w:styleId="151">
    <w:name w:val="正文文本 (15)"/>
    <w:basedOn w:val="a"/>
    <w:link w:val="150"/>
    <w:qFormat/>
    <w:rsid w:val="00205EDD"/>
    <w:pPr>
      <w:shd w:val="clear" w:color="auto" w:fill="FFFFFF"/>
      <w:tabs>
        <w:tab w:val="clear" w:pos="420"/>
      </w:tabs>
      <w:spacing w:after="120" w:line="0" w:lineRule="atLeast"/>
      <w:ind w:firstLineChars="0" w:firstLine="380"/>
      <w:jc w:val="distribute"/>
    </w:pPr>
    <w:rPr>
      <w:rFonts w:ascii="黑体" w:eastAsia="黑体" w:hAnsi="黑体" w:cs="黑体"/>
      <w:color w:val="auto"/>
      <w:spacing w:val="-10"/>
      <w:sz w:val="19"/>
      <w:szCs w:val="19"/>
    </w:rPr>
  </w:style>
  <w:style w:type="character" w:customStyle="1" w:styleId="16">
    <w:name w:val="正文文本 (16)_"/>
    <w:link w:val="160"/>
    <w:qFormat/>
    <w:rsid w:val="00205EDD"/>
    <w:rPr>
      <w:rFonts w:ascii="MingLiU" w:eastAsia="MingLiU" w:hAnsi="MingLiU" w:cs="MingLiU"/>
      <w:spacing w:val="-10"/>
      <w:sz w:val="19"/>
      <w:szCs w:val="19"/>
      <w:shd w:val="clear" w:color="auto" w:fill="FFFFFF"/>
    </w:rPr>
  </w:style>
  <w:style w:type="paragraph" w:customStyle="1" w:styleId="160">
    <w:name w:val="正文文本 (16)"/>
    <w:basedOn w:val="a"/>
    <w:link w:val="16"/>
    <w:qFormat/>
    <w:rsid w:val="00205EDD"/>
    <w:pPr>
      <w:shd w:val="clear" w:color="auto" w:fill="FFFFFF"/>
      <w:tabs>
        <w:tab w:val="clear" w:pos="420"/>
      </w:tabs>
      <w:spacing w:line="298" w:lineRule="exact"/>
      <w:ind w:firstLineChars="0" w:firstLine="400"/>
      <w:jc w:val="distribute"/>
    </w:pPr>
    <w:rPr>
      <w:rFonts w:ascii="MingLiU" w:eastAsia="MingLiU" w:hAnsi="MingLiU" w:cs="MingLiU"/>
      <w:color w:val="auto"/>
      <w:spacing w:val="-10"/>
      <w:sz w:val="19"/>
      <w:szCs w:val="19"/>
    </w:rPr>
  </w:style>
  <w:style w:type="character" w:customStyle="1" w:styleId="31">
    <w:name w:val="标题 #3"/>
    <w:qFormat/>
    <w:rsid w:val="00205EDD"/>
    <w:rPr>
      <w:rFonts w:ascii="黑体" w:eastAsia="黑体" w:hAnsi="黑体" w:cs="黑体"/>
      <w:color w:val="000000"/>
      <w:spacing w:val="0"/>
      <w:w w:val="100"/>
      <w:position w:val="0"/>
      <w:sz w:val="19"/>
      <w:szCs w:val="19"/>
      <w:u w:val="none"/>
      <w:lang w:val="zh-CN"/>
    </w:rPr>
  </w:style>
  <w:style w:type="paragraph" w:customStyle="1" w:styleId="Default">
    <w:name w:val="Default"/>
    <w:qFormat/>
    <w:rsid w:val="00205EDD"/>
    <w:pPr>
      <w:widowControl w:val="0"/>
      <w:autoSpaceDE w:val="0"/>
      <w:autoSpaceDN w:val="0"/>
      <w:adjustRightInd w:val="0"/>
    </w:pPr>
    <w:rPr>
      <w:rFonts w:ascii="宋体" w:eastAsia="宋体" w:hAnsi="Times New Roman" w:cs="宋体"/>
      <w:color w:val="000000"/>
      <w:kern w:val="0"/>
      <w:sz w:val="24"/>
      <w:szCs w:val="24"/>
    </w:rPr>
  </w:style>
  <w:style w:type="character" w:customStyle="1" w:styleId="bjh-p">
    <w:name w:val="bjh-p"/>
    <w:basedOn w:val="a0"/>
    <w:qFormat/>
    <w:rsid w:val="00205EDD"/>
  </w:style>
  <w:style w:type="paragraph" w:styleId="afff1">
    <w:name w:val="No Spacing"/>
    <w:link w:val="afff2"/>
    <w:uiPriority w:val="1"/>
    <w:qFormat/>
    <w:rsid w:val="00205EDD"/>
    <w:rPr>
      <w:kern w:val="0"/>
      <w:sz w:val="22"/>
    </w:rPr>
  </w:style>
  <w:style w:type="character" w:customStyle="1" w:styleId="afff2">
    <w:name w:val="无间隔 字符"/>
    <w:basedOn w:val="a0"/>
    <w:link w:val="afff1"/>
    <w:uiPriority w:val="1"/>
    <w:qFormat/>
    <w:rsid w:val="00205EDD"/>
    <w:rPr>
      <w:kern w:val="0"/>
      <w:sz w:val="22"/>
    </w:rPr>
  </w:style>
  <w:style w:type="character" w:styleId="afff3">
    <w:name w:val="Placeholder Text"/>
    <w:basedOn w:val="a0"/>
    <w:uiPriority w:val="99"/>
    <w:semiHidden/>
    <w:qFormat/>
    <w:rsid w:val="00205EDD"/>
    <w:rPr>
      <w:color w:val="808080"/>
    </w:rPr>
  </w:style>
  <w:style w:type="character" w:customStyle="1" w:styleId="17">
    <w:name w:val="未处理的提及1"/>
    <w:basedOn w:val="a0"/>
    <w:uiPriority w:val="99"/>
    <w:semiHidden/>
    <w:unhideWhenUsed/>
    <w:qFormat/>
    <w:rsid w:val="00205EDD"/>
    <w:rPr>
      <w:color w:val="605E5C"/>
      <w:shd w:val="clear" w:color="auto" w:fill="E1DFDD"/>
    </w:rPr>
  </w:style>
  <w:style w:type="numbering" w:customStyle="1" w:styleId="18">
    <w:name w:val="无列表1"/>
    <w:next w:val="a2"/>
    <w:uiPriority w:val="99"/>
    <w:semiHidden/>
    <w:unhideWhenUsed/>
    <w:rsid w:val="005B4F9C"/>
  </w:style>
  <w:style w:type="paragraph" w:styleId="81">
    <w:name w:val="index 8"/>
    <w:basedOn w:val="a"/>
    <w:next w:val="a"/>
    <w:uiPriority w:val="99"/>
    <w:unhideWhenUsed/>
    <w:qFormat/>
    <w:rsid w:val="005B4F9C"/>
    <w:pPr>
      <w:tabs>
        <w:tab w:val="clear" w:pos="420"/>
      </w:tabs>
      <w:spacing w:line="240" w:lineRule="auto"/>
      <w:ind w:left="1680" w:firstLineChars="0" w:hanging="210"/>
    </w:pPr>
    <w:rPr>
      <w:rFonts w:ascii="等线" w:eastAsia="等线" w:hAnsi="等线" w:cs="Times New Roman"/>
      <w:color w:val="auto"/>
      <w:szCs w:val="22"/>
    </w:rPr>
  </w:style>
  <w:style w:type="paragraph" w:styleId="51">
    <w:name w:val="index 5"/>
    <w:basedOn w:val="a"/>
    <w:next w:val="a"/>
    <w:uiPriority w:val="99"/>
    <w:unhideWhenUsed/>
    <w:qFormat/>
    <w:rsid w:val="005B4F9C"/>
    <w:pPr>
      <w:tabs>
        <w:tab w:val="clear" w:pos="420"/>
      </w:tabs>
      <w:spacing w:line="240" w:lineRule="auto"/>
      <w:ind w:left="1050" w:firstLineChars="0" w:hanging="210"/>
    </w:pPr>
    <w:rPr>
      <w:rFonts w:ascii="等线" w:eastAsia="等线" w:hAnsi="等线" w:cs="Times New Roman"/>
      <w:color w:val="auto"/>
      <w:szCs w:val="22"/>
    </w:rPr>
  </w:style>
  <w:style w:type="paragraph" w:styleId="61">
    <w:name w:val="index 6"/>
    <w:basedOn w:val="a"/>
    <w:next w:val="a"/>
    <w:uiPriority w:val="99"/>
    <w:unhideWhenUsed/>
    <w:qFormat/>
    <w:rsid w:val="005B4F9C"/>
    <w:pPr>
      <w:tabs>
        <w:tab w:val="clear" w:pos="420"/>
      </w:tabs>
      <w:spacing w:line="240" w:lineRule="auto"/>
      <w:ind w:left="1260" w:firstLineChars="0" w:hanging="210"/>
    </w:pPr>
    <w:rPr>
      <w:rFonts w:ascii="等线" w:eastAsia="等线" w:hAnsi="等线" w:cs="Times New Roman"/>
      <w:color w:val="auto"/>
      <w:szCs w:val="22"/>
    </w:rPr>
  </w:style>
  <w:style w:type="paragraph" w:styleId="42">
    <w:name w:val="index 4"/>
    <w:basedOn w:val="a"/>
    <w:next w:val="a"/>
    <w:uiPriority w:val="99"/>
    <w:unhideWhenUsed/>
    <w:qFormat/>
    <w:rsid w:val="005B4F9C"/>
    <w:pPr>
      <w:tabs>
        <w:tab w:val="clear" w:pos="420"/>
      </w:tabs>
      <w:spacing w:line="240" w:lineRule="auto"/>
      <w:ind w:left="840" w:firstLineChars="0" w:hanging="210"/>
    </w:pPr>
    <w:rPr>
      <w:rFonts w:ascii="等线" w:eastAsia="等线" w:hAnsi="等线" w:cs="Times New Roman"/>
      <w:color w:val="auto"/>
      <w:szCs w:val="22"/>
    </w:rPr>
  </w:style>
  <w:style w:type="paragraph" w:styleId="32">
    <w:name w:val="index 3"/>
    <w:basedOn w:val="a"/>
    <w:next w:val="a"/>
    <w:uiPriority w:val="99"/>
    <w:unhideWhenUsed/>
    <w:qFormat/>
    <w:rsid w:val="005B4F9C"/>
    <w:pPr>
      <w:tabs>
        <w:tab w:val="clear" w:pos="420"/>
      </w:tabs>
      <w:spacing w:line="240" w:lineRule="auto"/>
      <w:ind w:left="630" w:firstLineChars="0" w:hanging="210"/>
    </w:pPr>
    <w:rPr>
      <w:rFonts w:ascii="等线" w:eastAsia="等线" w:hAnsi="等线" w:cs="Times New Roman"/>
      <w:color w:val="auto"/>
      <w:szCs w:val="22"/>
    </w:rPr>
  </w:style>
  <w:style w:type="paragraph" w:styleId="19">
    <w:name w:val="index 1"/>
    <w:basedOn w:val="a"/>
    <w:next w:val="a"/>
    <w:autoRedefine/>
    <w:uiPriority w:val="99"/>
    <w:unhideWhenUsed/>
    <w:qFormat/>
    <w:rsid w:val="005B4F9C"/>
    <w:pPr>
      <w:tabs>
        <w:tab w:val="clear" w:pos="420"/>
      </w:tabs>
      <w:ind w:firstLine="0"/>
    </w:pPr>
  </w:style>
  <w:style w:type="paragraph" w:styleId="afff4">
    <w:name w:val="index heading"/>
    <w:basedOn w:val="a"/>
    <w:next w:val="19"/>
    <w:uiPriority w:val="99"/>
    <w:unhideWhenUsed/>
    <w:qFormat/>
    <w:rsid w:val="005B4F9C"/>
    <w:pPr>
      <w:tabs>
        <w:tab w:val="clear" w:pos="420"/>
      </w:tabs>
      <w:spacing w:line="240" w:lineRule="auto"/>
      <w:ind w:firstLineChars="0" w:firstLine="0"/>
    </w:pPr>
    <w:rPr>
      <w:rFonts w:ascii="等线" w:eastAsia="等线" w:hAnsi="等线" w:cs="Times New Roman"/>
      <w:color w:val="auto"/>
      <w:szCs w:val="22"/>
    </w:rPr>
  </w:style>
  <w:style w:type="paragraph" w:styleId="72">
    <w:name w:val="index 7"/>
    <w:basedOn w:val="a"/>
    <w:next w:val="a"/>
    <w:uiPriority w:val="99"/>
    <w:unhideWhenUsed/>
    <w:qFormat/>
    <w:rsid w:val="005B4F9C"/>
    <w:pPr>
      <w:tabs>
        <w:tab w:val="clear" w:pos="420"/>
      </w:tabs>
      <w:spacing w:line="240" w:lineRule="auto"/>
      <w:ind w:left="1470" w:firstLineChars="0" w:hanging="210"/>
    </w:pPr>
    <w:rPr>
      <w:rFonts w:ascii="等线" w:eastAsia="等线" w:hAnsi="等线" w:cs="Times New Roman"/>
      <w:color w:val="auto"/>
      <w:szCs w:val="22"/>
    </w:rPr>
  </w:style>
  <w:style w:type="paragraph" w:styleId="91">
    <w:name w:val="index 9"/>
    <w:basedOn w:val="a"/>
    <w:next w:val="a"/>
    <w:uiPriority w:val="99"/>
    <w:unhideWhenUsed/>
    <w:qFormat/>
    <w:rsid w:val="005B4F9C"/>
    <w:pPr>
      <w:tabs>
        <w:tab w:val="clear" w:pos="420"/>
      </w:tabs>
      <w:spacing w:line="240" w:lineRule="auto"/>
      <w:ind w:left="1890" w:firstLineChars="0" w:hanging="210"/>
    </w:pPr>
    <w:rPr>
      <w:rFonts w:ascii="等线" w:eastAsia="等线" w:hAnsi="等线" w:cs="Times New Roman"/>
      <w:color w:val="auto"/>
      <w:szCs w:val="22"/>
    </w:rPr>
  </w:style>
  <w:style w:type="paragraph" w:styleId="22">
    <w:name w:val="index 2"/>
    <w:basedOn w:val="a"/>
    <w:next w:val="a"/>
    <w:uiPriority w:val="99"/>
    <w:unhideWhenUsed/>
    <w:qFormat/>
    <w:rsid w:val="005B4F9C"/>
    <w:pPr>
      <w:tabs>
        <w:tab w:val="clear" w:pos="420"/>
      </w:tabs>
      <w:spacing w:line="240" w:lineRule="auto"/>
      <w:ind w:left="420" w:firstLineChars="0" w:hanging="210"/>
    </w:pPr>
    <w:rPr>
      <w:rFonts w:ascii="等线" w:eastAsia="等线" w:hAnsi="等线" w:cs="Times New Roman"/>
      <w:color w:val="auto"/>
      <w:szCs w:val="22"/>
    </w:rPr>
  </w:style>
  <w:style w:type="table" w:customStyle="1" w:styleId="23">
    <w:name w:val="网格型2"/>
    <w:basedOn w:val="a1"/>
    <w:next w:val="aff1"/>
    <w:uiPriority w:val="59"/>
    <w:qFormat/>
    <w:rsid w:val="005B4F9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列表段落1"/>
    <w:basedOn w:val="a"/>
    <w:uiPriority w:val="34"/>
    <w:qFormat/>
    <w:rsid w:val="005B4F9C"/>
    <w:pPr>
      <w:tabs>
        <w:tab w:val="clear" w:pos="420"/>
      </w:tabs>
      <w:spacing w:line="240" w:lineRule="auto"/>
      <w:ind w:firstLine="420"/>
    </w:pPr>
    <w:rPr>
      <w:rFonts w:ascii="Calibri" w:eastAsia="宋体" w:hAnsi="Calibri" w:cs="Times New Roman"/>
      <w:color w:val="auto"/>
      <w:szCs w:val="22"/>
    </w:rPr>
  </w:style>
  <w:style w:type="table" w:customStyle="1" w:styleId="110">
    <w:name w:val="网格型11"/>
    <w:basedOn w:val="a1"/>
    <w:uiPriority w:val="59"/>
    <w:qFormat/>
    <w:rsid w:val="005B4F9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uiPriority w:val="99"/>
    <w:semiHidden/>
    <w:qFormat/>
    <w:rsid w:val="005B4F9C"/>
    <w:rPr>
      <w:rFonts w:ascii="宋体" w:eastAsia="宋体" w:hAnsi="Courier New" w:cs="Courier New"/>
      <w:szCs w:val="21"/>
    </w:rPr>
  </w:style>
  <w:style w:type="table" w:customStyle="1" w:styleId="210">
    <w:name w:val="网格型21"/>
    <w:basedOn w:val="a1"/>
    <w:uiPriority w:val="39"/>
    <w:qFormat/>
    <w:rsid w:val="005B4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sid w:val="005B4F9C"/>
    <w:rPr>
      <w:rFonts w:ascii="等线" w:eastAsia="等线" w:hAnsi="等线"/>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BD89-0C10-4519-97A5-E1F99C13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binyang wang</dc:creator>
  <cp:keywords/>
  <dc:description/>
  <cp:lastModifiedBy>斌洋 王</cp:lastModifiedBy>
  <cp:revision>7</cp:revision>
  <dcterms:created xsi:type="dcterms:W3CDTF">2025-05-02T13:56:00Z</dcterms:created>
  <dcterms:modified xsi:type="dcterms:W3CDTF">2025-05-23T14:38:00Z</dcterms:modified>
</cp:coreProperties>
</file>