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DCDF3" w14:textId="521CFBD7" w:rsidR="00FB5856" w:rsidRDefault="00FB5856" w:rsidP="00FB5856">
      <w:pPr>
        <w:pStyle w:val="1"/>
        <w:spacing w:before="0" w:line="240" w:lineRule="auto"/>
        <w:rPr>
          <w:rFonts w:ascii="宋体" w:eastAsia="宋体" w:hAnsi="宋体" w:hint="eastAsia"/>
          <w:b/>
          <w:bCs w:val="0"/>
          <w:color w:val="auto"/>
          <w:sz w:val="22"/>
          <w:szCs w:val="22"/>
        </w:rPr>
      </w:pPr>
      <w:bookmarkStart w:id="0" w:name="_Toc4844157"/>
      <w:bookmarkStart w:id="1" w:name="_Toc64384736"/>
      <w:bookmarkStart w:id="2" w:name="_Toc126331829"/>
      <w:r w:rsidRPr="0055777C">
        <w:rPr>
          <w:rFonts w:ascii="宋体" w:eastAsia="宋体" w:hAnsi="宋体" w:hint="eastAsia"/>
          <w:b/>
          <w:bCs w:val="0"/>
          <w:color w:val="auto"/>
          <w:sz w:val="22"/>
          <w:szCs w:val="22"/>
        </w:rPr>
        <w:t>考点</w:t>
      </w:r>
      <w:r>
        <w:rPr>
          <w:rFonts w:ascii="宋体" w:eastAsia="宋体" w:hAnsi="宋体" w:hint="eastAsia"/>
          <w:b/>
          <w:bCs w:val="0"/>
          <w:color w:val="auto"/>
          <w:sz w:val="22"/>
          <w:szCs w:val="22"/>
        </w:rPr>
        <w:t>56</w:t>
      </w:r>
      <w:r w:rsidRPr="0055777C">
        <w:rPr>
          <w:rFonts w:ascii="宋体" w:eastAsia="宋体" w:hAnsi="宋体" w:hint="eastAsia"/>
          <w:b/>
          <w:bCs w:val="0"/>
          <w:color w:val="auto"/>
          <w:sz w:val="22"/>
          <w:szCs w:val="22"/>
        </w:rPr>
        <w:t xml:space="preserve">  提起审判监督程序的主体和方式（</w:t>
      </w:r>
      <w:r>
        <w:rPr>
          <w:rFonts w:ascii="宋体" w:eastAsia="宋体" w:hAnsi="宋体"/>
          <w:b/>
          <w:bCs w:val="0"/>
          <w:color w:val="auto"/>
          <w:sz w:val="22"/>
          <w:szCs w:val="22"/>
        </w:rPr>
        <w:t>1</w:t>
      </w:r>
      <w:r w:rsidR="00020102">
        <w:rPr>
          <w:rFonts w:ascii="宋体" w:eastAsia="宋体" w:hAnsi="宋体" w:hint="eastAsia"/>
          <w:b/>
          <w:bCs w:val="0"/>
          <w:color w:val="auto"/>
          <w:sz w:val="22"/>
          <w:szCs w:val="22"/>
        </w:rPr>
        <w:t>9</w:t>
      </w:r>
      <w:r w:rsidRPr="0055777C">
        <w:rPr>
          <w:rFonts w:ascii="宋体" w:eastAsia="宋体" w:hAnsi="宋体"/>
          <w:b/>
          <w:bCs w:val="0"/>
          <w:color w:val="auto"/>
          <w:sz w:val="22"/>
          <w:szCs w:val="22"/>
        </w:rPr>
        <w:t>:</w:t>
      </w:r>
      <w:r>
        <w:rPr>
          <w:rFonts w:ascii="宋体" w:eastAsia="宋体" w:hAnsi="宋体"/>
          <w:b/>
          <w:bCs w:val="0"/>
          <w:color w:val="auto"/>
          <w:sz w:val="22"/>
          <w:szCs w:val="22"/>
        </w:rPr>
        <w:t>3</w:t>
      </w:r>
      <w:r w:rsidR="00020102">
        <w:rPr>
          <w:rFonts w:ascii="宋体" w:eastAsia="宋体" w:hAnsi="宋体" w:hint="eastAsia"/>
          <w:b/>
          <w:bCs w:val="0"/>
          <w:color w:val="auto"/>
          <w:sz w:val="22"/>
          <w:szCs w:val="22"/>
        </w:rPr>
        <w:t>0</w:t>
      </w:r>
      <w:r w:rsidRPr="0055777C">
        <w:rPr>
          <w:rFonts w:ascii="宋体" w:eastAsia="宋体" w:hAnsi="宋体"/>
          <w:b/>
          <w:bCs w:val="0"/>
          <w:color w:val="auto"/>
          <w:sz w:val="22"/>
          <w:szCs w:val="22"/>
        </w:rPr>
        <w:t>:00-</w:t>
      </w:r>
      <w:r w:rsidR="00E83C04">
        <w:rPr>
          <w:rFonts w:ascii="宋体" w:eastAsia="宋体" w:hAnsi="宋体" w:hint="eastAsia"/>
          <w:b/>
          <w:bCs w:val="0"/>
          <w:color w:val="auto"/>
          <w:sz w:val="22"/>
          <w:szCs w:val="22"/>
        </w:rPr>
        <w:t>20</w:t>
      </w:r>
      <w:r w:rsidRPr="0055777C">
        <w:rPr>
          <w:rFonts w:ascii="宋体" w:eastAsia="宋体" w:hAnsi="宋体"/>
          <w:b/>
          <w:bCs w:val="0"/>
          <w:color w:val="auto"/>
          <w:sz w:val="22"/>
          <w:szCs w:val="22"/>
        </w:rPr>
        <w:t>:</w:t>
      </w:r>
      <w:r w:rsidR="00E83C04">
        <w:rPr>
          <w:rFonts w:ascii="宋体" w:eastAsia="宋体" w:hAnsi="宋体" w:hint="eastAsia"/>
          <w:b/>
          <w:bCs w:val="0"/>
          <w:color w:val="auto"/>
          <w:sz w:val="22"/>
          <w:szCs w:val="22"/>
        </w:rPr>
        <w:t>16</w:t>
      </w:r>
      <w:r w:rsidRPr="0055777C">
        <w:rPr>
          <w:rFonts w:ascii="宋体" w:eastAsia="宋体" w:hAnsi="宋体"/>
          <w:b/>
          <w:bCs w:val="0"/>
          <w:color w:val="auto"/>
          <w:sz w:val="22"/>
          <w:szCs w:val="22"/>
        </w:rPr>
        <w:t>:00）</w:t>
      </w:r>
    </w:p>
    <w:p w14:paraId="59D2ABA8" w14:textId="77777777" w:rsidR="00FB5856" w:rsidRPr="003E5E60" w:rsidRDefault="00FB5856" w:rsidP="00FB5856">
      <w:pPr>
        <w:pStyle w:val="3"/>
        <w:spacing w:line="240" w:lineRule="auto"/>
        <w:ind w:firstLineChars="200" w:firstLine="422"/>
        <w:rPr>
          <w:rFonts w:eastAsia="宋体" w:hint="eastAsia"/>
          <w:b/>
          <w:bCs/>
          <w:color w:val="auto"/>
          <w:sz w:val="21"/>
        </w:rPr>
      </w:pPr>
      <w:r w:rsidRPr="003E5E60">
        <w:rPr>
          <w:rFonts w:eastAsia="宋体" w:hint="eastAsia"/>
          <w:b/>
          <w:bCs/>
          <w:color w:val="auto"/>
          <w:sz w:val="21"/>
        </w:rPr>
        <w:t>（破题的关键是找准原生效裁判到底是哪个法院通过何种程序作出的）（解题的关键是哪个法院现在按照何种程序来重审此案）</w:t>
      </w:r>
    </w:p>
    <w:p w14:paraId="021037B5" w14:textId="77777777" w:rsidR="00FB5856" w:rsidRPr="0011134B" w:rsidRDefault="00FB5856" w:rsidP="00FB5856">
      <w:pPr>
        <w:pStyle w:val="3"/>
        <w:spacing w:line="240" w:lineRule="auto"/>
        <w:ind w:firstLineChars="200" w:firstLine="420"/>
        <w:rPr>
          <w:rFonts w:eastAsia="宋体" w:hint="eastAsia"/>
          <w:color w:val="FF0000"/>
          <w:sz w:val="21"/>
        </w:rPr>
      </w:pPr>
      <w:bookmarkStart w:id="3" w:name="_Toc510879156"/>
      <w:r w:rsidRPr="0055777C">
        <w:rPr>
          <w:rFonts w:eastAsia="宋体" w:hint="eastAsia"/>
          <w:sz w:val="21"/>
        </w:rPr>
        <w:t>一、提起审判监督程序的主体和方式</w:t>
      </w:r>
      <w:bookmarkEnd w:id="3"/>
    </w:p>
    <w:p w14:paraId="4335CEE7" w14:textId="77777777" w:rsidR="00FB5856" w:rsidRPr="009E3BE5" w:rsidRDefault="00FB5856" w:rsidP="00FB5856">
      <w:pPr>
        <w:spacing w:line="240" w:lineRule="auto"/>
        <w:ind w:firstLine="420"/>
        <w:rPr>
          <w:rFonts w:eastAsia="宋体" w:hint="eastAsia"/>
          <w:color w:val="auto"/>
        </w:rPr>
      </w:pPr>
      <w:r w:rsidRPr="009E3BE5">
        <w:rPr>
          <w:rFonts w:eastAsia="宋体" w:hint="eastAsia"/>
          <w:color w:val="auto"/>
        </w:rPr>
        <w:t>（1）各级法院院长经提交审委会讨论决定本院生效裁判的再审。（2）最高人民法院对各级法院生效裁判、上级人民法院对</w:t>
      </w:r>
      <w:r w:rsidRPr="009E3BE5">
        <w:rPr>
          <w:rFonts w:eastAsia="宋体"/>
          <w:color w:val="auto"/>
        </w:rPr>
        <w:t>下级法院生效裁判</w:t>
      </w:r>
      <w:r w:rsidRPr="009E3BE5">
        <w:rPr>
          <w:rFonts w:eastAsia="宋体" w:hint="eastAsia"/>
          <w:color w:val="auto"/>
        </w:rPr>
        <w:t>可以指令再审或决定提审。（3）最高人民检察院对各级法院生效裁判、上级人民检察院对下级法院生效裁判可以提出抗诉</w:t>
      </w:r>
      <w:bookmarkStart w:id="4" w:name="_Toc510879157"/>
    </w:p>
    <w:p w14:paraId="024F5DF3" w14:textId="77777777" w:rsidR="00FB5856" w:rsidRDefault="00FB5856" w:rsidP="00FB5856">
      <w:pPr>
        <w:spacing w:line="240" w:lineRule="auto"/>
        <w:ind w:firstLine="420"/>
        <w:rPr>
          <w:rFonts w:eastAsia="宋体" w:hint="eastAsia"/>
        </w:rPr>
      </w:pPr>
      <w:r w:rsidRPr="0055777C">
        <w:rPr>
          <w:rFonts w:eastAsia="宋体" w:hint="eastAsia"/>
        </w:rPr>
        <w:t>二、提出抗诉</w:t>
      </w:r>
      <w:bookmarkEnd w:id="4"/>
    </w:p>
    <w:p w14:paraId="39D3D838" w14:textId="77777777" w:rsidR="00FB5856" w:rsidRDefault="00FB5856" w:rsidP="00FB5856">
      <w:pPr>
        <w:spacing w:line="240" w:lineRule="auto"/>
        <w:ind w:firstLine="420"/>
        <w:rPr>
          <w:rFonts w:eastAsia="宋体" w:hint="eastAsia"/>
        </w:rPr>
      </w:pPr>
      <w:r w:rsidRPr="0055777C">
        <w:rPr>
          <w:rFonts w:eastAsia="宋体" w:hint="eastAsia"/>
        </w:rPr>
        <w:t>（一）对抗诉的程序性审查及处理</w:t>
      </w:r>
    </w:p>
    <w:p w14:paraId="0F1AA4E1" w14:textId="77777777" w:rsidR="00FB5856" w:rsidRDefault="00FB5856" w:rsidP="00FB5856">
      <w:pPr>
        <w:spacing w:line="240" w:lineRule="auto"/>
        <w:ind w:firstLine="420"/>
        <w:rPr>
          <w:rFonts w:eastAsia="宋体" w:hint="eastAsia"/>
        </w:rPr>
      </w:pPr>
      <w:r w:rsidRPr="0055777C">
        <w:rPr>
          <w:rFonts w:eastAsia="宋体" w:hint="eastAsia"/>
        </w:rPr>
        <w:t>（二）</w:t>
      </w:r>
      <w:r w:rsidRPr="0055777C">
        <w:rPr>
          <w:rFonts w:eastAsia="宋体"/>
        </w:rPr>
        <w:t>接受抗诉的人民法院应当组成</w:t>
      </w:r>
      <w:r w:rsidRPr="00E14DAA">
        <w:rPr>
          <w:rFonts w:eastAsia="宋体"/>
          <w:color w:val="FF0000"/>
        </w:rPr>
        <w:t>合议庭</w:t>
      </w:r>
      <w:r w:rsidRPr="0055777C">
        <w:rPr>
          <w:rFonts w:eastAsia="宋体"/>
        </w:rPr>
        <w:t>重新审理</w:t>
      </w:r>
      <w:r w:rsidRPr="0055777C">
        <w:rPr>
          <w:rFonts w:eastAsia="宋体" w:hint="eastAsia"/>
        </w:rPr>
        <w:t>，对于原判决事实不清楚或者证据不足的可以指令下级人民法院再审</w:t>
      </w:r>
      <w:bookmarkStart w:id="5" w:name="_Toc510879158"/>
    </w:p>
    <w:p w14:paraId="0C340FA0" w14:textId="77777777" w:rsidR="00FB5856" w:rsidRDefault="00FB5856" w:rsidP="00FB5856">
      <w:pPr>
        <w:spacing w:line="240" w:lineRule="auto"/>
        <w:ind w:firstLine="420"/>
        <w:rPr>
          <w:rFonts w:eastAsia="宋体" w:hint="eastAsia"/>
        </w:rPr>
      </w:pPr>
      <w:r w:rsidRPr="0055777C">
        <w:rPr>
          <w:rFonts w:eastAsia="宋体" w:hint="eastAsia"/>
        </w:rPr>
        <w:t>三、指令再审</w:t>
      </w:r>
      <w:bookmarkEnd w:id="5"/>
    </w:p>
    <w:p w14:paraId="44483654" w14:textId="77777777" w:rsidR="00FB5856" w:rsidRDefault="00FB5856" w:rsidP="00FB5856">
      <w:pPr>
        <w:spacing w:line="240" w:lineRule="auto"/>
        <w:ind w:firstLine="420"/>
        <w:rPr>
          <w:rFonts w:eastAsia="宋体" w:hint="eastAsia"/>
        </w:rPr>
      </w:pPr>
      <w:r w:rsidRPr="0055777C">
        <w:rPr>
          <w:rFonts w:eastAsia="宋体" w:hint="eastAsia"/>
        </w:rPr>
        <w:t>上级人民法院指令下级人民法院再审的</w:t>
      </w:r>
      <w:r w:rsidRPr="0055777C">
        <w:rPr>
          <w:rFonts w:eastAsia="宋体" w:hint="eastAsia"/>
          <w:color w:val="FF0000"/>
        </w:rPr>
        <w:t>，一般应当指令原审人民法院以外的下级人民法院审理</w:t>
      </w:r>
      <w:r w:rsidRPr="0055777C">
        <w:rPr>
          <w:rFonts w:eastAsia="宋体" w:hint="eastAsia"/>
        </w:rPr>
        <w:t>；</w:t>
      </w:r>
      <w:r w:rsidRPr="0055777C">
        <w:rPr>
          <w:rFonts w:eastAsia="宋体" w:hint="eastAsia"/>
          <w:color w:val="FF0000"/>
        </w:rPr>
        <w:t>由原审人民法院审理更有利于查明案件事实、纠正裁判错误的，可以指令原审人民法院审理</w:t>
      </w:r>
      <w:r w:rsidRPr="0055777C">
        <w:rPr>
          <w:rFonts w:eastAsia="宋体" w:hint="eastAsia"/>
        </w:rPr>
        <w:t>。</w:t>
      </w:r>
    </w:p>
    <w:p w14:paraId="2159201D" w14:textId="77777777" w:rsidR="00FB5856" w:rsidRDefault="00FB5856" w:rsidP="00FB5856">
      <w:pPr>
        <w:spacing w:line="240" w:lineRule="auto"/>
        <w:ind w:firstLine="420"/>
        <w:rPr>
          <w:rFonts w:eastAsia="宋体" w:hint="eastAsia"/>
        </w:rPr>
      </w:pPr>
      <w:r w:rsidRPr="0055777C">
        <w:rPr>
          <w:rFonts w:eastAsia="宋体" w:hint="eastAsia"/>
        </w:rPr>
        <w:t>对于指令再审的案件，如果</w:t>
      </w:r>
      <w:r w:rsidRPr="0055777C">
        <w:rPr>
          <w:rFonts w:eastAsia="宋体" w:hint="eastAsia"/>
          <w:color w:val="FF0000"/>
        </w:rPr>
        <w:t>原来是第一审案件</w:t>
      </w:r>
      <w:r w:rsidRPr="0055777C">
        <w:rPr>
          <w:rFonts w:eastAsia="宋体" w:hint="eastAsia"/>
        </w:rPr>
        <w:t>，接受抗诉的人民法院应当</w:t>
      </w:r>
      <w:r w:rsidRPr="0055777C">
        <w:rPr>
          <w:rFonts w:eastAsia="宋体" w:hint="eastAsia"/>
          <w:color w:val="FF0000"/>
        </w:rPr>
        <w:t>指令第一审人民法院依照第一审程序进行审判</w:t>
      </w:r>
      <w:r w:rsidRPr="0055777C">
        <w:rPr>
          <w:rFonts w:eastAsia="宋体" w:hint="eastAsia"/>
        </w:rPr>
        <w:t>，所作的判决、裁定，可以上诉、抗诉；如果</w:t>
      </w:r>
      <w:r w:rsidRPr="0055777C">
        <w:rPr>
          <w:rFonts w:eastAsia="宋体" w:hint="eastAsia"/>
          <w:color w:val="FF0000"/>
        </w:rPr>
        <w:t>原来是第二审案件</w:t>
      </w:r>
      <w:r w:rsidRPr="0055777C">
        <w:rPr>
          <w:rFonts w:eastAsia="宋体" w:hint="eastAsia"/>
        </w:rPr>
        <w:t>，接受抗诉的人民法院应当</w:t>
      </w:r>
      <w:r w:rsidRPr="0055777C">
        <w:rPr>
          <w:rFonts w:eastAsia="宋体" w:hint="eastAsia"/>
          <w:color w:val="FF0000"/>
        </w:rPr>
        <w:t>指令第二审人民法院依照第二审程序进行审判</w:t>
      </w:r>
      <w:r w:rsidRPr="0055777C">
        <w:rPr>
          <w:rFonts w:eastAsia="宋体" w:hint="eastAsia"/>
        </w:rPr>
        <w:t>，所作的判决、裁定，是终审的判决、裁定。</w:t>
      </w:r>
      <w:bookmarkStart w:id="6" w:name="_Toc510879159"/>
    </w:p>
    <w:p w14:paraId="7331CC14" w14:textId="77777777" w:rsidR="00FB5856" w:rsidRDefault="00FB5856" w:rsidP="00FB5856">
      <w:pPr>
        <w:spacing w:line="240" w:lineRule="auto"/>
        <w:ind w:firstLine="420"/>
        <w:rPr>
          <w:rFonts w:eastAsia="宋体" w:hint="eastAsia"/>
        </w:rPr>
      </w:pPr>
      <w:r w:rsidRPr="0055777C">
        <w:rPr>
          <w:rFonts w:eastAsia="宋体" w:hint="eastAsia"/>
        </w:rPr>
        <w:t>四、决定提审</w:t>
      </w:r>
      <w:bookmarkEnd w:id="6"/>
    </w:p>
    <w:p w14:paraId="586F0969" w14:textId="77777777" w:rsidR="00FB5856" w:rsidRDefault="00FB5856" w:rsidP="00FB5856">
      <w:pPr>
        <w:spacing w:line="240" w:lineRule="auto"/>
        <w:ind w:firstLine="420"/>
        <w:rPr>
          <w:rFonts w:eastAsia="宋体" w:hint="eastAsia"/>
        </w:rPr>
      </w:pPr>
      <w:r w:rsidRPr="0055777C">
        <w:rPr>
          <w:rFonts w:eastAsia="宋体" w:hint="eastAsia"/>
        </w:rPr>
        <w:t>上级人民法院发现下级人民法院已经发生法律效力的判决、裁定</w:t>
      </w:r>
      <w:r w:rsidRPr="0055777C">
        <w:rPr>
          <w:rFonts w:eastAsia="宋体" w:hint="eastAsia"/>
          <w:color w:val="FF0000"/>
        </w:rPr>
        <w:t>认定事实正确但适用法律错误</w:t>
      </w:r>
      <w:r w:rsidRPr="0055777C">
        <w:rPr>
          <w:rFonts w:eastAsia="宋体" w:hint="eastAsia"/>
        </w:rPr>
        <w:t>，或者</w:t>
      </w:r>
      <w:r w:rsidRPr="0055777C">
        <w:rPr>
          <w:rFonts w:eastAsia="宋体" w:hint="eastAsia"/>
          <w:color w:val="FF0000"/>
        </w:rPr>
        <w:t>案件疑难、复杂、重大</w:t>
      </w:r>
      <w:r w:rsidRPr="0055777C">
        <w:rPr>
          <w:rFonts w:eastAsia="宋体" w:hint="eastAsia"/>
        </w:rPr>
        <w:t>，或者有</w:t>
      </w:r>
      <w:r w:rsidRPr="0055777C">
        <w:rPr>
          <w:rFonts w:eastAsia="宋体" w:hint="eastAsia"/>
          <w:color w:val="FF0000"/>
        </w:rPr>
        <w:t>不宜由原审人民法院审理</w:t>
      </w:r>
      <w:r w:rsidRPr="0055777C">
        <w:rPr>
          <w:rFonts w:eastAsia="宋体" w:hint="eastAsia"/>
        </w:rPr>
        <w:t>情形的，也可以提审。</w:t>
      </w:r>
    </w:p>
    <w:p w14:paraId="36C8DB95" w14:textId="6BB9DFFD" w:rsidR="00FB5856" w:rsidRPr="0055777C" w:rsidRDefault="00FB5856" w:rsidP="00FB5856">
      <w:pPr>
        <w:pStyle w:val="1"/>
        <w:spacing w:before="0" w:line="240" w:lineRule="auto"/>
        <w:rPr>
          <w:rFonts w:ascii="宋体" w:eastAsia="宋体" w:hAnsi="宋体" w:hint="eastAsia"/>
          <w:b/>
          <w:bCs w:val="0"/>
          <w:color w:val="auto"/>
          <w:sz w:val="22"/>
          <w:szCs w:val="22"/>
        </w:rPr>
      </w:pPr>
      <w:bookmarkStart w:id="7" w:name="_Toc4844154"/>
      <w:bookmarkStart w:id="8" w:name="_Toc510879160"/>
      <w:bookmarkStart w:id="9" w:name="_Toc64384732"/>
      <w:bookmarkStart w:id="10" w:name="_Toc126331825"/>
      <w:r w:rsidRPr="0055777C">
        <w:rPr>
          <w:rFonts w:ascii="宋体" w:eastAsia="宋体" w:hAnsi="宋体" w:hint="eastAsia"/>
          <w:b/>
          <w:bCs w:val="0"/>
          <w:color w:val="auto"/>
          <w:sz w:val="22"/>
          <w:szCs w:val="22"/>
        </w:rPr>
        <w:t>考点</w:t>
      </w:r>
      <w:r>
        <w:rPr>
          <w:rFonts w:ascii="宋体" w:eastAsia="宋体" w:hAnsi="宋体" w:hint="eastAsia"/>
          <w:b/>
          <w:bCs w:val="0"/>
          <w:color w:val="auto"/>
          <w:sz w:val="22"/>
          <w:szCs w:val="22"/>
        </w:rPr>
        <w:t>57</w:t>
      </w:r>
      <w:r w:rsidRPr="0055777C">
        <w:rPr>
          <w:rFonts w:ascii="宋体" w:eastAsia="宋体" w:hAnsi="宋体" w:hint="eastAsia"/>
          <w:b/>
          <w:bCs w:val="0"/>
          <w:color w:val="auto"/>
          <w:sz w:val="22"/>
          <w:szCs w:val="22"/>
        </w:rPr>
        <w:t xml:space="preserve">  重新审判的程序和审判后的处理</w:t>
      </w:r>
      <w:bookmarkEnd w:id="7"/>
      <w:bookmarkEnd w:id="8"/>
      <w:bookmarkEnd w:id="9"/>
      <w:bookmarkEnd w:id="10"/>
      <w:r w:rsidRPr="0055777C">
        <w:rPr>
          <w:rFonts w:ascii="宋体" w:eastAsia="宋体" w:hAnsi="宋体" w:hint="eastAsia"/>
          <w:b/>
          <w:bCs w:val="0"/>
          <w:color w:val="auto"/>
          <w:sz w:val="22"/>
          <w:szCs w:val="22"/>
        </w:rPr>
        <w:t>（</w:t>
      </w:r>
      <w:r w:rsidR="00E83C04">
        <w:rPr>
          <w:rFonts w:ascii="宋体" w:eastAsia="宋体" w:hAnsi="宋体" w:hint="eastAsia"/>
          <w:b/>
          <w:bCs w:val="0"/>
          <w:color w:val="auto"/>
          <w:sz w:val="22"/>
          <w:szCs w:val="22"/>
        </w:rPr>
        <w:t>20</w:t>
      </w:r>
      <w:r w:rsidRPr="0055777C">
        <w:rPr>
          <w:rFonts w:ascii="宋体" w:eastAsia="宋体" w:hAnsi="宋体"/>
          <w:b/>
          <w:bCs w:val="0"/>
          <w:color w:val="auto"/>
          <w:sz w:val="22"/>
          <w:szCs w:val="22"/>
        </w:rPr>
        <w:t>:</w:t>
      </w:r>
      <w:r w:rsidR="00E83C04">
        <w:rPr>
          <w:rFonts w:ascii="宋体" w:eastAsia="宋体" w:hAnsi="宋体" w:hint="eastAsia"/>
          <w:b/>
          <w:bCs w:val="0"/>
          <w:color w:val="auto"/>
          <w:sz w:val="22"/>
          <w:szCs w:val="22"/>
        </w:rPr>
        <w:t>26</w:t>
      </w:r>
      <w:r w:rsidRPr="0055777C">
        <w:rPr>
          <w:rFonts w:ascii="宋体" w:eastAsia="宋体" w:hAnsi="宋体"/>
          <w:b/>
          <w:bCs w:val="0"/>
          <w:color w:val="auto"/>
          <w:sz w:val="22"/>
          <w:szCs w:val="22"/>
        </w:rPr>
        <w:t>:00-</w:t>
      </w:r>
      <w:r w:rsidR="00142D6F">
        <w:rPr>
          <w:rFonts w:ascii="宋体" w:eastAsia="宋体" w:hAnsi="宋体" w:hint="eastAsia"/>
          <w:b/>
          <w:bCs w:val="0"/>
          <w:color w:val="auto"/>
          <w:sz w:val="22"/>
          <w:szCs w:val="22"/>
        </w:rPr>
        <w:t>20</w:t>
      </w:r>
      <w:r w:rsidRPr="0055777C">
        <w:rPr>
          <w:rFonts w:ascii="宋体" w:eastAsia="宋体" w:hAnsi="宋体"/>
          <w:b/>
          <w:bCs w:val="0"/>
          <w:color w:val="auto"/>
          <w:sz w:val="22"/>
          <w:szCs w:val="22"/>
        </w:rPr>
        <w:t>:</w:t>
      </w:r>
      <w:r w:rsidR="00142D6F">
        <w:rPr>
          <w:rFonts w:ascii="宋体" w:eastAsia="宋体" w:hAnsi="宋体" w:hint="eastAsia"/>
          <w:b/>
          <w:bCs w:val="0"/>
          <w:color w:val="auto"/>
          <w:sz w:val="22"/>
          <w:szCs w:val="22"/>
        </w:rPr>
        <w:t>44</w:t>
      </w:r>
      <w:r w:rsidRPr="0055777C">
        <w:rPr>
          <w:rFonts w:ascii="宋体" w:eastAsia="宋体" w:hAnsi="宋体"/>
          <w:b/>
          <w:bCs w:val="0"/>
          <w:color w:val="auto"/>
          <w:sz w:val="22"/>
          <w:szCs w:val="22"/>
        </w:rPr>
        <w:t>:00）</w:t>
      </w:r>
    </w:p>
    <w:p w14:paraId="529CC62F" w14:textId="77777777" w:rsidR="00FB5856" w:rsidRPr="0055777C" w:rsidRDefault="00FB5856" w:rsidP="00FB5856">
      <w:pPr>
        <w:pStyle w:val="3"/>
        <w:spacing w:line="240" w:lineRule="auto"/>
        <w:ind w:firstLineChars="200" w:firstLine="420"/>
        <w:rPr>
          <w:rFonts w:eastAsia="宋体" w:hint="eastAsia"/>
          <w:sz w:val="21"/>
        </w:rPr>
      </w:pPr>
      <w:bookmarkStart w:id="11" w:name="_Toc510879162"/>
      <w:r>
        <w:rPr>
          <w:rFonts w:eastAsia="宋体" w:hint="eastAsia"/>
          <w:sz w:val="21"/>
        </w:rPr>
        <w:t>一</w:t>
      </w:r>
      <w:r w:rsidRPr="0055777C">
        <w:rPr>
          <w:rFonts w:eastAsia="宋体" w:hint="eastAsia"/>
          <w:sz w:val="21"/>
        </w:rPr>
        <w:t>、中止执行与强制措施</w:t>
      </w:r>
      <w:bookmarkEnd w:id="11"/>
    </w:p>
    <w:p w14:paraId="636BD7DB" w14:textId="77777777" w:rsidR="00FB5856" w:rsidRPr="0055777C" w:rsidRDefault="00FB5856" w:rsidP="00FB5856">
      <w:pPr>
        <w:spacing w:line="240" w:lineRule="auto"/>
        <w:ind w:firstLine="420"/>
        <w:rPr>
          <w:rFonts w:eastAsia="宋体" w:hint="eastAsia"/>
        </w:rPr>
      </w:pPr>
      <w:r w:rsidRPr="0055777C">
        <w:rPr>
          <w:rFonts w:eastAsia="宋体" w:hint="eastAsia"/>
        </w:rPr>
        <w:t>1．</w:t>
      </w:r>
      <w:r w:rsidRPr="0055777C">
        <w:rPr>
          <w:rFonts w:eastAsia="宋体" w:hint="eastAsia"/>
          <w:color w:val="FF0000"/>
        </w:rPr>
        <w:t>再审期间不停止原判决、裁定的执行</w:t>
      </w:r>
      <w:r w:rsidRPr="0055777C">
        <w:rPr>
          <w:rFonts w:eastAsia="宋体" w:hint="eastAsia"/>
        </w:rPr>
        <w:t>。</w:t>
      </w:r>
    </w:p>
    <w:p w14:paraId="3B44E425" w14:textId="77777777" w:rsidR="00FB5856" w:rsidRPr="0055777C" w:rsidRDefault="00FB5856" w:rsidP="00FB5856">
      <w:pPr>
        <w:spacing w:line="240" w:lineRule="auto"/>
        <w:ind w:firstLine="420"/>
        <w:rPr>
          <w:rFonts w:eastAsia="宋体" w:hint="eastAsia"/>
          <w:color w:val="FF0000"/>
        </w:rPr>
      </w:pPr>
      <w:r w:rsidRPr="0055777C">
        <w:rPr>
          <w:rFonts w:eastAsia="宋体" w:hint="eastAsia"/>
        </w:rPr>
        <w:t>2．</w:t>
      </w:r>
      <w:r w:rsidRPr="0055777C">
        <w:rPr>
          <w:rFonts w:eastAsia="宋体" w:hint="eastAsia"/>
          <w:color w:val="FF0000"/>
        </w:rPr>
        <w:t>可以决定中止执行的情形</w:t>
      </w:r>
    </w:p>
    <w:p w14:paraId="5CF13562" w14:textId="77777777" w:rsidR="00FB5856" w:rsidRPr="002E07A7" w:rsidRDefault="00FB5856" w:rsidP="00FB5856">
      <w:pPr>
        <w:spacing w:line="240" w:lineRule="auto"/>
        <w:ind w:firstLine="420"/>
        <w:rPr>
          <w:rFonts w:eastAsia="宋体" w:hint="eastAsia"/>
          <w:color w:val="auto"/>
        </w:rPr>
      </w:pPr>
      <w:r w:rsidRPr="002E07A7">
        <w:rPr>
          <w:rFonts w:eastAsia="宋体" w:hint="eastAsia"/>
          <w:color w:val="auto"/>
        </w:rPr>
        <w:t>（1）被告人可能经再审改判无罪（2）被告人可能经再审减轻原判刑罚而致刑期届满</w:t>
      </w:r>
    </w:p>
    <w:p w14:paraId="2C99D78E" w14:textId="77777777" w:rsidR="00FB5856" w:rsidRPr="002E07A7" w:rsidRDefault="00FB5856" w:rsidP="00FB5856">
      <w:pPr>
        <w:spacing w:line="240" w:lineRule="auto"/>
        <w:ind w:firstLine="420"/>
        <w:rPr>
          <w:rFonts w:eastAsia="宋体" w:hint="eastAsia"/>
          <w:color w:val="auto"/>
        </w:rPr>
      </w:pPr>
      <w:r w:rsidRPr="002E07A7">
        <w:rPr>
          <w:rFonts w:eastAsia="宋体" w:hint="eastAsia"/>
          <w:color w:val="auto"/>
        </w:rPr>
        <w:t>3．必要时，可以对被告人采取取保候审、监视居住措施。</w:t>
      </w:r>
    </w:p>
    <w:p w14:paraId="24EF2C18" w14:textId="77777777" w:rsidR="00FB5856" w:rsidRPr="002E07A7" w:rsidRDefault="00FB5856" w:rsidP="00FB5856">
      <w:pPr>
        <w:spacing w:line="240" w:lineRule="auto"/>
        <w:ind w:firstLine="420"/>
        <w:rPr>
          <w:rFonts w:eastAsia="宋体" w:hint="eastAsia"/>
          <w:color w:val="auto"/>
        </w:rPr>
      </w:pPr>
      <w:r w:rsidRPr="002E07A7">
        <w:rPr>
          <w:rFonts w:eastAsia="宋体" w:hint="eastAsia"/>
          <w:color w:val="auto"/>
        </w:rPr>
        <w:t>4．人民法院决定再审的案件，需要对被告人采取强制措施的，由人民法院依法决定；人民检察院提出抗诉的再审案件，需要对被告人采取强制措施的，由人民检察院依法决定。</w:t>
      </w:r>
    </w:p>
    <w:p w14:paraId="067B4F77" w14:textId="77777777" w:rsidR="00FB5856" w:rsidRPr="00E14DAA" w:rsidRDefault="00FB5856" w:rsidP="00FB5856">
      <w:pPr>
        <w:pStyle w:val="3"/>
        <w:spacing w:line="240" w:lineRule="auto"/>
        <w:ind w:firstLineChars="200" w:firstLine="420"/>
        <w:rPr>
          <w:rFonts w:eastAsia="宋体" w:hint="eastAsia"/>
          <w:sz w:val="21"/>
        </w:rPr>
      </w:pPr>
      <w:bookmarkStart w:id="12" w:name="_Toc510879163"/>
      <w:r>
        <w:rPr>
          <w:rFonts w:eastAsia="宋体" w:hint="eastAsia"/>
          <w:sz w:val="21"/>
        </w:rPr>
        <w:t>二</w:t>
      </w:r>
      <w:r w:rsidRPr="0055777C">
        <w:rPr>
          <w:rFonts w:eastAsia="宋体" w:hint="eastAsia"/>
          <w:sz w:val="21"/>
        </w:rPr>
        <w:t>、审理程序</w:t>
      </w:r>
      <w:bookmarkEnd w:id="12"/>
    </w:p>
    <w:p w14:paraId="43A44B4B" w14:textId="77777777" w:rsidR="00FB5856" w:rsidRPr="0055777C" w:rsidRDefault="00FB5856" w:rsidP="00FB5856">
      <w:pPr>
        <w:pStyle w:val="4"/>
        <w:spacing w:line="240" w:lineRule="auto"/>
        <w:ind w:firstLineChars="200" w:firstLine="420"/>
        <w:rPr>
          <w:rFonts w:ascii="宋体" w:eastAsia="宋体" w:hAnsi="宋体" w:hint="eastAsia"/>
          <w:sz w:val="21"/>
          <w:szCs w:val="21"/>
        </w:rPr>
      </w:pPr>
      <w:r w:rsidRPr="0055777C">
        <w:rPr>
          <w:rFonts w:ascii="宋体" w:eastAsia="宋体" w:hAnsi="宋体" w:hint="eastAsia"/>
          <w:sz w:val="21"/>
          <w:szCs w:val="21"/>
        </w:rPr>
        <w:t>（一）适用程序</w:t>
      </w:r>
    </w:p>
    <w:p w14:paraId="10E94587" w14:textId="77777777" w:rsidR="00FB5856" w:rsidRPr="002A046D" w:rsidRDefault="00FB5856" w:rsidP="00FB5856">
      <w:pPr>
        <w:spacing w:line="240" w:lineRule="auto"/>
        <w:ind w:firstLine="420"/>
        <w:jc w:val="left"/>
        <w:rPr>
          <w:rFonts w:eastAsia="宋体" w:hint="eastAsia"/>
          <w:color w:val="auto"/>
        </w:rPr>
      </w:pPr>
      <w:r w:rsidRPr="002A046D">
        <w:rPr>
          <w:rFonts w:eastAsia="宋体" w:hint="eastAsia"/>
          <w:color w:val="auto"/>
        </w:rPr>
        <w:t>如果原来是</w:t>
      </w:r>
      <w:r w:rsidRPr="008A56F5">
        <w:rPr>
          <w:rFonts w:eastAsia="宋体" w:hint="eastAsia"/>
          <w:color w:val="FF0000"/>
        </w:rPr>
        <w:t>第一审案件</w:t>
      </w:r>
      <w:r w:rsidRPr="002A046D">
        <w:rPr>
          <w:rFonts w:eastAsia="宋体" w:hint="eastAsia"/>
          <w:color w:val="auto"/>
        </w:rPr>
        <w:t>，应当依照第一审程序进行审判，所作的判决、裁定，可以上诉、抗诉；如果原来是第二审案件，或者是上级人民法院提审的案件，应当依照第二审程序进行审判，所作的判决、裁定，是终审的判决、裁定。</w:t>
      </w:r>
    </w:p>
    <w:p w14:paraId="601D183E" w14:textId="77777777" w:rsidR="00FB5856" w:rsidRPr="0055777C" w:rsidRDefault="00FB5856" w:rsidP="00FB5856">
      <w:pPr>
        <w:pStyle w:val="4"/>
        <w:spacing w:line="240" w:lineRule="auto"/>
        <w:ind w:firstLineChars="200" w:firstLine="420"/>
        <w:rPr>
          <w:rFonts w:ascii="宋体" w:eastAsia="宋体" w:hAnsi="宋体" w:hint="eastAsia"/>
          <w:sz w:val="21"/>
          <w:szCs w:val="21"/>
        </w:rPr>
      </w:pPr>
      <w:r w:rsidRPr="0055777C">
        <w:rPr>
          <w:rFonts w:ascii="宋体" w:eastAsia="宋体" w:hAnsi="宋体" w:hint="eastAsia"/>
          <w:sz w:val="21"/>
          <w:szCs w:val="21"/>
        </w:rPr>
        <w:t>（二）审理方式</w:t>
      </w:r>
    </w:p>
    <w:p w14:paraId="5737F84F" w14:textId="77777777" w:rsidR="00FB5856" w:rsidRPr="007D76DE" w:rsidRDefault="00FB5856" w:rsidP="00FB5856">
      <w:pPr>
        <w:spacing w:line="240" w:lineRule="auto"/>
        <w:ind w:firstLine="420"/>
        <w:jc w:val="left"/>
        <w:rPr>
          <w:rFonts w:eastAsia="宋体" w:hint="eastAsia"/>
        </w:rPr>
      </w:pPr>
      <w:r w:rsidRPr="0055777C">
        <w:rPr>
          <w:rFonts w:eastAsia="宋体" w:hint="eastAsia"/>
        </w:rPr>
        <w:t>原则上开庭审理。不开庭审理：</w:t>
      </w:r>
      <w:r w:rsidRPr="0055777C">
        <w:rPr>
          <w:rFonts w:eastAsia="宋体" w:hint="eastAsia"/>
          <w:color w:val="FF0000"/>
        </w:rPr>
        <w:t>对原审被告人、原审自诉人已经死亡或者丧失行为能力的再审案件，可以不开庭审理。</w:t>
      </w:r>
    </w:p>
    <w:p w14:paraId="193DDD39" w14:textId="77777777" w:rsidR="00FB5856" w:rsidRPr="0055777C" w:rsidRDefault="00FB5856" w:rsidP="00FB5856">
      <w:pPr>
        <w:pStyle w:val="4"/>
        <w:spacing w:line="240" w:lineRule="auto"/>
        <w:ind w:firstLineChars="200" w:firstLine="420"/>
        <w:rPr>
          <w:rFonts w:ascii="宋体" w:eastAsia="宋体" w:hAnsi="宋体" w:hint="eastAsia"/>
          <w:sz w:val="21"/>
          <w:szCs w:val="21"/>
        </w:rPr>
      </w:pPr>
      <w:r w:rsidRPr="0055777C">
        <w:rPr>
          <w:rFonts w:ascii="宋体" w:eastAsia="宋体" w:hAnsi="宋体" w:hint="eastAsia"/>
          <w:sz w:val="21"/>
          <w:szCs w:val="21"/>
        </w:rPr>
        <w:t>（三）参加人员</w:t>
      </w:r>
    </w:p>
    <w:p w14:paraId="755C841C" w14:textId="77777777" w:rsidR="00FB5856" w:rsidRPr="002A046D" w:rsidRDefault="00FB5856" w:rsidP="00FB5856">
      <w:pPr>
        <w:spacing w:line="240" w:lineRule="auto"/>
        <w:ind w:firstLine="420"/>
        <w:jc w:val="left"/>
        <w:rPr>
          <w:rFonts w:eastAsia="宋体" w:hint="eastAsia"/>
          <w:color w:val="auto"/>
        </w:rPr>
      </w:pPr>
      <w:r w:rsidRPr="002A046D">
        <w:rPr>
          <w:rFonts w:eastAsia="宋体" w:hint="eastAsia"/>
          <w:color w:val="auto"/>
        </w:rPr>
        <w:t>1．由原审人民法院审理的，应当另行组成合议庭进行。2．开庭审理的，同级人民检察院应当派员出席法庭。3．开庭审理的，再审决定书或者抗诉书只针对部分原审被告人，其他同案原审被告人不出庭不影响审理的，可以不出庭参加诉讼。</w:t>
      </w:r>
    </w:p>
    <w:p w14:paraId="79450D0C" w14:textId="77777777" w:rsidR="00FB5856" w:rsidRPr="0055777C" w:rsidRDefault="00FB5856" w:rsidP="00FB5856">
      <w:pPr>
        <w:pStyle w:val="4"/>
        <w:spacing w:line="240" w:lineRule="auto"/>
        <w:ind w:firstLineChars="200" w:firstLine="420"/>
        <w:rPr>
          <w:rFonts w:ascii="宋体" w:eastAsia="宋体" w:hAnsi="宋体" w:hint="eastAsia"/>
          <w:sz w:val="21"/>
          <w:szCs w:val="21"/>
        </w:rPr>
      </w:pPr>
      <w:r w:rsidRPr="0055777C">
        <w:rPr>
          <w:rFonts w:ascii="宋体" w:eastAsia="宋体" w:hAnsi="宋体" w:hint="eastAsia"/>
          <w:sz w:val="21"/>
          <w:szCs w:val="21"/>
        </w:rPr>
        <w:t>（四）审理范围</w:t>
      </w:r>
    </w:p>
    <w:p w14:paraId="69126E55" w14:textId="77777777" w:rsidR="00FB5856" w:rsidRPr="0055777C" w:rsidRDefault="00FB5856" w:rsidP="00FB5856">
      <w:pPr>
        <w:spacing w:line="240" w:lineRule="auto"/>
        <w:ind w:firstLine="420"/>
        <w:jc w:val="left"/>
        <w:rPr>
          <w:rFonts w:eastAsia="宋体" w:hint="eastAsia"/>
        </w:rPr>
      </w:pPr>
      <w:r w:rsidRPr="0055777C">
        <w:rPr>
          <w:rFonts w:eastAsia="宋体" w:hint="eastAsia"/>
        </w:rPr>
        <w:t>依照审判监督程序重新审判的案件，人民法院应当</w:t>
      </w:r>
      <w:r w:rsidRPr="0055777C">
        <w:rPr>
          <w:rFonts w:eastAsia="宋体" w:hint="eastAsia"/>
          <w:color w:val="FF0000"/>
        </w:rPr>
        <w:t>重点针对申诉、抗诉和决定再审的</w:t>
      </w:r>
      <w:r w:rsidRPr="0055777C">
        <w:rPr>
          <w:rFonts w:eastAsia="宋体" w:hint="eastAsia"/>
          <w:color w:val="FF0000"/>
        </w:rPr>
        <w:lastRenderedPageBreak/>
        <w:t>理由进行审理</w:t>
      </w:r>
      <w:r w:rsidRPr="0055777C">
        <w:rPr>
          <w:rFonts w:eastAsia="宋体" w:hint="eastAsia"/>
        </w:rPr>
        <w:t>。</w:t>
      </w:r>
      <w:r w:rsidRPr="0055777C">
        <w:rPr>
          <w:rFonts w:eastAsia="宋体" w:hint="eastAsia"/>
          <w:color w:val="FF0000"/>
        </w:rPr>
        <w:t>必要时</w:t>
      </w:r>
      <w:r w:rsidRPr="0055777C">
        <w:rPr>
          <w:rFonts w:eastAsia="宋体" w:hint="eastAsia"/>
        </w:rPr>
        <w:t>，应当对原判决、裁定认定的事实、证据和适用法律进行</w:t>
      </w:r>
      <w:r w:rsidRPr="0055777C">
        <w:rPr>
          <w:rFonts w:eastAsia="宋体" w:hint="eastAsia"/>
          <w:color w:val="FF0000"/>
        </w:rPr>
        <w:t>全面审查</w:t>
      </w:r>
      <w:r w:rsidRPr="0055777C">
        <w:rPr>
          <w:rFonts w:eastAsia="宋体" w:hint="eastAsia"/>
        </w:rPr>
        <w:t>。对依照审判监督程序重新审判的案件，</w:t>
      </w:r>
      <w:r w:rsidRPr="009E3BE5">
        <w:rPr>
          <w:rFonts w:eastAsia="宋体" w:hint="eastAsia"/>
          <w:color w:val="auto"/>
        </w:rPr>
        <w:t>人民法院在依照第一审程序进行审判的过程中，发现原审被告人还有其他犯罪的，</w:t>
      </w:r>
      <w:r w:rsidRPr="0055777C">
        <w:rPr>
          <w:rFonts w:eastAsia="宋体" w:hint="eastAsia"/>
          <w:color w:val="FF0000"/>
        </w:rPr>
        <w:t>一般应当并案审理，但分案审理更为适宜的，可以分案审理</w:t>
      </w:r>
      <w:r w:rsidRPr="0055777C">
        <w:rPr>
          <w:rFonts w:eastAsia="宋体" w:hint="eastAsia"/>
        </w:rPr>
        <w:t>。</w:t>
      </w:r>
    </w:p>
    <w:p w14:paraId="031F9F28" w14:textId="77777777" w:rsidR="00FB5856" w:rsidRPr="0055777C" w:rsidRDefault="00FB5856" w:rsidP="00FB5856">
      <w:pPr>
        <w:pStyle w:val="4"/>
        <w:spacing w:line="240" w:lineRule="auto"/>
        <w:ind w:firstLineChars="200" w:firstLine="420"/>
        <w:rPr>
          <w:rFonts w:ascii="宋体" w:eastAsia="宋体" w:hAnsi="宋体" w:hint="eastAsia"/>
          <w:sz w:val="21"/>
          <w:szCs w:val="21"/>
        </w:rPr>
      </w:pPr>
      <w:r w:rsidRPr="0055777C">
        <w:rPr>
          <w:rFonts w:ascii="宋体" w:eastAsia="宋体" w:hAnsi="宋体" w:hint="eastAsia"/>
          <w:sz w:val="21"/>
          <w:szCs w:val="21"/>
        </w:rPr>
        <w:t>（五）撤诉和按撤诉处理</w:t>
      </w:r>
    </w:p>
    <w:p w14:paraId="6F2960B3" w14:textId="77777777" w:rsidR="00FB5856" w:rsidRPr="0055777C" w:rsidRDefault="00FB5856" w:rsidP="00FB5856">
      <w:pPr>
        <w:spacing w:line="240" w:lineRule="auto"/>
        <w:ind w:firstLine="412"/>
        <w:rPr>
          <w:rFonts w:eastAsia="宋体" w:hint="eastAsia"/>
          <w:spacing w:val="-2"/>
          <w:kern w:val="0"/>
        </w:rPr>
      </w:pPr>
      <w:r w:rsidRPr="0055777C">
        <w:rPr>
          <w:rFonts w:eastAsia="宋体" w:hint="eastAsia"/>
          <w:spacing w:val="-2"/>
          <w:kern w:val="0"/>
        </w:rPr>
        <w:t>人民法院审理申诉人申诉的再审案件，申诉人</w:t>
      </w:r>
      <w:r w:rsidRPr="0055777C">
        <w:rPr>
          <w:rFonts w:eastAsia="宋体" w:hint="eastAsia"/>
          <w:color w:val="FF0000"/>
          <w:spacing w:val="-2"/>
          <w:kern w:val="0"/>
        </w:rPr>
        <w:t>在再审期间</w:t>
      </w:r>
      <w:r w:rsidRPr="0055777C">
        <w:rPr>
          <w:rFonts w:eastAsia="宋体" w:hint="eastAsia"/>
          <w:spacing w:val="-2"/>
          <w:kern w:val="0"/>
        </w:rPr>
        <w:t>撤回申诉的，</w:t>
      </w:r>
      <w:r w:rsidRPr="0055777C">
        <w:rPr>
          <w:rFonts w:eastAsia="宋体" w:hint="eastAsia"/>
          <w:color w:val="FF0000"/>
          <w:spacing w:val="-2"/>
          <w:kern w:val="0"/>
        </w:rPr>
        <w:t>可以裁定准许</w:t>
      </w:r>
      <w:r w:rsidRPr="0055777C">
        <w:rPr>
          <w:rFonts w:eastAsia="宋体" w:hint="eastAsia"/>
          <w:spacing w:val="-2"/>
          <w:kern w:val="0"/>
        </w:rPr>
        <w:t>；</w:t>
      </w:r>
      <w:r w:rsidRPr="0055777C">
        <w:rPr>
          <w:rFonts w:eastAsia="宋体" w:hint="eastAsia"/>
          <w:color w:val="FF0000"/>
          <w:spacing w:val="-2"/>
          <w:kern w:val="0"/>
        </w:rPr>
        <w:t>但认为原判确有错误的，应当不予准许，继续按照再审案件审理</w:t>
      </w:r>
      <w:r w:rsidRPr="0055777C">
        <w:rPr>
          <w:rFonts w:eastAsia="宋体" w:hint="eastAsia"/>
          <w:spacing w:val="-2"/>
          <w:kern w:val="0"/>
        </w:rPr>
        <w:t>。申诉人经依法通知无正当理由拒不到庭，或者未经法庭许可中途退庭的，应当裁定按撤回申诉处理，但</w:t>
      </w:r>
      <w:r w:rsidRPr="0055777C">
        <w:rPr>
          <w:rFonts w:eastAsia="宋体" w:hint="eastAsia"/>
          <w:color w:val="FF0000"/>
          <w:spacing w:val="-2"/>
          <w:kern w:val="0"/>
        </w:rPr>
        <w:t>申诉人不是原审当事人的除外</w:t>
      </w:r>
      <w:r w:rsidRPr="0055777C">
        <w:rPr>
          <w:rFonts w:eastAsia="宋体" w:hint="eastAsia"/>
          <w:spacing w:val="-2"/>
          <w:kern w:val="0"/>
        </w:rPr>
        <w:t>。</w:t>
      </w:r>
    </w:p>
    <w:p w14:paraId="216FA273" w14:textId="77777777" w:rsidR="00FB5856" w:rsidRDefault="00FB5856" w:rsidP="00FB5856">
      <w:pPr>
        <w:pStyle w:val="3"/>
        <w:spacing w:line="240" w:lineRule="auto"/>
        <w:ind w:firstLineChars="200" w:firstLine="420"/>
        <w:rPr>
          <w:rFonts w:eastAsia="宋体" w:hint="eastAsia"/>
          <w:sz w:val="21"/>
        </w:rPr>
      </w:pPr>
      <w:bookmarkStart w:id="13" w:name="_Toc510879164"/>
      <w:r>
        <w:rPr>
          <w:rFonts w:eastAsia="宋体" w:hint="eastAsia"/>
          <w:sz w:val="21"/>
        </w:rPr>
        <w:t>三</w:t>
      </w:r>
      <w:r w:rsidRPr="0055777C">
        <w:rPr>
          <w:rFonts w:eastAsia="宋体" w:hint="eastAsia"/>
          <w:sz w:val="21"/>
        </w:rPr>
        <w:t>、重新审判后的处理</w:t>
      </w:r>
      <w:bookmarkEnd w:id="13"/>
    </w:p>
    <w:p w14:paraId="52B7E414" w14:textId="77777777" w:rsidR="00FB5856" w:rsidRPr="009E3BE5" w:rsidRDefault="00FB5856" w:rsidP="00FB5856">
      <w:pPr>
        <w:spacing w:line="240" w:lineRule="auto"/>
        <w:ind w:firstLine="412"/>
        <w:jc w:val="left"/>
        <w:rPr>
          <w:rFonts w:eastAsia="宋体" w:hint="eastAsia"/>
          <w:color w:val="auto"/>
          <w:spacing w:val="-2"/>
        </w:rPr>
      </w:pPr>
      <w:r w:rsidRPr="009E3BE5">
        <w:rPr>
          <w:rFonts w:eastAsia="宋体" w:hint="eastAsia"/>
          <w:spacing w:val="-2"/>
          <w:kern w:val="0"/>
        </w:rPr>
        <w:t>重点掌握</w:t>
      </w:r>
      <w:r w:rsidRPr="008721A8">
        <w:rPr>
          <w:rFonts w:eastAsia="宋体" w:hint="eastAsia"/>
          <w:color w:val="FF0000"/>
        </w:rPr>
        <w:t>原判决、裁定事实不清或者证据不足，</w:t>
      </w:r>
      <w:r w:rsidRPr="009E3BE5">
        <w:rPr>
          <w:rFonts w:eastAsia="宋体" w:hint="eastAsia"/>
          <w:color w:val="auto"/>
        </w:rPr>
        <w:t>依照二审程序审理的，</w:t>
      </w:r>
      <w:r w:rsidRPr="009E3BE5">
        <w:rPr>
          <w:rFonts w:eastAsia="宋体"/>
          <w:color w:val="auto"/>
        </w:rPr>
        <w:t>可以裁定撤销原判，发回原审人民法院重新审判</w:t>
      </w:r>
      <w:r w:rsidRPr="008721A8">
        <w:rPr>
          <w:rFonts w:eastAsia="宋体" w:hint="eastAsia"/>
          <w:color w:val="FF0000"/>
        </w:rPr>
        <w:t>；依照一审程序审理的或依照二审程序审理没有发回重审的</w:t>
      </w:r>
      <w:r w:rsidRPr="009E3BE5">
        <w:rPr>
          <w:rFonts w:eastAsia="宋体" w:hint="eastAsia"/>
          <w:color w:val="auto"/>
          <w:spacing w:val="-2"/>
        </w:rPr>
        <w:t>，经审理事实已经查清的，应当根据查清的事实依法裁判；事实仍无法查清，证据不足，不能认定被告人有罪的，应当撤销原裁判，判决宣告被告人无罪。</w:t>
      </w:r>
    </w:p>
    <w:p w14:paraId="73B5A5FC" w14:textId="77777777" w:rsidR="00FB5856" w:rsidRPr="00C62D1E" w:rsidRDefault="00FB5856" w:rsidP="00FB5856">
      <w:pPr>
        <w:spacing w:line="240" w:lineRule="auto"/>
        <w:ind w:firstLine="412"/>
        <w:jc w:val="left"/>
        <w:rPr>
          <w:rFonts w:eastAsia="宋体" w:hint="eastAsia"/>
          <w:color w:val="auto"/>
          <w:spacing w:val="-2"/>
        </w:rPr>
      </w:pPr>
      <w:r w:rsidRPr="0055777C">
        <w:rPr>
          <w:rFonts w:eastAsia="宋体" w:hint="eastAsia"/>
          <w:color w:val="FF0000"/>
          <w:spacing w:val="-2"/>
        </w:rPr>
        <w:t>除人民检察院抗诉的以外，再审一般不得加重原审被告人的刑罚。</w:t>
      </w:r>
      <w:r w:rsidRPr="00C62D1E">
        <w:rPr>
          <w:rFonts w:eastAsia="宋体" w:hint="eastAsia"/>
          <w:color w:val="auto"/>
          <w:spacing w:val="-2"/>
        </w:rPr>
        <w:t>再审决定书或者抗诉书只针对部分原审被告人的，不得加重其他同案原审被告人的刑罚。</w:t>
      </w:r>
    </w:p>
    <w:p w14:paraId="1AADA2C5" w14:textId="08446FE8" w:rsidR="00FB5856" w:rsidRPr="005D1042" w:rsidRDefault="00FB5856" w:rsidP="00FB5856">
      <w:pPr>
        <w:pStyle w:val="1"/>
        <w:spacing w:before="0" w:line="240" w:lineRule="auto"/>
        <w:rPr>
          <w:rFonts w:ascii="宋体" w:eastAsia="宋体" w:hAnsi="宋体" w:hint="eastAsia"/>
          <w:b/>
          <w:bCs w:val="0"/>
          <w:color w:val="auto"/>
          <w:sz w:val="22"/>
          <w:szCs w:val="22"/>
        </w:rPr>
      </w:pPr>
      <w:r w:rsidRPr="005D1042">
        <w:rPr>
          <w:rFonts w:ascii="宋体" w:eastAsia="宋体" w:hAnsi="宋体" w:hint="eastAsia"/>
          <w:b/>
          <w:bCs w:val="0"/>
          <w:color w:val="auto"/>
          <w:sz w:val="22"/>
          <w:szCs w:val="22"/>
        </w:rPr>
        <w:t>考点</w:t>
      </w:r>
      <w:r>
        <w:rPr>
          <w:rFonts w:ascii="宋体" w:eastAsia="宋体" w:hAnsi="宋体" w:hint="eastAsia"/>
          <w:b/>
          <w:bCs w:val="0"/>
          <w:color w:val="auto"/>
          <w:sz w:val="22"/>
          <w:szCs w:val="22"/>
        </w:rPr>
        <w:t>58</w:t>
      </w:r>
      <w:r w:rsidRPr="005D1042">
        <w:rPr>
          <w:rFonts w:ascii="宋体" w:eastAsia="宋体" w:hAnsi="宋体"/>
          <w:b/>
          <w:bCs w:val="0"/>
          <w:color w:val="auto"/>
          <w:sz w:val="22"/>
          <w:szCs w:val="22"/>
        </w:rPr>
        <w:t xml:space="preserve">  </w:t>
      </w:r>
      <w:r w:rsidRPr="005D1042">
        <w:rPr>
          <w:rFonts w:ascii="宋体" w:eastAsia="宋体" w:hAnsi="宋体" w:hint="eastAsia"/>
          <w:b/>
          <w:bCs w:val="0"/>
          <w:color w:val="auto"/>
          <w:sz w:val="22"/>
          <w:szCs w:val="22"/>
        </w:rPr>
        <w:t>在法定刑以下判处刑罚的核准（</w:t>
      </w:r>
      <w:r w:rsidR="00142D6F">
        <w:rPr>
          <w:rFonts w:ascii="宋体" w:eastAsia="宋体" w:hAnsi="宋体" w:hint="eastAsia"/>
          <w:b/>
          <w:bCs w:val="0"/>
          <w:color w:val="auto"/>
          <w:sz w:val="22"/>
          <w:szCs w:val="22"/>
        </w:rPr>
        <w:t>20</w:t>
      </w:r>
      <w:r w:rsidRPr="005D1042">
        <w:rPr>
          <w:rFonts w:ascii="宋体" w:eastAsia="宋体" w:hAnsi="宋体"/>
          <w:b/>
          <w:bCs w:val="0"/>
          <w:color w:val="auto"/>
          <w:sz w:val="22"/>
          <w:szCs w:val="22"/>
        </w:rPr>
        <w:t>:</w:t>
      </w:r>
      <w:r w:rsidR="00142D6F">
        <w:rPr>
          <w:rFonts w:ascii="宋体" w:eastAsia="宋体" w:hAnsi="宋体" w:hint="eastAsia"/>
          <w:b/>
          <w:bCs w:val="0"/>
          <w:color w:val="auto"/>
          <w:sz w:val="22"/>
          <w:szCs w:val="22"/>
        </w:rPr>
        <w:t>44</w:t>
      </w:r>
      <w:r w:rsidRPr="005D1042">
        <w:rPr>
          <w:rFonts w:ascii="宋体" w:eastAsia="宋体" w:hAnsi="宋体"/>
          <w:b/>
          <w:bCs w:val="0"/>
          <w:color w:val="auto"/>
          <w:sz w:val="22"/>
          <w:szCs w:val="22"/>
        </w:rPr>
        <w:t>:00-</w:t>
      </w:r>
      <w:r w:rsidR="00D01AB3">
        <w:rPr>
          <w:rFonts w:ascii="宋体" w:eastAsia="宋体" w:hAnsi="宋体" w:hint="eastAsia"/>
          <w:b/>
          <w:bCs w:val="0"/>
          <w:color w:val="auto"/>
          <w:sz w:val="22"/>
          <w:szCs w:val="22"/>
        </w:rPr>
        <w:t>20</w:t>
      </w:r>
      <w:r w:rsidRPr="005D1042">
        <w:rPr>
          <w:rFonts w:ascii="宋体" w:eastAsia="宋体" w:hAnsi="宋体"/>
          <w:b/>
          <w:bCs w:val="0"/>
          <w:color w:val="auto"/>
          <w:sz w:val="22"/>
          <w:szCs w:val="22"/>
        </w:rPr>
        <w:t>:</w:t>
      </w:r>
      <w:r w:rsidR="00D01AB3">
        <w:rPr>
          <w:rFonts w:ascii="宋体" w:eastAsia="宋体" w:hAnsi="宋体" w:hint="eastAsia"/>
          <w:b/>
          <w:bCs w:val="0"/>
          <w:color w:val="auto"/>
          <w:sz w:val="22"/>
          <w:szCs w:val="22"/>
        </w:rPr>
        <w:t>54</w:t>
      </w:r>
      <w:r w:rsidRPr="005D1042">
        <w:rPr>
          <w:rFonts w:ascii="宋体" w:eastAsia="宋体" w:hAnsi="宋体"/>
          <w:b/>
          <w:bCs w:val="0"/>
          <w:color w:val="auto"/>
          <w:sz w:val="22"/>
          <w:szCs w:val="22"/>
        </w:rPr>
        <w:t>:00）</w:t>
      </w:r>
    </w:p>
    <w:p w14:paraId="124A1A8A" w14:textId="77777777" w:rsidR="00FB5856" w:rsidRPr="005D1042" w:rsidRDefault="00FB5856" w:rsidP="00FB5856">
      <w:pPr>
        <w:pStyle w:val="3"/>
        <w:spacing w:line="240" w:lineRule="auto"/>
        <w:ind w:firstLineChars="200" w:firstLine="420"/>
        <w:rPr>
          <w:rFonts w:eastAsia="宋体" w:hint="eastAsia"/>
          <w:sz w:val="21"/>
        </w:rPr>
      </w:pPr>
      <w:r w:rsidRPr="005D1042">
        <w:rPr>
          <w:rFonts w:eastAsia="宋体" w:hint="eastAsia"/>
          <w:sz w:val="21"/>
        </w:rPr>
        <w:t>一、复核程序</w:t>
      </w:r>
    </w:p>
    <w:p w14:paraId="3FE8D1BC" w14:textId="77777777" w:rsidR="00FB5856" w:rsidRPr="005D1042" w:rsidRDefault="00FB5856" w:rsidP="00FB5856">
      <w:pPr>
        <w:spacing w:line="240" w:lineRule="auto"/>
        <w:ind w:firstLine="420"/>
        <w:rPr>
          <w:rFonts w:eastAsia="宋体" w:hint="eastAsia"/>
        </w:rPr>
      </w:pPr>
      <w:r w:rsidRPr="005D1042">
        <w:rPr>
          <w:rFonts w:eastAsia="宋体" w:hint="eastAsia"/>
        </w:rPr>
        <w:t>报请最高人民法院核准在法定刑以下判处刑罚的案件，应当按照下列情形分别处理：（一）被告人未上诉、人民检察院未抗诉的，在上诉、抗诉期满后三日内报请上一级人民法院复核。</w:t>
      </w:r>
      <w:r w:rsidRPr="00872D89">
        <w:rPr>
          <w:rFonts w:eastAsia="宋体" w:hint="eastAsia"/>
          <w:color w:val="auto"/>
        </w:rPr>
        <w:t>上一级人民法院同意原判的，应当书面</w:t>
      </w:r>
      <w:r w:rsidRPr="005D1042">
        <w:rPr>
          <w:rFonts w:eastAsia="宋体" w:hint="eastAsia"/>
          <w:color w:val="FF0000"/>
        </w:rPr>
        <w:t>层报</w:t>
      </w:r>
      <w:r w:rsidRPr="00872D89">
        <w:rPr>
          <w:rFonts w:eastAsia="宋体" w:hint="eastAsia"/>
          <w:color w:val="auto"/>
        </w:rPr>
        <w:t>最高人民法院核准；</w:t>
      </w:r>
      <w:r w:rsidRPr="005D1042">
        <w:rPr>
          <w:rFonts w:eastAsia="宋体" w:hint="eastAsia"/>
          <w:color w:val="FF0000"/>
        </w:rPr>
        <w:t>不同意的，应当裁定发回重新审判或者按照第二审程序提审</w:t>
      </w:r>
      <w:r w:rsidRPr="005D1042">
        <w:rPr>
          <w:rFonts w:eastAsia="宋体" w:hint="eastAsia"/>
        </w:rPr>
        <w:t>。（二）被告人上诉或者人民检察院抗诉的，第二审维持原判，或者改判后仍在法定刑以下判处刑罚的，应当依照前项规定层报最高人民法院核准。（三）对符合刑法第六十三条第二款规定的案件，第一审人民法院未在法定刑以下判处刑罚的，</w:t>
      </w:r>
      <w:r w:rsidRPr="005D1042">
        <w:rPr>
          <w:rFonts w:eastAsia="宋体" w:hint="eastAsia"/>
          <w:color w:val="FF0000"/>
        </w:rPr>
        <w:t>第二审人民法院可以在法定刑以下判处刑罚</w:t>
      </w:r>
      <w:r w:rsidRPr="005D1042">
        <w:rPr>
          <w:rFonts w:eastAsia="宋体" w:hint="eastAsia"/>
        </w:rPr>
        <w:t>，并层报最高人民法院核准。</w:t>
      </w:r>
    </w:p>
    <w:p w14:paraId="61C2FC93" w14:textId="597B694B" w:rsidR="00FB5856" w:rsidRDefault="00FB5856" w:rsidP="00FB5856">
      <w:pPr>
        <w:pStyle w:val="1"/>
        <w:spacing w:before="0" w:line="240" w:lineRule="auto"/>
        <w:rPr>
          <w:rFonts w:ascii="宋体" w:eastAsia="宋体" w:hAnsi="宋体" w:hint="eastAsia"/>
          <w:b/>
          <w:bCs w:val="0"/>
          <w:color w:val="auto"/>
          <w:sz w:val="22"/>
          <w:szCs w:val="22"/>
        </w:rPr>
      </w:pPr>
      <w:r w:rsidRPr="00D4182A">
        <w:rPr>
          <w:rFonts w:ascii="宋体" w:eastAsia="宋体" w:hAnsi="宋体" w:hint="eastAsia"/>
          <w:b/>
          <w:bCs w:val="0"/>
          <w:color w:val="auto"/>
          <w:sz w:val="22"/>
          <w:szCs w:val="22"/>
        </w:rPr>
        <w:t>考点</w:t>
      </w:r>
      <w:r>
        <w:rPr>
          <w:rFonts w:ascii="宋体" w:eastAsia="宋体" w:hAnsi="宋体" w:hint="eastAsia"/>
          <w:b/>
          <w:bCs w:val="0"/>
          <w:color w:val="auto"/>
          <w:sz w:val="22"/>
          <w:szCs w:val="22"/>
        </w:rPr>
        <w:t>59</w:t>
      </w:r>
      <w:r w:rsidRPr="00D4182A">
        <w:rPr>
          <w:rFonts w:ascii="宋体" w:eastAsia="宋体" w:hAnsi="宋体" w:hint="eastAsia"/>
          <w:b/>
          <w:bCs w:val="0"/>
          <w:color w:val="auto"/>
          <w:sz w:val="22"/>
          <w:szCs w:val="22"/>
        </w:rPr>
        <w:t xml:space="preserve">  各种判决、裁定的执行（</w:t>
      </w:r>
      <w:r w:rsidR="00D01AB3">
        <w:rPr>
          <w:rFonts w:ascii="宋体" w:eastAsia="宋体" w:hAnsi="宋体" w:hint="eastAsia"/>
          <w:b/>
          <w:bCs w:val="0"/>
          <w:color w:val="auto"/>
          <w:sz w:val="22"/>
          <w:szCs w:val="22"/>
        </w:rPr>
        <w:t>20</w:t>
      </w:r>
      <w:r w:rsidR="00D01AB3" w:rsidRPr="005D1042">
        <w:rPr>
          <w:rFonts w:ascii="宋体" w:eastAsia="宋体" w:hAnsi="宋体"/>
          <w:b/>
          <w:bCs w:val="0"/>
          <w:color w:val="auto"/>
          <w:sz w:val="22"/>
          <w:szCs w:val="22"/>
        </w:rPr>
        <w:t>:</w:t>
      </w:r>
      <w:r w:rsidR="00D01AB3">
        <w:rPr>
          <w:rFonts w:ascii="宋体" w:eastAsia="宋体" w:hAnsi="宋体" w:hint="eastAsia"/>
          <w:b/>
          <w:bCs w:val="0"/>
          <w:color w:val="auto"/>
          <w:sz w:val="22"/>
          <w:szCs w:val="22"/>
        </w:rPr>
        <w:t>54</w:t>
      </w:r>
      <w:r w:rsidRPr="00D4182A">
        <w:rPr>
          <w:rFonts w:ascii="宋体" w:eastAsia="宋体" w:hAnsi="宋体"/>
          <w:b/>
          <w:bCs w:val="0"/>
          <w:color w:val="auto"/>
          <w:sz w:val="22"/>
          <w:szCs w:val="22"/>
        </w:rPr>
        <w:t>:00-</w:t>
      </w:r>
      <w:r w:rsidR="001877D5">
        <w:rPr>
          <w:rFonts w:ascii="宋体" w:eastAsia="宋体" w:hAnsi="宋体" w:hint="eastAsia"/>
          <w:b/>
          <w:bCs w:val="0"/>
          <w:color w:val="auto"/>
          <w:sz w:val="22"/>
          <w:szCs w:val="22"/>
        </w:rPr>
        <w:t>21</w:t>
      </w:r>
      <w:r w:rsidRPr="00D4182A">
        <w:rPr>
          <w:rFonts w:ascii="宋体" w:eastAsia="宋体" w:hAnsi="宋体"/>
          <w:b/>
          <w:bCs w:val="0"/>
          <w:color w:val="auto"/>
          <w:sz w:val="22"/>
          <w:szCs w:val="22"/>
        </w:rPr>
        <w:t>:</w:t>
      </w:r>
      <w:r w:rsidR="001877D5">
        <w:rPr>
          <w:rFonts w:ascii="宋体" w:eastAsia="宋体" w:hAnsi="宋体" w:hint="eastAsia"/>
          <w:b/>
          <w:bCs w:val="0"/>
          <w:color w:val="auto"/>
          <w:sz w:val="22"/>
          <w:szCs w:val="22"/>
        </w:rPr>
        <w:t>12</w:t>
      </w:r>
      <w:r w:rsidRPr="00D4182A">
        <w:rPr>
          <w:rFonts w:ascii="宋体" w:eastAsia="宋体" w:hAnsi="宋体"/>
          <w:b/>
          <w:bCs w:val="0"/>
          <w:color w:val="auto"/>
          <w:sz w:val="22"/>
          <w:szCs w:val="22"/>
        </w:rPr>
        <w:t>:00）</w:t>
      </w:r>
    </w:p>
    <w:p w14:paraId="10608718" w14:textId="77777777" w:rsidR="00FB5856" w:rsidRPr="007D76DE" w:rsidRDefault="00FB5856" w:rsidP="00FB5856">
      <w:pPr>
        <w:spacing w:line="240" w:lineRule="auto"/>
        <w:ind w:firstLine="420"/>
        <w:rPr>
          <w:rFonts w:eastAsia="宋体" w:hint="eastAsia"/>
        </w:rPr>
      </w:pPr>
      <w:r w:rsidRPr="007D76DE">
        <w:rPr>
          <w:rFonts w:eastAsia="宋体" w:hint="eastAsia"/>
        </w:rPr>
        <w:t>执行的机关：</w:t>
      </w:r>
      <w:r w:rsidRPr="007D76DE">
        <w:rPr>
          <w:rFonts w:eastAsia="宋体" w:hint="eastAsia"/>
          <w:color w:val="FF0000"/>
        </w:rPr>
        <w:t>法院：</w:t>
      </w:r>
      <w:r w:rsidRPr="007D76DE">
        <w:rPr>
          <w:rFonts w:eastAsia="宋体"/>
          <w:color w:val="FF0000"/>
        </w:rPr>
        <w:t>死刑立即执行、无罪、免处、罚金、没收财产</w:t>
      </w:r>
      <w:r w:rsidRPr="007D76DE">
        <w:rPr>
          <w:rFonts w:eastAsia="宋体" w:hint="eastAsia"/>
        </w:rPr>
        <w:t>；监狱：死缓、无期、有期（剩余刑期3个月以下的由看守所代为执行）；社区矫正机构：管制、缓刑、假释、暂予监外执行；公安机关：拘役（看守所）、剥夺政治权利</w:t>
      </w:r>
    </w:p>
    <w:p w14:paraId="622B6893" w14:textId="77777777" w:rsidR="00FB5856" w:rsidRPr="008D248F" w:rsidRDefault="00FB5856" w:rsidP="00FB5856">
      <w:pPr>
        <w:spacing w:line="240" w:lineRule="auto"/>
        <w:ind w:firstLine="420"/>
        <w:rPr>
          <w:rFonts w:eastAsia="宋体" w:hint="eastAsia"/>
          <w:color w:val="auto"/>
        </w:rPr>
      </w:pPr>
      <w:r w:rsidRPr="008D248F">
        <w:rPr>
          <w:rFonts w:eastAsia="宋体" w:hint="eastAsia"/>
          <w:color w:val="auto"/>
        </w:rPr>
        <w:t>一、死缓、无期徒刑、有期徒刑和拘役的执行</w:t>
      </w:r>
    </w:p>
    <w:p w14:paraId="3657CCD5" w14:textId="77777777" w:rsidR="00FB5856" w:rsidRDefault="00FB5856" w:rsidP="00FB5856">
      <w:pPr>
        <w:spacing w:line="240" w:lineRule="auto"/>
        <w:ind w:firstLine="420"/>
        <w:rPr>
          <w:rFonts w:eastAsia="宋体" w:hint="eastAsia"/>
          <w:color w:val="FF0000"/>
        </w:rPr>
      </w:pPr>
      <w:r w:rsidRPr="00C62D1E">
        <w:rPr>
          <w:rFonts w:eastAsia="宋体"/>
          <w:color w:val="auto"/>
        </w:rPr>
        <w:t>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r>
        <w:rPr>
          <w:rFonts w:eastAsia="宋体" w:hint="eastAsia"/>
          <w:color w:val="FF0000"/>
        </w:rPr>
        <w:t>（暂缓执行：附民二审、同案死刑复核）</w:t>
      </w:r>
    </w:p>
    <w:p w14:paraId="6159E3C4" w14:textId="77777777" w:rsidR="00FB5856" w:rsidRPr="00C62D1E" w:rsidRDefault="00FB5856" w:rsidP="00FB5856">
      <w:pPr>
        <w:spacing w:line="240" w:lineRule="auto"/>
        <w:ind w:firstLine="422"/>
        <w:rPr>
          <w:rFonts w:eastAsia="宋体" w:hint="eastAsia"/>
          <w:color w:val="auto"/>
        </w:rPr>
      </w:pPr>
      <w:r w:rsidRPr="00266CDD">
        <w:rPr>
          <w:rFonts w:eastAsia="宋体" w:hint="eastAsia"/>
          <w:b/>
          <w:bCs/>
          <w:color w:val="auto"/>
        </w:rPr>
        <w:t>二、财产刑和附带民事裁判的执行</w:t>
      </w:r>
    </w:p>
    <w:p w14:paraId="5083AE9E" w14:textId="77777777" w:rsidR="00FB5856" w:rsidRPr="00C40A67" w:rsidRDefault="00FB5856" w:rsidP="00FB5856">
      <w:pPr>
        <w:pStyle w:val="4"/>
        <w:spacing w:line="240" w:lineRule="auto"/>
        <w:ind w:firstLineChars="120" w:firstLine="252"/>
        <w:jc w:val="both"/>
        <w:rPr>
          <w:rFonts w:ascii="宋体" w:eastAsia="宋体" w:hAnsi="宋体" w:hint="eastAsia"/>
          <w:sz w:val="21"/>
          <w:szCs w:val="21"/>
        </w:rPr>
      </w:pPr>
      <w:r w:rsidRPr="00C40A67">
        <w:rPr>
          <w:rFonts w:ascii="宋体" w:eastAsia="宋体" w:hAnsi="宋体" w:hint="eastAsia"/>
          <w:sz w:val="21"/>
          <w:szCs w:val="21"/>
        </w:rPr>
        <w:t>（一）执行主体</w:t>
      </w:r>
    </w:p>
    <w:p w14:paraId="66CECA20" w14:textId="77777777" w:rsidR="00FB5856" w:rsidRPr="00C40A67" w:rsidRDefault="00FB5856" w:rsidP="00FB5856">
      <w:pPr>
        <w:spacing w:line="240" w:lineRule="auto"/>
        <w:ind w:firstLine="420"/>
        <w:rPr>
          <w:rFonts w:eastAsia="宋体" w:hint="eastAsia"/>
        </w:rPr>
      </w:pPr>
      <w:r w:rsidRPr="00C40A67">
        <w:rPr>
          <w:rFonts w:eastAsia="宋体" w:hint="eastAsia"/>
        </w:rPr>
        <w:t>刑事裁判涉财产部分的执行，是指发生法律效力的刑事裁判中下列判项的执行：1．</w:t>
      </w:r>
      <w:r w:rsidRPr="00C40A67">
        <w:rPr>
          <w:rFonts w:eastAsia="宋体" w:hint="eastAsia"/>
          <w:color w:val="FF0000"/>
        </w:rPr>
        <w:t>罚金、没收财产</w:t>
      </w:r>
      <w:r w:rsidRPr="00C40A67">
        <w:rPr>
          <w:rFonts w:eastAsia="宋体" w:hint="eastAsia"/>
        </w:rPr>
        <w:t>；2．</w:t>
      </w:r>
      <w:r w:rsidRPr="00C40A67">
        <w:rPr>
          <w:rFonts w:eastAsia="宋体" w:hint="eastAsia"/>
          <w:color w:val="FF0000"/>
        </w:rPr>
        <w:t>追缴、责令退赔违法所得</w:t>
      </w:r>
      <w:r w:rsidRPr="00C40A67">
        <w:rPr>
          <w:rFonts w:eastAsia="宋体" w:hint="eastAsia"/>
        </w:rPr>
        <w:t>；3．</w:t>
      </w:r>
      <w:r w:rsidRPr="00C40A67">
        <w:rPr>
          <w:rFonts w:eastAsia="宋体" w:hint="eastAsia"/>
          <w:color w:val="FF0000"/>
        </w:rPr>
        <w:t>处置随案移送的赃款赃物</w:t>
      </w:r>
      <w:r w:rsidRPr="00C40A67">
        <w:rPr>
          <w:rFonts w:eastAsia="宋体" w:hint="eastAsia"/>
        </w:rPr>
        <w:t>；4．</w:t>
      </w:r>
      <w:r w:rsidRPr="00C40A67">
        <w:rPr>
          <w:rFonts w:eastAsia="宋体" w:hint="eastAsia"/>
          <w:color w:val="FF0000"/>
        </w:rPr>
        <w:t>没收随案移送的供犯罪所用本人财物</w:t>
      </w:r>
      <w:r w:rsidRPr="00C40A67">
        <w:rPr>
          <w:rFonts w:eastAsia="宋体" w:hint="eastAsia"/>
        </w:rPr>
        <w:t>；5．其他应当由人民法院执行的相关涉财产的判项。</w:t>
      </w:r>
    </w:p>
    <w:p w14:paraId="262D0897" w14:textId="77777777" w:rsidR="00FB5856" w:rsidRPr="00F500F8" w:rsidRDefault="00FB5856" w:rsidP="00FB5856">
      <w:pPr>
        <w:spacing w:line="240" w:lineRule="auto"/>
        <w:ind w:firstLine="420"/>
        <w:rPr>
          <w:rFonts w:eastAsia="宋体" w:hint="eastAsia"/>
          <w:color w:val="auto"/>
          <w:kern w:val="0"/>
        </w:rPr>
      </w:pPr>
      <w:r w:rsidRPr="00F500F8">
        <w:rPr>
          <w:rFonts w:eastAsia="宋体" w:hint="eastAsia"/>
          <w:color w:val="auto"/>
        </w:rPr>
        <w:t>财产刑和附带民事裁判由第一审人民法院负责裁判执行的机构执行。被执行人或者被执行财产在外地的，可以委托当地同级人民法院执行。没收财产的判决，在必要的时候，可以会同公安机关执行</w:t>
      </w:r>
      <w:r w:rsidRPr="00F500F8">
        <w:rPr>
          <w:rFonts w:eastAsia="宋体" w:hint="eastAsia"/>
          <w:color w:val="auto"/>
          <w:kern w:val="0"/>
        </w:rPr>
        <w:t>。</w:t>
      </w:r>
    </w:p>
    <w:p w14:paraId="28AF4FF7" w14:textId="77777777" w:rsidR="00FB5856" w:rsidRPr="00C40A67" w:rsidRDefault="00FB5856" w:rsidP="00FB5856">
      <w:pPr>
        <w:pStyle w:val="4"/>
        <w:spacing w:line="240" w:lineRule="auto"/>
        <w:ind w:firstLineChars="120" w:firstLine="252"/>
        <w:jc w:val="both"/>
        <w:rPr>
          <w:rFonts w:ascii="宋体" w:eastAsia="宋体" w:hAnsi="宋体" w:hint="eastAsia"/>
          <w:sz w:val="21"/>
          <w:szCs w:val="21"/>
        </w:rPr>
      </w:pPr>
      <w:r w:rsidRPr="00C40A67">
        <w:rPr>
          <w:rFonts w:ascii="宋体" w:eastAsia="宋体" w:hAnsi="宋体" w:hint="eastAsia"/>
          <w:sz w:val="21"/>
          <w:szCs w:val="21"/>
        </w:rPr>
        <w:lastRenderedPageBreak/>
        <w:t>（</w:t>
      </w:r>
      <w:r>
        <w:rPr>
          <w:rFonts w:ascii="宋体" w:eastAsia="宋体" w:hAnsi="宋体" w:hint="eastAsia"/>
          <w:sz w:val="21"/>
          <w:szCs w:val="21"/>
        </w:rPr>
        <w:t>二</w:t>
      </w:r>
      <w:r w:rsidRPr="00C40A67">
        <w:rPr>
          <w:rFonts w:ascii="宋体" w:eastAsia="宋体" w:hAnsi="宋体" w:hint="eastAsia"/>
          <w:sz w:val="21"/>
          <w:szCs w:val="21"/>
        </w:rPr>
        <w:t>）执行范围</w:t>
      </w:r>
    </w:p>
    <w:p w14:paraId="689B78AA" w14:textId="77777777" w:rsidR="00FB5856" w:rsidRPr="00531D30" w:rsidRDefault="00FB5856" w:rsidP="00FB5856">
      <w:pPr>
        <w:widowControl/>
        <w:spacing w:line="240" w:lineRule="auto"/>
        <w:ind w:firstLine="420"/>
        <w:rPr>
          <w:rFonts w:eastAsia="宋体" w:hint="eastAsia"/>
          <w:b/>
          <w:bCs/>
          <w:color w:val="auto"/>
        </w:rPr>
      </w:pPr>
      <w:r w:rsidRPr="00531D30">
        <w:rPr>
          <w:rFonts w:eastAsia="宋体" w:hint="eastAsia"/>
          <w:color w:val="auto"/>
        </w:rPr>
        <w:t>1．判处没收财产的，应当执行刑事裁判生效时被执行人合法所有的财产。2．保留被执行人及其所抚养家属的生活必须费用。执行没收财产或罚金刑，应当参照被扶养人住所地政府公布的上年度当地居民最低生活费标准，保留被执行人及其所扶养家属的生活必需费用。</w:t>
      </w:r>
    </w:p>
    <w:p w14:paraId="2F710BF8" w14:textId="77777777" w:rsidR="00FB5856" w:rsidRPr="008677EA" w:rsidRDefault="00FB5856" w:rsidP="00FB5856">
      <w:pPr>
        <w:spacing w:line="240" w:lineRule="auto"/>
        <w:ind w:firstLine="422"/>
        <w:rPr>
          <w:rFonts w:eastAsia="宋体" w:hint="eastAsia"/>
          <w:b/>
          <w:bCs/>
          <w:color w:val="FF0000"/>
        </w:rPr>
      </w:pPr>
      <w:r w:rsidRPr="008677EA">
        <w:rPr>
          <w:rFonts w:eastAsia="宋体" w:hint="eastAsia"/>
          <w:b/>
          <w:bCs/>
          <w:color w:val="FF0000"/>
        </w:rPr>
        <w:t>对用于清偿债务、转让或者设置其他权利负担的账款赃物的追缴</w:t>
      </w:r>
      <w:r>
        <w:rPr>
          <w:rFonts w:eastAsia="宋体" w:hint="eastAsia"/>
          <w:b/>
          <w:bCs/>
          <w:color w:val="FF0000"/>
        </w:rPr>
        <w:t>（下图表为重点）</w:t>
      </w:r>
    </w:p>
    <w:tbl>
      <w:tblPr>
        <w:tblStyle w:val="af8"/>
        <w:tblW w:w="8505" w:type="dxa"/>
        <w:jc w:val="center"/>
        <w:tblLayout w:type="fixed"/>
        <w:tblLook w:val="04A0" w:firstRow="1" w:lastRow="0" w:firstColumn="1" w:lastColumn="0" w:noHBand="0" w:noVBand="1"/>
      </w:tblPr>
      <w:tblGrid>
        <w:gridCol w:w="1266"/>
        <w:gridCol w:w="2835"/>
        <w:gridCol w:w="4404"/>
      </w:tblGrid>
      <w:tr w:rsidR="00FB5856" w:rsidRPr="00C40A67" w14:paraId="115AA504" w14:textId="77777777" w:rsidTr="00B223D7">
        <w:trPr>
          <w:jc w:val="center"/>
        </w:trPr>
        <w:tc>
          <w:tcPr>
            <w:tcW w:w="1266" w:type="dxa"/>
            <w:vAlign w:val="center"/>
          </w:tcPr>
          <w:p w14:paraId="1EE4E663" w14:textId="77777777" w:rsidR="00FB5856" w:rsidRPr="009F0176" w:rsidRDefault="00FB5856" w:rsidP="00B223D7">
            <w:pPr>
              <w:widowControl/>
              <w:spacing w:line="200" w:lineRule="exact"/>
              <w:ind w:firstLineChars="0" w:firstLine="0"/>
              <w:rPr>
                <w:rFonts w:eastAsia="宋体" w:cs="仿宋_GB2312" w:hint="eastAsia"/>
                <w:sz w:val="21"/>
              </w:rPr>
            </w:pPr>
          </w:p>
        </w:tc>
        <w:tc>
          <w:tcPr>
            <w:tcW w:w="2835" w:type="dxa"/>
            <w:vAlign w:val="center"/>
          </w:tcPr>
          <w:p w14:paraId="4E672DC5" w14:textId="77777777" w:rsidR="00FB5856" w:rsidRPr="00C40A67" w:rsidRDefault="00FB5856" w:rsidP="00B223D7">
            <w:pPr>
              <w:widowControl/>
              <w:spacing w:line="200" w:lineRule="exact"/>
              <w:ind w:firstLineChars="0" w:firstLine="0"/>
              <w:rPr>
                <w:rFonts w:eastAsia="宋体" w:cs="仿宋_GB2312" w:hint="eastAsia"/>
                <w:sz w:val="21"/>
              </w:rPr>
            </w:pPr>
            <w:r w:rsidRPr="00C40A67">
              <w:rPr>
                <w:rFonts w:eastAsia="宋体" w:cs="仿宋_GB2312" w:hint="eastAsia"/>
                <w:sz w:val="21"/>
              </w:rPr>
              <w:t>情形</w:t>
            </w:r>
          </w:p>
        </w:tc>
        <w:tc>
          <w:tcPr>
            <w:tcW w:w="4404" w:type="dxa"/>
            <w:vAlign w:val="center"/>
          </w:tcPr>
          <w:p w14:paraId="6753B52E" w14:textId="77777777" w:rsidR="00FB5856" w:rsidRPr="00C40A67" w:rsidRDefault="00FB5856" w:rsidP="00B223D7">
            <w:pPr>
              <w:widowControl/>
              <w:spacing w:line="200" w:lineRule="exact"/>
              <w:ind w:firstLineChars="0" w:firstLine="0"/>
              <w:rPr>
                <w:rFonts w:eastAsia="宋体" w:cs="仿宋_GB2312" w:hint="eastAsia"/>
                <w:sz w:val="21"/>
              </w:rPr>
            </w:pPr>
            <w:r w:rsidRPr="00C40A67">
              <w:rPr>
                <w:rFonts w:eastAsia="宋体" w:cs="仿宋_GB2312" w:hint="eastAsia"/>
                <w:sz w:val="21"/>
              </w:rPr>
              <w:t>备注</w:t>
            </w:r>
          </w:p>
        </w:tc>
      </w:tr>
      <w:tr w:rsidR="00FB5856" w:rsidRPr="00C40A67" w14:paraId="0EDB86BE" w14:textId="77777777" w:rsidTr="00B223D7">
        <w:trPr>
          <w:jc w:val="center"/>
        </w:trPr>
        <w:tc>
          <w:tcPr>
            <w:tcW w:w="1266" w:type="dxa"/>
            <w:vMerge w:val="restart"/>
            <w:vAlign w:val="center"/>
          </w:tcPr>
          <w:p w14:paraId="5D79553B" w14:textId="77777777" w:rsidR="00FB5856" w:rsidRPr="00C40A67" w:rsidRDefault="00FB5856" w:rsidP="00B223D7">
            <w:pPr>
              <w:widowControl/>
              <w:spacing w:line="200" w:lineRule="exact"/>
              <w:ind w:firstLineChars="0" w:firstLine="0"/>
              <w:rPr>
                <w:rFonts w:eastAsia="宋体" w:cs="仿宋_GB2312" w:hint="eastAsia"/>
                <w:sz w:val="21"/>
              </w:rPr>
            </w:pPr>
            <w:r w:rsidRPr="00C40A67">
              <w:rPr>
                <w:rFonts w:eastAsia="宋体" w:cs="仿宋_GB2312" w:hint="eastAsia"/>
                <w:sz w:val="21"/>
              </w:rPr>
              <w:t>应予追缴</w:t>
            </w:r>
          </w:p>
        </w:tc>
        <w:tc>
          <w:tcPr>
            <w:tcW w:w="7239" w:type="dxa"/>
            <w:gridSpan w:val="2"/>
            <w:vAlign w:val="center"/>
          </w:tcPr>
          <w:p w14:paraId="12C79CEA" w14:textId="77777777" w:rsidR="00FB5856" w:rsidRPr="00F500F8" w:rsidRDefault="00FB5856" w:rsidP="00B223D7">
            <w:pPr>
              <w:spacing w:line="200" w:lineRule="exact"/>
              <w:ind w:firstLineChars="0" w:firstLine="0"/>
              <w:rPr>
                <w:rFonts w:eastAsia="宋体" w:hint="eastAsia"/>
                <w:color w:val="FF0000"/>
                <w:sz w:val="21"/>
              </w:rPr>
            </w:pPr>
            <w:r w:rsidRPr="00F500F8">
              <w:rPr>
                <w:rFonts w:eastAsia="宋体" w:hint="eastAsia"/>
                <w:color w:val="FF0000"/>
                <w:sz w:val="21"/>
              </w:rPr>
              <w:t>第三人明知是涉案财物而接受的</w:t>
            </w:r>
          </w:p>
        </w:tc>
      </w:tr>
      <w:tr w:rsidR="00FB5856" w:rsidRPr="00C40A67" w14:paraId="6A145A3E" w14:textId="77777777" w:rsidTr="00B223D7">
        <w:trPr>
          <w:jc w:val="center"/>
        </w:trPr>
        <w:tc>
          <w:tcPr>
            <w:tcW w:w="1266" w:type="dxa"/>
            <w:vMerge/>
            <w:vAlign w:val="center"/>
          </w:tcPr>
          <w:p w14:paraId="16CCD050" w14:textId="77777777" w:rsidR="00FB5856" w:rsidRPr="00C40A67" w:rsidRDefault="00FB5856" w:rsidP="00B223D7">
            <w:pPr>
              <w:widowControl/>
              <w:spacing w:line="200" w:lineRule="exact"/>
              <w:ind w:firstLineChars="0" w:firstLine="0"/>
              <w:rPr>
                <w:rFonts w:eastAsia="宋体" w:cs="仿宋_GB2312" w:hint="eastAsia"/>
                <w:sz w:val="21"/>
              </w:rPr>
            </w:pPr>
          </w:p>
        </w:tc>
        <w:tc>
          <w:tcPr>
            <w:tcW w:w="7239" w:type="dxa"/>
            <w:gridSpan w:val="2"/>
            <w:vAlign w:val="center"/>
          </w:tcPr>
          <w:p w14:paraId="4A6043C3" w14:textId="77777777" w:rsidR="00FB5856" w:rsidRPr="00F500F8" w:rsidRDefault="00FB5856" w:rsidP="00B223D7">
            <w:pPr>
              <w:spacing w:line="200" w:lineRule="exact"/>
              <w:ind w:firstLineChars="0" w:firstLine="0"/>
              <w:rPr>
                <w:rFonts w:eastAsia="宋体" w:hint="eastAsia"/>
                <w:color w:val="FF0000"/>
                <w:sz w:val="21"/>
              </w:rPr>
            </w:pPr>
            <w:r w:rsidRPr="00F500F8">
              <w:rPr>
                <w:rFonts w:eastAsia="宋体" w:hint="eastAsia"/>
                <w:color w:val="FF0000"/>
                <w:sz w:val="21"/>
              </w:rPr>
              <w:t>第三人无偿或者以明显低于市场的价格取得涉案财物的</w:t>
            </w:r>
          </w:p>
        </w:tc>
      </w:tr>
      <w:tr w:rsidR="00FB5856" w:rsidRPr="00C40A67" w14:paraId="7624B23A" w14:textId="77777777" w:rsidTr="00B223D7">
        <w:trPr>
          <w:jc w:val="center"/>
        </w:trPr>
        <w:tc>
          <w:tcPr>
            <w:tcW w:w="1266" w:type="dxa"/>
            <w:vMerge/>
            <w:vAlign w:val="center"/>
          </w:tcPr>
          <w:p w14:paraId="29D6E487" w14:textId="77777777" w:rsidR="00FB5856" w:rsidRPr="00C40A67" w:rsidRDefault="00FB5856" w:rsidP="00B223D7">
            <w:pPr>
              <w:widowControl/>
              <w:spacing w:line="200" w:lineRule="exact"/>
              <w:ind w:firstLineChars="0" w:firstLine="0"/>
              <w:rPr>
                <w:rFonts w:eastAsia="宋体" w:cs="仿宋_GB2312" w:hint="eastAsia"/>
                <w:sz w:val="21"/>
              </w:rPr>
            </w:pPr>
          </w:p>
        </w:tc>
        <w:tc>
          <w:tcPr>
            <w:tcW w:w="7239" w:type="dxa"/>
            <w:gridSpan w:val="2"/>
            <w:vAlign w:val="center"/>
          </w:tcPr>
          <w:p w14:paraId="3409C704" w14:textId="77777777" w:rsidR="00FB5856" w:rsidRPr="00F500F8" w:rsidRDefault="00FB5856" w:rsidP="00B223D7">
            <w:pPr>
              <w:spacing w:line="200" w:lineRule="exact"/>
              <w:ind w:firstLineChars="0" w:firstLine="0"/>
              <w:rPr>
                <w:rFonts w:eastAsia="宋体" w:hint="eastAsia"/>
                <w:color w:val="FF0000"/>
                <w:sz w:val="21"/>
              </w:rPr>
            </w:pPr>
            <w:r w:rsidRPr="00F500F8">
              <w:rPr>
                <w:rFonts w:eastAsia="宋体" w:hint="eastAsia"/>
                <w:color w:val="FF0000"/>
                <w:sz w:val="21"/>
              </w:rPr>
              <w:t>第三人通过非法债务清偿或违法犯罪活动取得涉案财物</w:t>
            </w:r>
          </w:p>
        </w:tc>
      </w:tr>
      <w:tr w:rsidR="00FB5856" w:rsidRPr="00C40A67" w14:paraId="2264FA5E" w14:textId="77777777" w:rsidTr="00B223D7">
        <w:trPr>
          <w:jc w:val="center"/>
        </w:trPr>
        <w:tc>
          <w:tcPr>
            <w:tcW w:w="1266" w:type="dxa"/>
            <w:vMerge/>
            <w:vAlign w:val="center"/>
          </w:tcPr>
          <w:p w14:paraId="78D649BC" w14:textId="77777777" w:rsidR="00FB5856" w:rsidRPr="00C40A67" w:rsidRDefault="00FB5856" w:rsidP="00B223D7">
            <w:pPr>
              <w:widowControl/>
              <w:spacing w:line="200" w:lineRule="exact"/>
              <w:ind w:firstLineChars="0" w:firstLine="0"/>
              <w:rPr>
                <w:rFonts w:eastAsia="宋体" w:cs="仿宋_GB2312" w:hint="eastAsia"/>
                <w:sz w:val="21"/>
              </w:rPr>
            </w:pPr>
          </w:p>
        </w:tc>
        <w:tc>
          <w:tcPr>
            <w:tcW w:w="7239" w:type="dxa"/>
            <w:gridSpan w:val="2"/>
            <w:vAlign w:val="center"/>
          </w:tcPr>
          <w:p w14:paraId="4FD7BC70" w14:textId="77777777" w:rsidR="00FB5856" w:rsidRPr="00F500F8" w:rsidRDefault="00FB5856" w:rsidP="00B223D7">
            <w:pPr>
              <w:spacing w:line="200" w:lineRule="exact"/>
              <w:ind w:firstLineChars="0" w:firstLine="0"/>
              <w:rPr>
                <w:rFonts w:eastAsia="宋体" w:hint="eastAsia"/>
                <w:color w:val="FF0000"/>
                <w:sz w:val="21"/>
              </w:rPr>
            </w:pPr>
            <w:r w:rsidRPr="00F500F8">
              <w:rPr>
                <w:rFonts w:eastAsia="宋体" w:hint="eastAsia"/>
                <w:color w:val="FF0000"/>
                <w:sz w:val="21"/>
              </w:rPr>
              <w:t>第三人通过其他恶意方式取得涉案财物的</w:t>
            </w:r>
          </w:p>
        </w:tc>
      </w:tr>
      <w:tr w:rsidR="00FB5856" w:rsidRPr="00C40A67" w14:paraId="24584837" w14:textId="77777777" w:rsidTr="00B223D7">
        <w:trPr>
          <w:jc w:val="center"/>
        </w:trPr>
        <w:tc>
          <w:tcPr>
            <w:tcW w:w="1266" w:type="dxa"/>
            <w:vAlign w:val="center"/>
          </w:tcPr>
          <w:p w14:paraId="16E5AE49" w14:textId="77777777" w:rsidR="00FB5856" w:rsidRPr="00C40A67" w:rsidRDefault="00FB5856" w:rsidP="00B223D7">
            <w:pPr>
              <w:widowControl/>
              <w:spacing w:line="200" w:lineRule="exact"/>
              <w:ind w:firstLineChars="0" w:firstLine="0"/>
              <w:rPr>
                <w:rFonts w:eastAsia="宋体" w:cs="仿宋_GB2312" w:hint="eastAsia"/>
                <w:sz w:val="21"/>
              </w:rPr>
            </w:pPr>
            <w:r w:rsidRPr="00C40A67">
              <w:rPr>
                <w:rFonts w:eastAsia="宋体" w:cs="仿宋_GB2312" w:hint="eastAsia"/>
                <w:sz w:val="21"/>
              </w:rPr>
              <w:t>不予追缴</w:t>
            </w:r>
          </w:p>
        </w:tc>
        <w:tc>
          <w:tcPr>
            <w:tcW w:w="2835" w:type="dxa"/>
            <w:vAlign w:val="center"/>
          </w:tcPr>
          <w:p w14:paraId="045BDA99" w14:textId="77777777" w:rsidR="00FB5856" w:rsidRPr="00C40A67" w:rsidRDefault="00FB5856" w:rsidP="00B223D7">
            <w:pPr>
              <w:spacing w:line="200" w:lineRule="exact"/>
              <w:ind w:firstLineChars="0" w:firstLine="0"/>
              <w:rPr>
                <w:rFonts w:eastAsia="宋体" w:hint="eastAsia"/>
                <w:sz w:val="21"/>
              </w:rPr>
            </w:pPr>
            <w:r w:rsidRPr="00C40A67">
              <w:rPr>
                <w:rFonts w:eastAsia="宋体" w:hint="eastAsia"/>
                <w:sz w:val="21"/>
              </w:rPr>
              <w:t>第三人善意取得涉案财物的</w:t>
            </w:r>
          </w:p>
        </w:tc>
        <w:tc>
          <w:tcPr>
            <w:tcW w:w="4404" w:type="dxa"/>
            <w:vAlign w:val="center"/>
          </w:tcPr>
          <w:p w14:paraId="52DDDC46" w14:textId="77777777" w:rsidR="00FB5856" w:rsidRPr="00F500F8" w:rsidRDefault="00FB5856" w:rsidP="00B223D7">
            <w:pPr>
              <w:spacing w:line="200" w:lineRule="exact"/>
              <w:ind w:firstLineChars="0" w:firstLine="0"/>
              <w:rPr>
                <w:rFonts w:eastAsia="宋体" w:hint="eastAsia"/>
                <w:color w:val="FF0000"/>
                <w:sz w:val="21"/>
              </w:rPr>
            </w:pPr>
            <w:r w:rsidRPr="00F500F8">
              <w:rPr>
                <w:rFonts w:eastAsia="宋体" w:hint="eastAsia"/>
                <w:color w:val="FF0000"/>
                <w:sz w:val="21"/>
              </w:rPr>
              <w:t>作为原所有人的被害人对该涉案财物主张权利的，告知其通过诉讼程序处理</w:t>
            </w:r>
          </w:p>
        </w:tc>
      </w:tr>
    </w:tbl>
    <w:p w14:paraId="69D73733" w14:textId="77777777" w:rsidR="00FB5856" w:rsidRPr="00B72DFC" w:rsidRDefault="00FB5856" w:rsidP="00FB5856">
      <w:pPr>
        <w:pStyle w:val="4"/>
        <w:spacing w:line="240" w:lineRule="auto"/>
        <w:ind w:firstLineChars="120" w:firstLine="253"/>
        <w:jc w:val="both"/>
        <w:rPr>
          <w:rFonts w:ascii="宋体" w:eastAsia="宋体" w:hAnsi="宋体" w:hint="eastAsia"/>
          <w:b/>
          <w:bCs w:val="0"/>
          <w:color w:val="FF0000"/>
          <w:sz w:val="21"/>
          <w:szCs w:val="21"/>
        </w:rPr>
      </w:pPr>
      <w:r w:rsidRPr="00B72DFC">
        <w:rPr>
          <w:rFonts w:ascii="宋体" w:eastAsia="宋体" w:hAnsi="宋体" w:hint="eastAsia"/>
          <w:b/>
          <w:bCs w:val="0"/>
          <w:color w:val="FF0000"/>
          <w:sz w:val="21"/>
          <w:szCs w:val="21"/>
        </w:rPr>
        <w:t>（</w:t>
      </w:r>
      <w:r>
        <w:rPr>
          <w:rFonts w:ascii="宋体" w:eastAsia="宋体" w:hAnsi="宋体" w:hint="eastAsia"/>
          <w:b/>
          <w:bCs w:val="0"/>
          <w:color w:val="FF0000"/>
          <w:sz w:val="21"/>
          <w:szCs w:val="21"/>
        </w:rPr>
        <w:t>三</w:t>
      </w:r>
      <w:r w:rsidRPr="00B72DFC">
        <w:rPr>
          <w:rFonts w:ascii="宋体" w:eastAsia="宋体" w:hAnsi="宋体" w:hint="eastAsia"/>
          <w:b/>
          <w:bCs w:val="0"/>
          <w:color w:val="FF0000"/>
          <w:sz w:val="21"/>
          <w:szCs w:val="21"/>
        </w:rPr>
        <w:t>）执行顺序</w:t>
      </w:r>
    </w:p>
    <w:p w14:paraId="006D9BD6" w14:textId="77777777" w:rsidR="00FB5856" w:rsidRPr="00670159" w:rsidRDefault="00FB5856" w:rsidP="00FB5856">
      <w:pPr>
        <w:spacing w:line="240" w:lineRule="auto"/>
        <w:ind w:firstLine="420"/>
        <w:rPr>
          <w:rFonts w:eastAsia="宋体" w:hint="eastAsia"/>
          <w:color w:val="auto"/>
        </w:rPr>
      </w:pPr>
      <w:r w:rsidRPr="00F500F8">
        <w:rPr>
          <w:rFonts w:eastAsia="宋体" w:hint="eastAsia"/>
          <w:color w:val="auto"/>
        </w:rPr>
        <w:t>执行顺序为：1．支付人身损害赔偿中的医疗费用；2．偿还债权人有优先受偿权的民事债务；3．</w:t>
      </w:r>
      <w:r w:rsidRPr="00F91820">
        <w:rPr>
          <w:rFonts w:eastAsia="宋体" w:hint="eastAsia"/>
          <w:color w:val="auto"/>
        </w:rPr>
        <w:t>退赔被害人的损失；4．偿还其他民事债务；5．罚金；6．没收财产。</w:t>
      </w:r>
    </w:p>
    <w:p w14:paraId="03111CC8" w14:textId="2E1C0192" w:rsidR="004F1850" w:rsidRPr="00F91820" w:rsidRDefault="004F1850" w:rsidP="004F1850">
      <w:pPr>
        <w:pStyle w:val="1"/>
        <w:spacing w:before="0" w:line="240" w:lineRule="auto"/>
        <w:rPr>
          <w:rFonts w:ascii="宋体" w:eastAsia="宋体" w:hAnsi="宋体" w:hint="eastAsia"/>
          <w:b/>
          <w:bCs w:val="0"/>
          <w:color w:val="auto"/>
          <w:sz w:val="22"/>
          <w:szCs w:val="22"/>
        </w:rPr>
      </w:pPr>
      <w:r w:rsidRPr="00F91820">
        <w:rPr>
          <w:rFonts w:ascii="宋体" w:eastAsia="宋体" w:hAnsi="宋体" w:hint="eastAsia"/>
          <w:b/>
          <w:bCs w:val="0"/>
          <w:color w:val="auto"/>
          <w:sz w:val="22"/>
          <w:szCs w:val="22"/>
        </w:rPr>
        <w:t>考点</w:t>
      </w:r>
      <w:r>
        <w:rPr>
          <w:rFonts w:ascii="宋体" w:eastAsia="宋体" w:hAnsi="宋体" w:hint="eastAsia"/>
          <w:b/>
          <w:bCs w:val="0"/>
          <w:color w:val="auto"/>
          <w:sz w:val="22"/>
          <w:szCs w:val="22"/>
        </w:rPr>
        <w:t>60</w:t>
      </w:r>
      <w:r w:rsidRPr="00F91820">
        <w:rPr>
          <w:rFonts w:ascii="宋体" w:eastAsia="宋体" w:hAnsi="宋体" w:hint="eastAsia"/>
          <w:b/>
          <w:bCs w:val="0"/>
          <w:color w:val="auto"/>
          <w:sz w:val="22"/>
          <w:szCs w:val="22"/>
        </w:rPr>
        <w:t xml:space="preserve">  执行变更</w:t>
      </w:r>
      <w:bookmarkEnd w:id="0"/>
      <w:bookmarkEnd w:id="1"/>
      <w:bookmarkEnd w:id="2"/>
      <w:r w:rsidRPr="00F91820">
        <w:rPr>
          <w:rFonts w:ascii="宋体" w:eastAsia="宋体" w:hAnsi="宋体" w:hint="eastAsia"/>
          <w:b/>
          <w:bCs w:val="0"/>
          <w:color w:val="auto"/>
          <w:sz w:val="22"/>
          <w:szCs w:val="22"/>
        </w:rPr>
        <w:t>（</w:t>
      </w:r>
      <w:r w:rsidR="001877D5">
        <w:rPr>
          <w:rFonts w:ascii="宋体" w:eastAsia="宋体" w:hAnsi="宋体" w:hint="eastAsia"/>
          <w:b/>
          <w:bCs w:val="0"/>
          <w:color w:val="auto"/>
          <w:sz w:val="22"/>
          <w:szCs w:val="22"/>
        </w:rPr>
        <w:t>21</w:t>
      </w:r>
      <w:r w:rsidRPr="00F91820">
        <w:rPr>
          <w:rFonts w:ascii="宋体" w:eastAsia="宋体" w:hAnsi="宋体"/>
          <w:b/>
          <w:bCs w:val="0"/>
          <w:color w:val="auto"/>
          <w:sz w:val="22"/>
          <w:szCs w:val="22"/>
        </w:rPr>
        <w:t>:</w:t>
      </w:r>
      <w:r w:rsidR="001877D5">
        <w:rPr>
          <w:rFonts w:ascii="宋体" w:eastAsia="宋体" w:hAnsi="宋体" w:hint="eastAsia"/>
          <w:b/>
          <w:bCs w:val="0"/>
          <w:color w:val="auto"/>
          <w:sz w:val="22"/>
          <w:szCs w:val="22"/>
        </w:rPr>
        <w:t>12</w:t>
      </w:r>
      <w:r w:rsidRPr="00F91820">
        <w:rPr>
          <w:rFonts w:ascii="宋体" w:eastAsia="宋体" w:hAnsi="宋体"/>
          <w:b/>
          <w:bCs w:val="0"/>
          <w:color w:val="auto"/>
          <w:sz w:val="22"/>
          <w:szCs w:val="22"/>
        </w:rPr>
        <w:t>:00-</w:t>
      </w:r>
      <w:r w:rsidR="001877D5">
        <w:rPr>
          <w:rFonts w:ascii="宋体" w:eastAsia="宋体" w:hAnsi="宋体" w:hint="eastAsia"/>
          <w:b/>
          <w:bCs w:val="0"/>
          <w:color w:val="auto"/>
          <w:sz w:val="22"/>
          <w:szCs w:val="22"/>
        </w:rPr>
        <w:t>21</w:t>
      </w:r>
      <w:r w:rsidRPr="00F91820">
        <w:rPr>
          <w:rFonts w:ascii="宋体" w:eastAsia="宋体" w:hAnsi="宋体"/>
          <w:b/>
          <w:bCs w:val="0"/>
          <w:color w:val="auto"/>
          <w:sz w:val="22"/>
          <w:szCs w:val="22"/>
        </w:rPr>
        <w:t>:</w:t>
      </w:r>
      <w:r w:rsidR="00606E35">
        <w:rPr>
          <w:rFonts w:ascii="宋体" w:eastAsia="宋体" w:hAnsi="宋体" w:hint="eastAsia"/>
          <w:b/>
          <w:bCs w:val="0"/>
          <w:color w:val="auto"/>
          <w:sz w:val="22"/>
          <w:szCs w:val="22"/>
        </w:rPr>
        <w:t>49</w:t>
      </w:r>
      <w:r w:rsidRPr="00F91820">
        <w:rPr>
          <w:rFonts w:ascii="宋体" w:eastAsia="宋体" w:hAnsi="宋体"/>
          <w:b/>
          <w:bCs w:val="0"/>
          <w:color w:val="auto"/>
          <w:sz w:val="22"/>
          <w:szCs w:val="22"/>
        </w:rPr>
        <w:t>:00）</w:t>
      </w:r>
    </w:p>
    <w:p w14:paraId="4289C660" w14:textId="77777777" w:rsidR="004F1850" w:rsidRPr="00355470" w:rsidRDefault="004F1850" w:rsidP="004F1850">
      <w:pPr>
        <w:pStyle w:val="3"/>
        <w:spacing w:line="240" w:lineRule="auto"/>
        <w:ind w:firstLineChars="200" w:firstLine="420"/>
        <w:rPr>
          <w:rFonts w:eastAsia="宋体" w:hint="eastAsia"/>
          <w:color w:val="FF0000"/>
          <w:sz w:val="21"/>
        </w:rPr>
      </w:pPr>
      <w:r>
        <w:rPr>
          <w:rFonts w:eastAsia="宋体" w:hint="eastAsia"/>
          <w:color w:val="FF0000"/>
          <w:sz w:val="21"/>
        </w:rPr>
        <w:t>一</w:t>
      </w:r>
      <w:r w:rsidRPr="00355470">
        <w:rPr>
          <w:rFonts w:eastAsia="宋体" w:hint="eastAsia"/>
          <w:color w:val="FF0000"/>
          <w:sz w:val="21"/>
        </w:rPr>
        <w:t>、暂予监外执行</w:t>
      </w:r>
    </w:p>
    <w:p w14:paraId="3A8C20AD" w14:textId="77777777" w:rsidR="004F1850" w:rsidRPr="00D2064F" w:rsidRDefault="004F1850" w:rsidP="004F1850">
      <w:pPr>
        <w:pStyle w:val="4"/>
        <w:spacing w:line="240" w:lineRule="auto"/>
        <w:ind w:firstLineChars="200" w:firstLine="422"/>
        <w:rPr>
          <w:rFonts w:ascii="宋体" w:eastAsia="宋体" w:hAnsi="宋体" w:hint="eastAsia"/>
          <w:b/>
          <w:bCs w:val="0"/>
          <w:color w:val="FF0000"/>
          <w:sz w:val="21"/>
          <w:szCs w:val="21"/>
        </w:rPr>
      </w:pPr>
      <w:bookmarkStart w:id="14" w:name="_Toc510879170"/>
      <w:r w:rsidRPr="00D2064F">
        <w:rPr>
          <w:rFonts w:ascii="宋体" w:eastAsia="宋体" w:hAnsi="宋体" w:hint="eastAsia"/>
          <w:b/>
          <w:bCs w:val="0"/>
          <w:color w:val="FF0000"/>
          <w:sz w:val="21"/>
          <w:szCs w:val="21"/>
        </w:rPr>
        <w:t>暂予监外执行的决定</w:t>
      </w:r>
      <w:bookmarkEnd w:id="14"/>
      <w:r>
        <w:rPr>
          <w:rFonts w:ascii="宋体" w:eastAsia="宋体" w:hAnsi="宋体" w:hint="eastAsia"/>
          <w:b/>
          <w:bCs w:val="0"/>
          <w:color w:val="FF0000"/>
          <w:sz w:val="21"/>
          <w:szCs w:val="21"/>
        </w:rPr>
        <w:t>：</w:t>
      </w:r>
      <w:r w:rsidRPr="00D2064F">
        <w:rPr>
          <w:rFonts w:eastAsia="宋体" w:hint="eastAsia"/>
          <w:sz w:val="21"/>
          <w:szCs w:val="21"/>
        </w:rPr>
        <w:t>交付执行前，</w:t>
      </w:r>
      <w:r w:rsidRPr="00D2064F">
        <w:rPr>
          <w:rFonts w:eastAsia="宋体"/>
          <w:sz w:val="21"/>
          <w:szCs w:val="21"/>
        </w:rPr>
        <w:t>由交付执行的人民法院决定</w:t>
      </w:r>
      <w:r w:rsidRPr="00A11C23">
        <w:rPr>
          <w:rFonts w:eastAsia="宋体"/>
          <w:color w:val="auto"/>
          <w:sz w:val="21"/>
          <w:szCs w:val="21"/>
        </w:rPr>
        <w:t>，法院在作出暂予监外执行决定前，</w:t>
      </w:r>
      <w:r w:rsidRPr="00D2064F">
        <w:rPr>
          <w:rFonts w:eastAsia="宋体"/>
          <w:color w:val="FF0000"/>
          <w:sz w:val="21"/>
          <w:szCs w:val="21"/>
        </w:rPr>
        <w:t>应当征求人民检察院的意见。</w:t>
      </w:r>
      <w:r w:rsidRPr="00D2064F">
        <w:rPr>
          <w:rFonts w:eastAsia="宋体" w:hint="eastAsia"/>
          <w:sz w:val="21"/>
          <w:szCs w:val="21"/>
        </w:rPr>
        <w:t>交付执行后，</w:t>
      </w:r>
      <w:r w:rsidRPr="00D2064F">
        <w:rPr>
          <w:rFonts w:eastAsia="宋体"/>
          <w:sz w:val="21"/>
          <w:szCs w:val="21"/>
        </w:rPr>
        <w:t>由监狱或者看守所提出书面意见，报省级以上监狱管理机关或者设区的市一级以上公安机关批准</w:t>
      </w:r>
    </w:p>
    <w:p w14:paraId="2CCE687D" w14:textId="77777777" w:rsidR="004F1850" w:rsidRPr="00355470" w:rsidRDefault="004F1850" w:rsidP="004F1850">
      <w:pPr>
        <w:spacing w:line="240" w:lineRule="auto"/>
        <w:ind w:firstLine="420"/>
        <w:outlineLvl w:val="0"/>
        <w:rPr>
          <w:rFonts w:eastAsia="宋体" w:hint="eastAsia"/>
          <w:b/>
          <w:color w:val="FF0000"/>
        </w:rPr>
      </w:pPr>
      <w:r>
        <w:rPr>
          <w:rFonts w:eastAsia="宋体" w:hint="eastAsia"/>
          <w:color w:val="FF0000"/>
        </w:rPr>
        <w:t>二</w:t>
      </w:r>
      <w:r w:rsidRPr="00355470">
        <w:rPr>
          <w:rFonts w:eastAsia="宋体" w:hint="eastAsia"/>
          <w:color w:val="FF0000"/>
        </w:rPr>
        <w:t>、减刑、假释</w:t>
      </w:r>
      <w:r w:rsidRPr="00F91820">
        <w:rPr>
          <w:rFonts w:eastAsia="宋体" w:hint="eastAsia"/>
          <w:color w:val="auto"/>
        </w:rPr>
        <w:t xml:space="preserve"> 【死缓无期都归执行地高院，其他都归中院】</w:t>
      </w:r>
    </w:p>
    <w:p w14:paraId="058B3C82" w14:textId="77777777" w:rsidR="004F1850" w:rsidRPr="00E92F9E" w:rsidRDefault="004F1850" w:rsidP="004F1850">
      <w:pPr>
        <w:pStyle w:val="4"/>
        <w:spacing w:line="240" w:lineRule="auto"/>
        <w:ind w:firstLineChars="120" w:firstLine="253"/>
        <w:rPr>
          <w:rFonts w:ascii="宋体" w:eastAsia="宋体" w:hAnsi="宋体" w:hint="eastAsia"/>
          <w:b/>
          <w:bCs w:val="0"/>
          <w:color w:val="FF0000"/>
          <w:sz w:val="21"/>
          <w:szCs w:val="21"/>
        </w:rPr>
      </w:pPr>
      <w:r w:rsidRPr="00E92F9E">
        <w:rPr>
          <w:rFonts w:ascii="宋体" w:eastAsia="宋体" w:hAnsi="宋体" w:hint="eastAsia"/>
          <w:b/>
          <w:bCs w:val="0"/>
          <w:color w:val="FF0000"/>
          <w:sz w:val="21"/>
          <w:szCs w:val="21"/>
        </w:rPr>
        <w:t>（</w:t>
      </w:r>
      <w:r>
        <w:rPr>
          <w:rFonts w:ascii="宋体" w:eastAsia="宋体" w:hAnsi="宋体" w:hint="eastAsia"/>
          <w:b/>
          <w:bCs w:val="0"/>
          <w:color w:val="FF0000"/>
          <w:sz w:val="21"/>
          <w:szCs w:val="21"/>
        </w:rPr>
        <w:t>一</w:t>
      </w:r>
      <w:r w:rsidRPr="00E92F9E">
        <w:rPr>
          <w:rFonts w:ascii="宋体" w:eastAsia="宋体" w:hAnsi="宋体" w:hint="eastAsia"/>
          <w:b/>
          <w:bCs w:val="0"/>
          <w:color w:val="FF0000"/>
          <w:sz w:val="21"/>
          <w:szCs w:val="21"/>
        </w:rPr>
        <w:t>）审理方式</w:t>
      </w:r>
      <w:r>
        <w:rPr>
          <w:rFonts w:ascii="宋体" w:eastAsia="宋体" w:hAnsi="宋体" w:hint="eastAsia"/>
          <w:b/>
          <w:bCs w:val="0"/>
          <w:color w:val="FF0000"/>
          <w:sz w:val="21"/>
          <w:szCs w:val="21"/>
        </w:rPr>
        <w:t>（考试重点！）</w:t>
      </w:r>
    </w:p>
    <w:p w14:paraId="499D0A70" w14:textId="77777777" w:rsidR="004F1850" w:rsidRPr="005D1042" w:rsidRDefault="004F1850" w:rsidP="004F1850">
      <w:pPr>
        <w:widowControl/>
        <w:spacing w:line="240" w:lineRule="auto"/>
        <w:ind w:firstLine="420"/>
        <w:jc w:val="left"/>
        <w:rPr>
          <w:rFonts w:eastAsia="宋体" w:hint="eastAsia"/>
        </w:rPr>
      </w:pPr>
      <w:r w:rsidRPr="005D1042">
        <w:rPr>
          <w:rFonts w:eastAsia="宋体" w:hint="eastAsia"/>
        </w:rPr>
        <w:t>1．人民法院审理减刑、假释案件，</w:t>
      </w:r>
      <w:r w:rsidRPr="005D1042">
        <w:rPr>
          <w:rFonts w:eastAsia="宋体" w:hint="eastAsia"/>
          <w:color w:val="FF0000"/>
        </w:rPr>
        <w:t>可以采取开庭审理或者书面审理的方式</w:t>
      </w:r>
      <w:r w:rsidRPr="005D1042">
        <w:rPr>
          <w:rFonts w:eastAsia="宋体" w:hint="eastAsia"/>
        </w:rPr>
        <w:t>。</w:t>
      </w:r>
      <w:r w:rsidRPr="008A530E">
        <w:rPr>
          <w:rFonts w:eastAsia="宋体" w:hint="eastAsia"/>
          <w:color w:val="auto"/>
        </w:rPr>
        <w:t>但下列减刑、假释案件，</w:t>
      </w:r>
      <w:r w:rsidRPr="005D1042">
        <w:rPr>
          <w:rFonts w:eastAsia="宋体" w:hint="eastAsia"/>
          <w:color w:val="FF0000"/>
        </w:rPr>
        <w:t>应当开庭审理</w:t>
      </w:r>
      <w:r w:rsidRPr="005D1042">
        <w:rPr>
          <w:rFonts w:eastAsia="宋体" w:hint="eastAsia"/>
        </w:rPr>
        <w:t>：（</w:t>
      </w:r>
      <w:r>
        <w:rPr>
          <w:rFonts w:eastAsia="宋体" w:hint="eastAsia"/>
        </w:rPr>
        <w:t>1</w:t>
      </w:r>
      <w:r w:rsidRPr="005D1042">
        <w:rPr>
          <w:rFonts w:eastAsia="宋体" w:hint="eastAsia"/>
        </w:rPr>
        <w:t>）因罪犯有重大立功表现报请减刑的；（</w:t>
      </w:r>
      <w:r>
        <w:rPr>
          <w:rFonts w:eastAsia="宋体" w:hint="eastAsia"/>
        </w:rPr>
        <w:t>2</w:t>
      </w:r>
      <w:r w:rsidRPr="005D1042">
        <w:rPr>
          <w:rFonts w:eastAsia="宋体" w:hint="eastAsia"/>
        </w:rPr>
        <w:t>）报请减刑的起始时间、间隔时间或者减刑幅度不符合司法解释一般规定的；（</w:t>
      </w:r>
      <w:r>
        <w:rPr>
          <w:rFonts w:eastAsia="宋体" w:hint="eastAsia"/>
        </w:rPr>
        <w:t>3</w:t>
      </w:r>
      <w:r w:rsidRPr="005D1042">
        <w:rPr>
          <w:rFonts w:eastAsia="宋体" w:hint="eastAsia"/>
        </w:rPr>
        <w:t>）公示期间收到不同意见的；（</w:t>
      </w:r>
      <w:r>
        <w:rPr>
          <w:rFonts w:eastAsia="宋体" w:hint="eastAsia"/>
        </w:rPr>
        <w:t>4</w:t>
      </w:r>
      <w:r w:rsidRPr="005D1042">
        <w:rPr>
          <w:rFonts w:eastAsia="宋体" w:hint="eastAsia"/>
        </w:rPr>
        <w:t>）人民检察院有异议的；（</w:t>
      </w:r>
      <w:r>
        <w:rPr>
          <w:rFonts w:eastAsia="宋体" w:hint="eastAsia"/>
        </w:rPr>
        <w:t>5</w:t>
      </w:r>
      <w:r w:rsidRPr="005D1042">
        <w:rPr>
          <w:rFonts w:eastAsia="宋体" w:hint="eastAsia"/>
        </w:rPr>
        <w:t>）被报请减刑、假释罪犯系职务犯罪罪犯，组织（领导、参加、包庇、纵容）黑社会性质组织犯罪罪犯，破坏金融管理秩序和金融诈骗犯罪罪犯及其他在社会上有重大影响或社会关注度高的；（</w:t>
      </w:r>
      <w:r>
        <w:rPr>
          <w:rFonts w:eastAsia="宋体" w:hint="eastAsia"/>
        </w:rPr>
        <w:t>6</w:t>
      </w:r>
      <w:r w:rsidRPr="005D1042">
        <w:rPr>
          <w:rFonts w:eastAsia="宋体" w:hint="eastAsia"/>
        </w:rPr>
        <w:t>）人民法院认为其他应当开庭审理的。</w:t>
      </w:r>
    </w:p>
    <w:p w14:paraId="28A641E8" w14:textId="77777777" w:rsidR="004F1850" w:rsidRPr="005D1042" w:rsidRDefault="004F1850" w:rsidP="004F1850">
      <w:pPr>
        <w:widowControl/>
        <w:spacing w:line="240" w:lineRule="auto"/>
        <w:ind w:firstLine="420"/>
        <w:jc w:val="left"/>
        <w:rPr>
          <w:rFonts w:eastAsia="宋体" w:hint="eastAsia"/>
        </w:rPr>
      </w:pPr>
      <w:r w:rsidRPr="005D1042">
        <w:rPr>
          <w:rFonts w:eastAsia="宋体" w:hint="eastAsia"/>
        </w:rPr>
        <w:t>2．法院开庭审理减刑、假释案件，</w:t>
      </w:r>
      <w:r w:rsidRPr="005D1042">
        <w:rPr>
          <w:rFonts w:eastAsia="宋体" w:hint="eastAsia"/>
          <w:color w:val="FF0000"/>
        </w:rPr>
        <w:t>应当通知人民检察院、执行机关及被报请减刑、假释罪犯参加庭审</w:t>
      </w:r>
      <w:r w:rsidRPr="005D1042">
        <w:rPr>
          <w:rFonts w:eastAsia="宋体" w:hint="eastAsia"/>
        </w:rPr>
        <w:t>。法院根据需要，可以通知证明罪犯确有悔改表现或者立功、重大立功表现的证人，公示期间提出不同意见的人,以及鉴定人、翻译人员等其他人员参加庭审。</w:t>
      </w:r>
    </w:p>
    <w:p w14:paraId="0D3B253F" w14:textId="77777777" w:rsidR="004F1850" w:rsidRPr="005D1042" w:rsidRDefault="004F1850" w:rsidP="004F1850">
      <w:pPr>
        <w:widowControl/>
        <w:spacing w:line="240" w:lineRule="auto"/>
        <w:ind w:firstLine="420"/>
        <w:jc w:val="left"/>
        <w:rPr>
          <w:rFonts w:eastAsia="宋体" w:hint="eastAsia"/>
        </w:rPr>
      </w:pPr>
      <w:r w:rsidRPr="005D1042">
        <w:rPr>
          <w:rFonts w:eastAsia="宋体" w:hint="eastAsia"/>
        </w:rPr>
        <w:t>3．人民法</w:t>
      </w:r>
      <w:r w:rsidRPr="00A11C23">
        <w:rPr>
          <w:rFonts w:eastAsia="宋体" w:hint="eastAsia"/>
          <w:color w:val="auto"/>
        </w:rPr>
        <w:t>院书面审理减刑案件，可以提讯被报请减刑罪犯；书面审理假释案件，应当提讯被报请假释罪犯。</w:t>
      </w:r>
    </w:p>
    <w:p w14:paraId="31108BB3" w14:textId="77777777" w:rsidR="004F1850" w:rsidRPr="00784B3E" w:rsidRDefault="004F1850" w:rsidP="004F1850">
      <w:pPr>
        <w:pStyle w:val="4"/>
        <w:spacing w:line="240" w:lineRule="auto"/>
        <w:ind w:firstLineChars="120" w:firstLine="252"/>
        <w:jc w:val="both"/>
        <w:rPr>
          <w:rFonts w:ascii="宋体" w:eastAsia="宋体" w:hAnsi="宋体" w:hint="eastAsia"/>
          <w:sz w:val="21"/>
          <w:szCs w:val="21"/>
        </w:rPr>
      </w:pPr>
      <w:r w:rsidRPr="00784B3E">
        <w:rPr>
          <w:rFonts w:ascii="宋体" w:eastAsia="宋体" w:hAnsi="宋体" w:hint="eastAsia"/>
          <w:sz w:val="21"/>
          <w:szCs w:val="21"/>
        </w:rPr>
        <w:t>（二）审理结果：实体性</w:t>
      </w:r>
      <w:r w:rsidRPr="00784B3E">
        <w:rPr>
          <w:rFonts w:eastAsia="宋体" w:hint="eastAsia"/>
          <w:color w:val="FF0000"/>
          <w:sz w:val="21"/>
          <w:szCs w:val="21"/>
        </w:rPr>
        <w:t>裁定</w:t>
      </w:r>
    </w:p>
    <w:p w14:paraId="62CC1323" w14:textId="77777777" w:rsidR="004F1850" w:rsidRPr="005D1042" w:rsidRDefault="004F1850" w:rsidP="004F1850">
      <w:pPr>
        <w:pStyle w:val="4"/>
        <w:spacing w:line="240" w:lineRule="auto"/>
        <w:ind w:firstLineChars="120" w:firstLine="252"/>
        <w:jc w:val="both"/>
        <w:rPr>
          <w:rFonts w:ascii="宋体" w:eastAsia="宋体" w:hAnsi="宋体" w:hint="eastAsia"/>
          <w:sz w:val="21"/>
          <w:szCs w:val="21"/>
        </w:rPr>
      </w:pPr>
      <w:r w:rsidRPr="005D1042">
        <w:rPr>
          <w:rFonts w:ascii="宋体" w:eastAsia="宋体" w:hAnsi="宋体" w:hint="eastAsia"/>
          <w:sz w:val="21"/>
          <w:szCs w:val="21"/>
        </w:rPr>
        <w:t>（</w:t>
      </w:r>
      <w:r>
        <w:rPr>
          <w:rFonts w:ascii="宋体" w:eastAsia="宋体" w:hAnsi="宋体" w:hint="eastAsia"/>
          <w:sz w:val="21"/>
          <w:szCs w:val="21"/>
        </w:rPr>
        <w:t>三</w:t>
      </w:r>
      <w:r w:rsidRPr="005D1042">
        <w:rPr>
          <w:rFonts w:ascii="宋体" w:eastAsia="宋体" w:hAnsi="宋体" w:hint="eastAsia"/>
          <w:sz w:val="21"/>
          <w:szCs w:val="21"/>
        </w:rPr>
        <w:t>）检察监督</w:t>
      </w:r>
    </w:p>
    <w:p w14:paraId="4A071FFF" w14:textId="77777777" w:rsidR="004F1850" w:rsidRPr="005D1042" w:rsidRDefault="004F1850" w:rsidP="004F1850">
      <w:pPr>
        <w:widowControl/>
        <w:spacing w:line="240" w:lineRule="auto"/>
        <w:ind w:firstLine="420"/>
        <w:rPr>
          <w:rFonts w:eastAsia="宋体" w:hint="eastAsia"/>
          <w:color w:val="FF0000"/>
        </w:rPr>
      </w:pPr>
      <w:r w:rsidRPr="005D1042">
        <w:rPr>
          <w:rFonts w:eastAsia="宋体" w:hint="eastAsia"/>
        </w:rPr>
        <w:t>人民检察院认为人民法院减刑、假释裁定不当，</w:t>
      </w:r>
      <w:r w:rsidRPr="005D1042">
        <w:rPr>
          <w:rFonts w:eastAsia="宋体" w:hint="eastAsia"/>
          <w:color w:val="FF0000"/>
        </w:rPr>
        <w:t>在法定期限内提出书面纠正意见的，人民法院应当在收到纠正意见后另行组成合议庭审理，并在一个月内作出裁定。</w:t>
      </w:r>
    </w:p>
    <w:p w14:paraId="0E636443" w14:textId="77777777" w:rsidR="004F1850" w:rsidRPr="005D1042" w:rsidRDefault="004F1850" w:rsidP="004F1850">
      <w:pPr>
        <w:pStyle w:val="4"/>
        <w:spacing w:line="240" w:lineRule="auto"/>
        <w:ind w:firstLineChars="120" w:firstLine="252"/>
        <w:jc w:val="both"/>
        <w:rPr>
          <w:rFonts w:ascii="宋体" w:eastAsia="宋体" w:hAnsi="宋体" w:hint="eastAsia"/>
          <w:sz w:val="21"/>
          <w:szCs w:val="21"/>
        </w:rPr>
      </w:pPr>
      <w:r w:rsidRPr="005D1042">
        <w:rPr>
          <w:rFonts w:ascii="宋体" w:eastAsia="宋体" w:hAnsi="宋体" w:hint="eastAsia"/>
          <w:sz w:val="21"/>
          <w:szCs w:val="21"/>
        </w:rPr>
        <w:t>（</w:t>
      </w:r>
      <w:r>
        <w:rPr>
          <w:rFonts w:ascii="宋体" w:eastAsia="宋体" w:hAnsi="宋体" w:hint="eastAsia"/>
          <w:sz w:val="21"/>
          <w:szCs w:val="21"/>
        </w:rPr>
        <w:t>四</w:t>
      </w:r>
      <w:r w:rsidRPr="005D1042">
        <w:rPr>
          <w:rFonts w:ascii="宋体" w:eastAsia="宋体" w:hAnsi="宋体" w:hint="eastAsia"/>
          <w:sz w:val="21"/>
          <w:szCs w:val="21"/>
        </w:rPr>
        <w:t>）纠错</w:t>
      </w:r>
    </w:p>
    <w:p w14:paraId="160A2407" w14:textId="77777777" w:rsidR="004F1850" w:rsidRDefault="004F1850" w:rsidP="004F1850">
      <w:pPr>
        <w:widowControl/>
        <w:spacing w:line="240" w:lineRule="auto"/>
        <w:ind w:firstLine="420"/>
        <w:rPr>
          <w:rFonts w:eastAsia="宋体" w:hint="eastAsia"/>
          <w:color w:val="FF0000"/>
        </w:rPr>
      </w:pPr>
      <w:r w:rsidRPr="005D1042">
        <w:rPr>
          <w:rFonts w:eastAsia="宋体" w:hint="eastAsia"/>
        </w:rPr>
        <w:t>人民法院发现本院已经生效的减刑、假释裁定确有错误的，</w:t>
      </w:r>
      <w:r w:rsidRPr="005D1042">
        <w:rPr>
          <w:rFonts w:eastAsia="宋体" w:hint="eastAsia"/>
          <w:color w:val="FF0000"/>
        </w:rPr>
        <w:t>应当依法重新组成合议庭进行审理并作出裁定</w:t>
      </w:r>
      <w:r w:rsidRPr="005D1042">
        <w:rPr>
          <w:rFonts w:eastAsia="宋体" w:hint="eastAsia"/>
        </w:rPr>
        <w:t>；上级人民法院发现下级人民法院已经生效的减刑、假释裁定确有错误的，</w:t>
      </w:r>
      <w:r w:rsidRPr="008A530E">
        <w:rPr>
          <w:rFonts w:eastAsia="宋体" w:hint="eastAsia"/>
          <w:color w:val="auto"/>
        </w:rPr>
        <w:t>应当指令下级人民法院另行组成合议庭审理，也可以自行依法组成合议庭进行审理并作出裁定。</w:t>
      </w:r>
    </w:p>
    <w:p w14:paraId="1E14D12D" w14:textId="62297608" w:rsidR="004F1850" w:rsidRDefault="004F1850" w:rsidP="004F1850">
      <w:pPr>
        <w:pStyle w:val="1"/>
        <w:spacing w:before="0" w:line="240" w:lineRule="auto"/>
        <w:rPr>
          <w:rFonts w:ascii="宋体" w:eastAsia="宋体" w:hAnsi="宋体" w:hint="eastAsia"/>
          <w:b/>
          <w:bCs w:val="0"/>
          <w:color w:val="auto"/>
          <w:sz w:val="22"/>
          <w:szCs w:val="22"/>
        </w:rPr>
      </w:pPr>
      <w:bookmarkStart w:id="15" w:name="_Toc126331830"/>
      <w:bookmarkStart w:id="16" w:name="_Toc4844158"/>
      <w:bookmarkStart w:id="17" w:name="_Toc64384737"/>
      <w:r w:rsidRPr="00D4182A">
        <w:rPr>
          <w:rFonts w:ascii="宋体" w:eastAsia="宋体" w:hAnsi="宋体" w:hint="eastAsia"/>
          <w:b/>
          <w:bCs w:val="0"/>
          <w:color w:val="auto"/>
          <w:sz w:val="22"/>
          <w:szCs w:val="22"/>
        </w:rPr>
        <w:t>考点</w:t>
      </w:r>
      <w:r>
        <w:rPr>
          <w:rFonts w:ascii="宋体" w:eastAsia="宋体" w:hAnsi="宋体" w:hint="eastAsia"/>
          <w:b/>
          <w:bCs w:val="0"/>
          <w:color w:val="auto"/>
          <w:sz w:val="22"/>
          <w:szCs w:val="22"/>
        </w:rPr>
        <w:t>61</w:t>
      </w:r>
      <w:r w:rsidRPr="00D4182A">
        <w:rPr>
          <w:rFonts w:ascii="宋体" w:eastAsia="宋体" w:hAnsi="宋体"/>
          <w:b/>
          <w:bCs w:val="0"/>
          <w:color w:val="auto"/>
          <w:sz w:val="22"/>
          <w:szCs w:val="22"/>
        </w:rPr>
        <w:t xml:space="preserve">  </w:t>
      </w:r>
      <w:r w:rsidRPr="00D4182A">
        <w:rPr>
          <w:rFonts w:ascii="宋体" w:eastAsia="宋体" w:hAnsi="宋体" w:hint="eastAsia"/>
          <w:b/>
          <w:bCs w:val="0"/>
          <w:color w:val="auto"/>
          <w:sz w:val="22"/>
          <w:szCs w:val="22"/>
        </w:rPr>
        <w:t>未成年人刑事案件诉讼程序的</w:t>
      </w:r>
      <w:bookmarkStart w:id="18" w:name="_Toc118039884"/>
      <w:bookmarkStart w:id="19" w:name="_Toc126331831"/>
      <w:bookmarkEnd w:id="15"/>
      <w:r w:rsidRPr="00D4182A">
        <w:rPr>
          <w:rFonts w:ascii="宋体" w:eastAsia="宋体" w:hAnsi="宋体" w:hint="eastAsia"/>
          <w:b/>
          <w:bCs w:val="0"/>
          <w:color w:val="auto"/>
          <w:sz w:val="22"/>
          <w:szCs w:val="22"/>
        </w:rPr>
        <w:t>基本原则</w:t>
      </w:r>
      <w:bookmarkEnd w:id="16"/>
      <w:bookmarkEnd w:id="17"/>
      <w:bookmarkEnd w:id="18"/>
      <w:bookmarkEnd w:id="19"/>
      <w:r w:rsidRPr="00D4182A">
        <w:rPr>
          <w:rFonts w:ascii="宋体" w:eastAsia="宋体" w:hAnsi="宋体" w:hint="eastAsia"/>
          <w:b/>
          <w:bCs w:val="0"/>
          <w:color w:val="auto"/>
          <w:sz w:val="22"/>
          <w:szCs w:val="22"/>
        </w:rPr>
        <w:t>（</w:t>
      </w:r>
      <w:r w:rsidR="005A5496">
        <w:rPr>
          <w:rFonts w:ascii="宋体" w:eastAsia="宋体" w:hAnsi="宋体" w:hint="eastAsia"/>
          <w:b/>
          <w:bCs w:val="0"/>
          <w:color w:val="auto"/>
          <w:sz w:val="22"/>
          <w:szCs w:val="22"/>
        </w:rPr>
        <w:t>21</w:t>
      </w:r>
      <w:r w:rsidR="005A5496" w:rsidRPr="00F91820">
        <w:rPr>
          <w:rFonts w:ascii="宋体" w:eastAsia="宋体" w:hAnsi="宋体"/>
          <w:b/>
          <w:bCs w:val="0"/>
          <w:color w:val="auto"/>
          <w:sz w:val="22"/>
          <w:szCs w:val="22"/>
        </w:rPr>
        <w:t>:</w:t>
      </w:r>
      <w:r w:rsidR="005A5496">
        <w:rPr>
          <w:rFonts w:ascii="宋体" w:eastAsia="宋体" w:hAnsi="宋体" w:hint="eastAsia"/>
          <w:b/>
          <w:bCs w:val="0"/>
          <w:color w:val="auto"/>
          <w:sz w:val="22"/>
          <w:szCs w:val="22"/>
        </w:rPr>
        <w:t>49</w:t>
      </w:r>
      <w:r w:rsidRPr="00D4182A">
        <w:rPr>
          <w:rFonts w:ascii="宋体" w:eastAsia="宋体" w:hAnsi="宋体"/>
          <w:b/>
          <w:bCs w:val="0"/>
          <w:color w:val="auto"/>
          <w:sz w:val="22"/>
          <w:szCs w:val="22"/>
        </w:rPr>
        <w:t>:00-</w:t>
      </w:r>
      <w:r w:rsidR="005143E7">
        <w:rPr>
          <w:rFonts w:ascii="宋体" w:eastAsia="宋体" w:hAnsi="宋体" w:hint="eastAsia"/>
          <w:b/>
          <w:bCs w:val="0"/>
          <w:color w:val="auto"/>
          <w:sz w:val="22"/>
          <w:szCs w:val="22"/>
        </w:rPr>
        <w:t>22</w:t>
      </w:r>
      <w:r w:rsidR="005143E7" w:rsidRPr="00E64011">
        <w:rPr>
          <w:rFonts w:ascii="宋体" w:eastAsia="宋体" w:hAnsi="宋体"/>
          <w:b/>
          <w:bCs w:val="0"/>
          <w:color w:val="auto"/>
          <w:sz w:val="22"/>
          <w:szCs w:val="22"/>
        </w:rPr>
        <w:t>:</w:t>
      </w:r>
      <w:r w:rsidR="005143E7">
        <w:rPr>
          <w:rFonts w:ascii="宋体" w:eastAsia="宋体" w:hAnsi="宋体" w:hint="eastAsia"/>
          <w:b/>
          <w:bCs w:val="0"/>
          <w:color w:val="auto"/>
          <w:sz w:val="22"/>
          <w:szCs w:val="22"/>
        </w:rPr>
        <w:t>07</w:t>
      </w:r>
      <w:r w:rsidRPr="00D4182A">
        <w:rPr>
          <w:rFonts w:ascii="宋体" w:eastAsia="宋体" w:hAnsi="宋体"/>
          <w:b/>
          <w:bCs w:val="0"/>
          <w:color w:val="auto"/>
          <w:sz w:val="22"/>
          <w:szCs w:val="22"/>
        </w:rPr>
        <w:t>:00）</w:t>
      </w:r>
    </w:p>
    <w:p w14:paraId="1FA95A68" w14:textId="77777777" w:rsidR="004F1850" w:rsidRPr="00E164E9" w:rsidRDefault="004F1850" w:rsidP="004F1850">
      <w:pPr>
        <w:pStyle w:val="3"/>
        <w:spacing w:line="240" w:lineRule="auto"/>
        <w:ind w:firstLineChars="200" w:firstLine="420"/>
        <w:rPr>
          <w:rFonts w:eastAsia="宋体" w:hint="eastAsia"/>
          <w:sz w:val="21"/>
        </w:rPr>
      </w:pPr>
      <w:r w:rsidRPr="00E164E9">
        <w:rPr>
          <w:rFonts w:eastAsia="宋体" w:hint="eastAsia"/>
          <w:sz w:val="21"/>
        </w:rPr>
        <w:t>未成年人刑事案件诉讼程序的原则</w:t>
      </w:r>
    </w:p>
    <w:p w14:paraId="3EFDFDF4" w14:textId="77777777" w:rsidR="004F1850" w:rsidRPr="009173C1" w:rsidRDefault="004F1850" w:rsidP="004F1850">
      <w:pPr>
        <w:ind w:firstLine="420"/>
        <w:rPr>
          <w:rFonts w:eastAsia="宋体" w:hint="eastAsia"/>
        </w:rPr>
      </w:pPr>
      <w:r w:rsidRPr="009173C1">
        <w:rPr>
          <w:rFonts w:eastAsia="宋体" w:hint="eastAsia"/>
        </w:rPr>
        <w:t>（一）教育为主、惩罚为辅的原则</w:t>
      </w:r>
    </w:p>
    <w:p w14:paraId="31045FFE" w14:textId="77777777" w:rsidR="004F1850" w:rsidRPr="009173C1" w:rsidRDefault="004F1850" w:rsidP="004F1850">
      <w:pPr>
        <w:ind w:firstLine="420"/>
        <w:rPr>
          <w:rFonts w:eastAsia="宋体" w:hint="eastAsia"/>
        </w:rPr>
      </w:pPr>
      <w:r w:rsidRPr="009173C1">
        <w:rPr>
          <w:rFonts w:eastAsia="宋体" w:hint="eastAsia"/>
        </w:rPr>
        <w:lastRenderedPageBreak/>
        <w:t>（二）保障诉讼权利原则（利益最大化原则）</w:t>
      </w:r>
    </w:p>
    <w:p w14:paraId="0FE371C3" w14:textId="77777777" w:rsidR="004F1850" w:rsidRPr="009173C1" w:rsidRDefault="004F1850" w:rsidP="004F1850">
      <w:pPr>
        <w:ind w:firstLine="422"/>
        <w:rPr>
          <w:rFonts w:eastAsia="宋体" w:hint="eastAsia"/>
          <w:b/>
          <w:bCs/>
        </w:rPr>
      </w:pPr>
      <w:r w:rsidRPr="009173C1">
        <w:rPr>
          <w:rFonts w:eastAsia="宋体" w:hint="eastAsia"/>
          <w:b/>
        </w:rPr>
        <w:t>（三）分案处理原则</w:t>
      </w:r>
    </w:p>
    <w:p w14:paraId="238FFB31" w14:textId="77777777" w:rsidR="004F1850" w:rsidRPr="00842A23" w:rsidRDefault="004F1850" w:rsidP="004F1850">
      <w:pPr>
        <w:tabs>
          <w:tab w:val="clear" w:pos="420"/>
        </w:tabs>
        <w:spacing w:line="240" w:lineRule="auto"/>
        <w:ind w:firstLine="420"/>
        <w:jc w:val="left"/>
        <w:rPr>
          <w:rFonts w:eastAsia="宋体" w:cs="汉仪中黑简" w:hint="eastAsia"/>
          <w:bCs/>
          <w:kern w:val="44"/>
        </w:rPr>
      </w:pPr>
      <w:r w:rsidRPr="00842A23">
        <w:rPr>
          <w:rFonts w:eastAsia="宋体" w:cs="汉仪中黑简" w:hint="eastAsia"/>
          <w:bCs/>
          <w:kern w:val="44"/>
        </w:rPr>
        <w:t>1</w:t>
      </w:r>
      <w:r w:rsidRPr="00842A23">
        <w:rPr>
          <w:rFonts w:eastAsia="宋体" w:cs="汉仪中黑简"/>
          <w:bCs/>
          <w:kern w:val="44"/>
        </w:rPr>
        <w:t>．</w:t>
      </w:r>
      <w:r w:rsidRPr="00842A23">
        <w:rPr>
          <w:rFonts w:eastAsia="宋体" w:cs="汉仪中黑简" w:hint="eastAsia"/>
          <w:bCs/>
          <w:kern w:val="44"/>
        </w:rPr>
        <w:t>一般应分案起诉</w:t>
      </w:r>
    </w:p>
    <w:p w14:paraId="65A446DD" w14:textId="77777777" w:rsidR="004F1850" w:rsidRPr="00842A23" w:rsidRDefault="004F1850" w:rsidP="004F1850">
      <w:pPr>
        <w:tabs>
          <w:tab w:val="clear" w:pos="420"/>
        </w:tabs>
        <w:spacing w:line="240" w:lineRule="auto"/>
        <w:ind w:firstLine="420"/>
        <w:jc w:val="left"/>
        <w:rPr>
          <w:rFonts w:eastAsia="宋体" w:hint="eastAsia"/>
        </w:rPr>
      </w:pPr>
      <w:r w:rsidRPr="00842A23">
        <w:rPr>
          <w:rFonts w:eastAsia="宋体" w:cs="汉仪中黑简" w:hint="eastAsia"/>
          <w:bCs/>
          <w:kern w:val="44"/>
        </w:rPr>
        <w:t>一般应分案起诉。</w:t>
      </w:r>
      <w:r w:rsidRPr="00842A23">
        <w:rPr>
          <w:rFonts w:eastAsia="宋体" w:hint="eastAsia"/>
        </w:rPr>
        <w:t>可以不分案起诉：未成年人系犯罪集团的组织者或者其他共同犯罪中的主犯的；案件重大、疑难、复杂，分案起诉可能妨碍案件审理的；涉及刑事附带民事诉讼，分案起诉妨碍附带民事诉讼部分审理的</w:t>
      </w:r>
    </w:p>
    <w:p w14:paraId="6A3F71BC" w14:textId="77777777" w:rsidR="004F1850" w:rsidRPr="00842A23" w:rsidRDefault="004F1850" w:rsidP="004F1850">
      <w:pPr>
        <w:tabs>
          <w:tab w:val="clear" w:pos="420"/>
        </w:tabs>
        <w:spacing w:line="240" w:lineRule="auto"/>
        <w:ind w:firstLine="420"/>
        <w:jc w:val="left"/>
        <w:rPr>
          <w:rFonts w:eastAsia="宋体" w:cs="汉仪中黑简" w:hint="eastAsia"/>
          <w:bCs/>
          <w:kern w:val="44"/>
        </w:rPr>
      </w:pPr>
      <w:r w:rsidRPr="00842A23">
        <w:rPr>
          <w:rFonts w:eastAsia="宋体" w:cs="汉仪中黑简" w:hint="eastAsia"/>
          <w:bCs/>
          <w:kern w:val="44"/>
        </w:rPr>
        <w:t>2</w:t>
      </w:r>
      <w:r w:rsidRPr="00842A23">
        <w:rPr>
          <w:rFonts w:eastAsia="宋体" w:cs="汉仪中黑简"/>
          <w:bCs/>
          <w:kern w:val="44"/>
        </w:rPr>
        <w:t>．</w:t>
      </w:r>
      <w:r w:rsidRPr="00842A23">
        <w:rPr>
          <w:rFonts w:eastAsia="宋体" w:cs="汉仪中黑简" w:hint="eastAsia"/>
          <w:bCs/>
          <w:kern w:val="44"/>
        </w:rPr>
        <w:t>可以分别审理</w:t>
      </w:r>
    </w:p>
    <w:p w14:paraId="1EFB3741" w14:textId="77777777" w:rsidR="004F1850" w:rsidRPr="00842A23" w:rsidRDefault="004F1850" w:rsidP="004F1850">
      <w:pPr>
        <w:spacing w:line="240" w:lineRule="auto"/>
        <w:ind w:firstLine="420"/>
        <w:rPr>
          <w:rFonts w:eastAsia="宋体" w:hint="eastAsia"/>
        </w:rPr>
      </w:pPr>
      <w:r w:rsidRPr="006E03A9">
        <w:rPr>
          <w:rFonts w:eastAsia="宋体" w:hint="eastAsia"/>
          <w:color w:val="FF0000"/>
        </w:rPr>
        <w:t>对分案起诉至同一人民法院的未成年人与成年人共同犯罪案件，可以由同一个审判组织审理；不宜由同一个审判组织审理的，可以分别审理。</w:t>
      </w:r>
      <w:r w:rsidRPr="00842A23">
        <w:rPr>
          <w:rFonts w:eastAsia="宋体" w:hint="eastAsia"/>
        </w:rPr>
        <w:t>未成年人与成年人共同犯罪案件，由不同人民法院或者不同审判组织分别审理的，有关人民法院或者审判组织应当互相了解共同犯罪被告人的审判情况，注意全案的量刑平衡。</w:t>
      </w:r>
    </w:p>
    <w:p w14:paraId="2683790E" w14:textId="77777777" w:rsidR="004F1850" w:rsidRPr="00842A23" w:rsidRDefault="004F1850" w:rsidP="004F1850">
      <w:pPr>
        <w:spacing w:line="240" w:lineRule="auto"/>
        <w:ind w:firstLine="420"/>
        <w:rPr>
          <w:rFonts w:eastAsia="宋体" w:hint="eastAsia"/>
          <w:color w:val="FF0000"/>
        </w:rPr>
      </w:pPr>
      <w:r w:rsidRPr="00842A23">
        <w:rPr>
          <w:rFonts w:eastAsia="宋体" w:hint="eastAsia"/>
        </w:rPr>
        <w:t>注意，对未成年人与成年人共同犯罪的案，</w:t>
      </w:r>
      <w:r w:rsidRPr="00842A23">
        <w:rPr>
          <w:rFonts w:eastAsia="宋体" w:hint="eastAsia"/>
          <w:color w:val="FF0000"/>
        </w:rPr>
        <w:t>在审查起诉阶段，一般应分案起诉，具有法定情形的才可以不分案起诉</w:t>
      </w:r>
      <w:r w:rsidRPr="00842A23">
        <w:rPr>
          <w:rFonts w:eastAsia="宋体" w:hint="eastAsia"/>
        </w:rPr>
        <w:t>；</w:t>
      </w:r>
      <w:r w:rsidRPr="00842A23">
        <w:rPr>
          <w:rFonts w:eastAsia="宋体" w:hint="eastAsia"/>
          <w:color w:val="FF0000"/>
        </w:rPr>
        <w:t>在审判阶段，一般应由同一审判组织审理，不宜由同一审判组织审理的，才可以分别审理。</w:t>
      </w:r>
    </w:p>
    <w:p w14:paraId="1CC7C9A8" w14:textId="77777777" w:rsidR="004F1850" w:rsidRPr="00842A23" w:rsidRDefault="004F1850" w:rsidP="004F1850">
      <w:pPr>
        <w:tabs>
          <w:tab w:val="clear" w:pos="420"/>
        </w:tabs>
        <w:spacing w:line="240" w:lineRule="auto"/>
        <w:ind w:firstLine="420"/>
        <w:jc w:val="left"/>
        <w:rPr>
          <w:rFonts w:eastAsia="宋体" w:cs="汉仪中黑简" w:hint="eastAsia"/>
          <w:bCs/>
          <w:kern w:val="44"/>
        </w:rPr>
      </w:pPr>
      <w:r w:rsidRPr="00842A23">
        <w:rPr>
          <w:rFonts w:eastAsia="宋体" w:cs="汉仪中黑简" w:hint="eastAsia"/>
          <w:bCs/>
          <w:kern w:val="44"/>
        </w:rPr>
        <w:t>3</w:t>
      </w:r>
      <w:r w:rsidRPr="00842A23">
        <w:rPr>
          <w:rFonts w:eastAsia="宋体" w:cs="汉仪中黑简"/>
          <w:bCs/>
          <w:kern w:val="44"/>
        </w:rPr>
        <w:t>．应当分别关押、分别管理、分别教育</w:t>
      </w:r>
    </w:p>
    <w:p w14:paraId="378FF505" w14:textId="77777777" w:rsidR="004F1850" w:rsidRPr="00D60920" w:rsidRDefault="004F1850" w:rsidP="004F1850">
      <w:pPr>
        <w:spacing w:line="240" w:lineRule="auto"/>
        <w:ind w:firstLine="420"/>
        <w:rPr>
          <w:rFonts w:eastAsia="宋体" w:hint="eastAsia"/>
          <w:color w:val="auto"/>
        </w:rPr>
      </w:pPr>
      <w:r w:rsidRPr="00D60920">
        <w:rPr>
          <w:rFonts w:eastAsia="宋体" w:hint="eastAsia"/>
          <w:color w:val="auto"/>
        </w:rPr>
        <w:t>《刑诉法》第280条第2款规定：“对被拘留、逮捕和执行刑罚的未成年人与成年人应当分别关押、分别管理、分别教育。”</w:t>
      </w:r>
    </w:p>
    <w:p w14:paraId="28B78321" w14:textId="77777777" w:rsidR="004F1850" w:rsidRPr="00E164E9" w:rsidRDefault="004F1850" w:rsidP="004F1850">
      <w:pPr>
        <w:tabs>
          <w:tab w:val="clear" w:pos="420"/>
        </w:tabs>
        <w:spacing w:line="240" w:lineRule="auto"/>
        <w:ind w:firstLine="420"/>
        <w:jc w:val="left"/>
        <w:rPr>
          <w:rFonts w:eastAsia="宋体" w:cs="汉仪中黑简" w:hint="eastAsia"/>
          <w:bCs/>
          <w:kern w:val="44"/>
        </w:rPr>
      </w:pPr>
      <w:r w:rsidRPr="005D1042">
        <w:rPr>
          <w:rFonts w:eastAsia="宋体" w:hint="eastAsia"/>
        </w:rPr>
        <w:t>（</w:t>
      </w:r>
      <w:r>
        <w:rPr>
          <w:rFonts w:eastAsia="宋体" w:hint="eastAsia"/>
        </w:rPr>
        <w:t>四</w:t>
      </w:r>
      <w:r w:rsidRPr="005D1042">
        <w:rPr>
          <w:rFonts w:eastAsia="宋体" w:hint="eastAsia"/>
        </w:rPr>
        <w:t>）</w:t>
      </w:r>
      <w:r w:rsidRPr="005D1042">
        <w:rPr>
          <w:rFonts w:eastAsia="宋体" w:hint="eastAsia"/>
          <w:color w:val="FF0000"/>
        </w:rPr>
        <w:t>审理不公开与保密原则</w:t>
      </w:r>
    </w:p>
    <w:p w14:paraId="232E5950" w14:textId="77777777" w:rsidR="004F1850" w:rsidRDefault="004F1850" w:rsidP="004F1850">
      <w:pPr>
        <w:spacing w:line="240" w:lineRule="auto"/>
        <w:ind w:firstLine="420"/>
        <w:rPr>
          <w:rFonts w:eastAsia="宋体" w:hint="eastAsia"/>
        </w:rPr>
      </w:pPr>
      <w:r w:rsidRPr="003D1286">
        <w:rPr>
          <w:rFonts w:eastAsia="宋体" w:hint="eastAsia"/>
          <w:color w:val="FF0000"/>
        </w:rPr>
        <w:t>经未成年被告人及其法定代理人同意</w:t>
      </w:r>
      <w:r w:rsidRPr="005D1042">
        <w:rPr>
          <w:rFonts w:eastAsia="宋体" w:hint="eastAsia"/>
        </w:rPr>
        <w:t>，未成年被告人所在学校和未成年人保护组织可以派代表到场。</w:t>
      </w:r>
    </w:p>
    <w:p w14:paraId="4425211D" w14:textId="77777777" w:rsidR="004F1850" w:rsidRDefault="004F1850" w:rsidP="004F1850">
      <w:pPr>
        <w:spacing w:line="240" w:lineRule="auto"/>
        <w:ind w:firstLine="420"/>
        <w:rPr>
          <w:rFonts w:eastAsia="宋体" w:hint="eastAsia"/>
          <w:color w:val="FF0000"/>
        </w:rPr>
      </w:pPr>
      <w:r w:rsidRPr="005D1042">
        <w:rPr>
          <w:rFonts w:eastAsia="宋体" w:hint="eastAsia"/>
        </w:rPr>
        <w:t>（</w:t>
      </w:r>
      <w:r>
        <w:rPr>
          <w:rFonts w:eastAsia="宋体" w:hint="eastAsia"/>
        </w:rPr>
        <w:t>五</w:t>
      </w:r>
      <w:r w:rsidRPr="005D1042">
        <w:rPr>
          <w:rFonts w:eastAsia="宋体" w:hint="eastAsia"/>
        </w:rPr>
        <w:t>）</w:t>
      </w:r>
      <w:r w:rsidRPr="005D1042">
        <w:rPr>
          <w:rFonts w:eastAsia="宋体" w:hint="eastAsia"/>
          <w:color w:val="FF0000"/>
        </w:rPr>
        <w:t>全面调查原则</w:t>
      </w:r>
      <w:r>
        <w:rPr>
          <w:rFonts w:eastAsia="宋体" w:hint="eastAsia"/>
          <w:color w:val="FF0000"/>
        </w:rPr>
        <w:t>（与认罪认罚调查评估制度相类似）</w:t>
      </w:r>
    </w:p>
    <w:p w14:paraId="5F742136" w14:textId="77777777" w:rsidR="004F1850" w:rsidRPr="00FB415B" w:rsidRDefault="004F1850" w:rsidP="004F1850">
      <w:pPr>
        <w:spacing w:line="240" w:lineRule="auto"/>
        <w:ind w:firstLine="420"/>
        <w:jc w:val="left"/>
        <w:rPr>
          <w:rFonts w:eastAsia="宋体" w:hint="eastAsia"/>
          <w:color w:val="FF0000"/>
        </w:rPr>
      </w:pPr>
      <w:r w:rsidRPr="00FB415B">
        <w:rPr>
          <w:rFonts w:eastAsia="宋体" w:hint="eastAsia"/>
          <w:color w:val="FF0000"/>
        </w:rPr>
        <w:t>（公检法三机关可以自行调查也可以委托调查）</w:t>
      </w:r>
    </w:p>
    <w:p w14:paraId="052AFFFE" w14:textId="77777777" w:rsidR="004F1850" w:rsidRPr="009173C1" w:rsidRDefault="004F1850" w:rsidP="004F1850">
      <w:pPr>
        <w:spacing w:line="240" w:lineRule="auto"/>
        <w:ind w:firstLine="420"/>
        <w:jc w:val="left"/>
        <w:rPr>
          <w:rFonts w:eastAsia="宋体" w:hint="eastAsia"/>
          <w:color w:val="auto"/>
        </w:rPr>
      </w:pPr>
      <w:r w:rsidRPr="009173C1">
        <w:rPr>
          <w:rFonts w:eastAsia="宋体" w:hint="eastAsia"/>
          <w:color w:val="auto"/>
        </w:rPr>
        <w:t>人民检察院开展社会调查，可以委托有关组织和机构进行。开展社会调查应当尊重和保护未成年人名誉，避免向不知情人员泄露未成年犯罪嫌疑人的涉罪信息。人民检察院应当对公安机关移送的社会调查报告进行审查，必要时可以进行补充调查。提起</w:t>
      </w:r>
      <w:hyperlink r:id="rId7" w:tgtFrame="_blank" w:history="1">
        <w:r w:rsidRPr="009173C1">
          <w:rPr>
            <w:rFonts w:eastAsia="宋体" w:hint="eastAsia"/>
            <w:color w:val="auto"/>
          </w:rPr>
          <w:t>公诉</w:t>
        </w:r>
      </w:hyperlink>
      <w:r w:rsidRPr="009173C1">
        <w:rPr>
          <w:rFonts w:eastAsia="宋体" w:hint="eastAsia"/>
          <w:color w:val="auto"/>
        </w:rPr>
        <w:t>的案件，社会调查报告应当随案移送人民法院。”</w:t>
      </w:r>
    </w:p>
    <w:p w14:paraId="5DAB71E9" w14:textId="77777777" w:rsidR="004F1850" w:rsidRDefault="004F1850" w:rsidP="004F1850">
      <w:pPr>
        <w:spacing w:line="240" w:lineRule="auto"/>
        <w:ind w:firstLine="420"/>
        <w:rPr>
          <w:rFonts w:eastAsia="宋体" w:hint="eastAsia"/>
        </w:rPr>
      </w:pPr>
      <w:r w:rsidRPr="005D1042">
        <w:rPr>
          <w:rFonts w:eastAsia="宋体" w:hint="eastAsia"/>
        </w:rPr>
        <w:t>对人民检察院移送的关于未成年被告人性格特点、家庭情况、社会交往、成长经历、犯罪原因、犯罪前后的表现、监护</w:t>
      </w:r>
      <w:r w:rsidRPr="00AF6CB6">
        <w:rPr>
          <w:rFonts w:eastAsia="宋体" w:hint="eastAsia"/>
          <w:color w:val="auto"/>
        </w:rPr>
        <w:t>教育等情况的调查报告，以及辩护人提交的反映未成年被告人上述情况的书面材料，法庭应当接受。必要时，人民法院可以委托社区矫正机构、共青团、社会组织等对未成年被告人的上述情况进行调查，或者自行调查。”</w:t>
      </w:r>
    </w:p>
    <w:p w14:paraId="153DF228" w14:textId="77777777" w:rsidR="004F1850" w:rsidRDefault="004F1850" w:rsidP="004F1850">
      <w:pPr>
        <w:spacing w:line="240" w:lineRule="auto"/>
        <w:ind w:firstLine="420"/>
        <w:rPr>
          <w:rFonts w:eastAsia="宋体" w:hint="eastAsia"/>
        </w:rPr>
      </w:pPr>
      <w:r w:rsidRPr="00BC0174">
        <w:rPr>
          <w:rFonts w:eastAsia="宋体"/>
        </w:rPr>
        <w:t>对未成年被告人情况的调查报告，以及辩护人提交的有关未成年被告人情况的书面材料，法庭应当审查并听取控辩双方意见。上述报告和材料可以作为办理案件和教育未成年人的</w:t>
      </w:r>
      <w:r w:rsidRPr="00BC0174">
        <w:rPr>
          <w:rFonts w:eastAsia="宋体"/>
          <w:color w:val="FF0000"/>
        </w:rPr>
        <w:t>参考</w:t>
      </w:r>
      <w:r w:rsidRPr="00BC0174">
        <w:rPr>
          <w:rFonts w:eastAsia="宋体"/>
        </w:rPr>
        <w:t>。人民法院可以通知作出调查报告的人员出庭说明情况，接受控辩双方和法庭的询问。</w:t>
      </w:r>
    </w:p>
    <w:p w14:paraId="047F9B56" w14:textId="7EABE218" w:rsidR="004F1850" w:rsidRPr="00E64011" w:rsidRDefault="004F1850" w:rsidP="004F1850">
      <w:pPr>
        <w:pStyle w:val="1"/>
        <w:spacing w:before="0" w:line="240" w:lineRule="auto"/>
        <w:rPr>
          <w:rFonts w:ascii="宋体" w:eastAsia="宋体" w:hAnsi="宋体" w:hint="eastAsia"/>
          <w:b/>
          <w:bCs w:val="0"/>
          <w:color w:val="auto"/>
          <w:sz w:val="22"/>
          <w:szCs w:val="22"/>
        </w:rPr>
      </w:pPr>
      <w:bookmarkStart w:id="20" w:name="_Toc64384738"/>
      <w:bookmarkStart w:id="21" w:name="_Toc510879176"/>
      <w:bookmarkStart w:id="22" w:name="_Toc4844159"/>
      <w:bookmarkStart w:id="23" w:name="_Toc126331832"/>
      <w:bookmarkStart w:id="24" w:name="_Toc510879180"/>
      <w:bookmarkStart w:id="25" w:name="_Toc4844160"/>
      <w:bookmarkStart w:id="26" w:name="_Toc64384739"/>
      <w:bookmarkStart w:id="27" w:name="_Toc126331833"/>
      <w:r w:rsidRPr="00E64011">
        <w:rPr>
          <w:rFonts w:ascii="宋体" w:eastAsia="宋体" w:hAnsi="宋体" w:hint="eastAsia"/>
          <w:b/>
          <w:bCs w:val="0"/>
          <w:color w:val="auto"/>
          <w:sz w:val="22"/>
          <w:szCs w:val="22"/>
        </w:rPr>
        <w:t>考点</w:t>
      </w:r>
      <w:r>
        <w:rPr>
          <w:rFonts w:ascii="宋体" w:eastAsia="宋体" w:hAnsi="宋体" w:hint="eastAsia"/>
          <w:b/>
          <w:bCs w:val="0"/>
          <w:color w:val="auto"/>
          <w:sz w:val="22"/>
          <w:szCs w:val="22"/>
        </w:rPr>
        <w:t>62</w:t>
      </w:r>
      <w:r w:rsidRPr="00E64011">
        <w:rPr>
          <w:rFonts w:ascii="宋体" w:eastAsia="宋体" w:hAnsi="宋体" w:hint="eastAsia"/>
          <w:b/>
          <w:bCs w:val="0"/>
          <w:color w:val="auto"/>
          <w:sz w:val="22"/>
          <w:szCs w:val="22"/>
        </w:rPr>
        <w:t xml:space="preserve">  合适成年人在场制度</w:t>
      </w:r>
      <w:bookmarkEnd w:id="20"/>
      <w:bookmarkEnd w:id="21"/>
      <w:bookmarkEnd w:id="22"/>
      <w:bookmarkEnd w:id="23"/>
      <w:r w:rsidRPr="00E64011">
        <w:rPr>
          <w:rFonts w:ascii="宋体" w:eastAsia="宋体" w:hAnsi="宋体" w:hint="eastAsia"/>
          <w:b/>
          <w:bCs w:val="0"/>
          <w:color w:val="auto"/>
          <w:sz w:val="22"/>
          <w:szCs w:val="22"/>
        </w:rPr>
        <w:t>（</w:t>
      </w:r>
      <w:r w:rsidR="00721715">
        <w:rPr>
          <w:rFonts w:ascii="宋体" w:eastAsia="宋体" w:hAnsi="宋体" w:hint="eastAsia"/>
          <w:b/>
          <w:bCs w:val="0"/>
          <w:color w:val="auto"/>
          <w:sz w:val="22"/>
          <w:szCs w:val="22"/>
        </w:rPr>
        <w:t>22</w:t>
      </w:r>
      <w:r w:rsidRPr="00E64011">
        <w:rPr>
          <w:rFonts w:ascii="宋体" w:eastAsia="宋体" w:hAnsi="宋体"/>
          <w:b/>
          <w:bCs w:val="0"/>
          <w:color w:val="auto"/>
          <w:sz w:val="22"/>
          <w:szCs w:val="22"/>
        </w:rPr>
        <w:t>:</w:t>
      </w:r>
      <w:r w:rsidR="00721715">
        <w:rPr>
          <w:rFonts w:ascii="宋体" w:eastAsia="宋体" w:hAnsi="宋体" w:hint="eastAsia"/>
          <w:b/>
          <w:bCs w:val="0"/>
          <w:color w:val="auto"/>
          <w:sz w:val="22"/>
          <w:szCs w:val="22"/>
        </w:rPr>
        <w:t>07</w:t>
      </w:r>
      <w:r w:rsidRPr="00E64011">
        <w:rPr>
          <w:rFonts w:ascii="宋体" w:eastAsia="宋体" w:hAnsi="宋体"/>
          <w:b/>
          <w:bCs w:val="0"/>
          <w:color w:val="auto"/>
          <w:sz w:val="22"/>
          <w:szCs w:val="22"/>
        </w:rPr>
        <w:t>:00-</w:t>
      </w:r>
      <w:r w:rsidR="00DC11AD">
        <w:rPr>
          <w:rFonts w:ascii="宋体" w:eastAsia="宋体" w:hAnsi="宋体" w:hint="eastAsia"/>
          <w:b/>
          <w:bCs w:val="0"/>
          <w:color w:val="auto"/>
          <w:sz w:val="22"/>
          <w:szCs w:val="22"/>
        </w:rPr>
        <w:t>22</w:t>
      </w:r>
      <w:r w:rsidRPr="00E64011">
        <w:rPr>
          <w:rFonts w:ascii="宋体" w:eastAsia="宋体" w:hAnsi="宋体"/>
          <w:b/>
          <w:bCs w:val="0"/>
          <w:color w:val="auto"/>
          <w:sz w:val="22"/>
          <w:szCs w:val="22"/>
        </w:rPr>
        <w:t>:</w:t>
      </w:r>
      <w:r w:rsidR="00DC11AD">
        <w:rPr>
          <w:rFonts w:ascii="宋体" w:eastAsia="宋体" w:hAnsi="宋体" w:hint="eastAsia"/>
          <w:b/>
          <w:bCs w:val="0"/>
          <w:color w:val="auto"/>
          <w:sz w:val="22"/>
          <w:szCs w:val="22"/>
        </w:rPr>
        <w:t>15</w:t>
      </w:r>
      <w:r w:rsidRPr="00E64011">
        <w:rPr>
          <w:rFonts w:ascii="宋体" w:eastAsia="宋体" w:hAnsi="宋体"/>
          <w:b/>
          <w:bCs w:val="0"/>
          <w:color w:val="auto"/>
          <w:sz w:val="22"/>
          <w:szCs w:val="22"/>
        </w:rPr>
        <w:t>:00）</w:t>
      </w:r>
    </w:p>
    <w:p w14:paraId="2E76EB90" w14:textId="77777777" w:rsidR="004F1850" w:rsidRPr="005D1042" w:rsidRDefault="004F1850" w:rsidP="004F1850">
      <w:pPr>
        <w:pStyle w:val="3"/>
        <w:spacing w:line="240" w:lineRule="auto"/>
        <w:ind w:firstLineChars="200" w:firstLine="420"/>
        <w:rPr>
          <w:rFonts w:eastAsia="宋体" w:hint="eastAsia"/>
          <w:sz w:val="21"/>
        </w:rPr>
      </w:pPr>
      <w:bookmarkStart w:id="28" w:name="_Toc510879177"/>
      <w:r w:rsidRPr="005D1042">
        <w:rPr>
          <w:rFonts w:eastAsia="宋体" w:hint="eastAsia"/>
          <w:sz w:val="21"/>
        </w:rPr>
        <w:t>一、合适成年人在场制度的适用范围</w:t>
      </w:r>
      <w:bookmarkEnd w:id="28"/>
    </w:p>
    <w:p w14:paraId="2337CB6E" w14:textId="77777777" w:rsidR="004F1850" w:rsidRPr="008605ED" w:rsidRDefault="004F1850" w:rsidP="004F1850">
      <w:pPr>
        <w:spacing w:line="240" w:lineRule="auto"/>
        <w:ind w:firstLine="420"/>
        <w:rPr>
          <w:rFonts w:eastAsia="宋体" w:hint="eastAsia"/>
          <w:color w:val="auto"/>
        </w:rPr>
      </w:pPr>
      <w:r w:rsidRPr="008605ED">
        <w:rPr>
          <w:rFonts w:eastAsia="宋体" w:hint="eastAsia"/>
          <w:color w:val="auto"/>
        </w:rPr>
        <w:t>1．讯问未成年犯罪嫌疑人2．询问未成年被害人、证人3．审理未成年人刑事案件（包括简易程序）及宣判</w:t>
      </w:r>
    </w:p>
    <w:p w14:paraId="2E8405D1" w14:textId="77777777" w:rsidR="004F1850" w:rsidRPr="005D1042" w:rsidRDefault="004F1850" w:rsidP="004F1850">
      <w:pPr>
        <w:pStyle w:val="3"/>
        <w:spacing w:line="240" w:lineRule="auto"/>
        <w:ind w:firstLineChars="200" w:firstLine="420"/>
        <w:rPr>
          <w:rFonts w:eastAsia="宋体" w:hint="eastAsia"/>
          <w:sz w:val="21"/>
        </w:rPr>
      </w:pPr>
      <w:bookmarkStart w:id="29" w:name="_Toc510879178"/>
      <w:r w:rsidRPr="005D1042">
        <w:rPr>
          <w:rFonts w:eastAsia="宋体" w:hint="eastAsia"/>
          <w:sz w:val="21"/>
        </w:rPr>
        <w:t>二、合适成年人的范围</w:t>
      </w:r>
      <w:bookmarkEnd w:id="29"/>
    </w:p>
    <w:p w14:paraId="19DFE803" w14:textId="77777777" w:rsidR="004F1850" w:rsidRDefault="004F1850" w:rsidP="004F1850">
      <w:pPr>
        <w:spacing w:line="240" w:lineRule="auto"/>
        <w:ind w:firstLine="420"/>
        <w:rPr>
          <w:rFonts w:eastAsia="宋体" w:hint="eastAsia"/>
        </w:rPr>
      </w:pPr>
      <w:r w:rsidRPr="005D1042">
        <w:rPr>
          <w:rFonts w:eastAsia="宋体" w:hint="eastAsia"/>
          <w:color w:val="FF0000"/>
        </w:rPr>
        <w:t>未成年犯罪嫌疑人明确拒绝法定代理人以外的合适成年人到场，人民检察院可以准许，</w:t>
      </w:r>
      <w:r w:rsidRPr="008B6B3C">
        <w:rPr>
          <w:rFonts w:eastAsia="宋体" w:hint="eastAsia"/>
          <w:color w:val="auto"/>
        </w:rPr>
        <w:t>但应当另行通知其他合适成年人到场。</w:t>
      </w:r>
    </w:p>
    <w:p w14:paraId="3DD480B3" w14:textId="77777777" w:rsidR="004F1850" w:rsidRPr="005D1042" w:rsidRDefault="004F1850" w:rsidP="004F1850">
      <w:pPr>
        <w:spacing w:line="240" w:lineRule="auto"/>
        <w:ind w:firstLine="420"/>
        <w:rPr>
          <w:rFonts w:eastAsia="宋体" w:hint="eastAsia"/>
        </w:rPr>
      </w:pPr>
      <w:r w:rsidRPr="005D1042">
        <w:rPr>
          <w:rFonts w:eastAsia="宋体" w:hint="eastAsia"/>
        </w:rPr>
        <w:t>未成年犯罪嫌疑人只能拒绝法定代理人以外的合适成年人到场，不能拒绝法定代理人到场。</w:t>
      </w:r>
    </w:p>
    <w:p w14:paraId="1C5A230E" w14:textId="77777777" w:rsidR="004F1850" w:rsidRPr="005D1042" w:rsidRDefault="004F1850" w:rsidP="004F1850">
      <w:pPr>
        <w:pStyle w:val="3"/>
        <w:spacing w:line="240" w:lineRule="auto"/>
        <w:ind w:firstLineChars="200" w:firstLine="420"/>
        <w:rPr>
          <w:rFonts w:eastAsia="宋体" w:hint="eastAsia"/>
          <w:sz w:val="21"/>
        </w:rPr>
      </w:pPr>
      <w:bookmarkStart w:id="30" w:name="_Toc510879179"/>
      <w:r w:rsidRPr="005D1042">
        <w:rPr>
          <w:rFonts w:eastAsia="宋体" w:hint="eastAsia"/>
          <w:sz w:val="21"/>
        </w:rPr>
        <w:t>三、合适成年人的权利</w:t>
      </w:r>
      <w:bookmarkEnd w:id="30"/>
    </w:p>
    <w:p w14:paraId="48FF8343" w14:textId="77777777" w:rsidR="004F1850" w:rsidRPr="00E60416" w:rsidRDefault="004F1850" w:rsidP="004F1850">
      <w:pPr>
        <w:spacing w:line="240" w:lineRule="auto"/>
        <w:ind w:firstLine="420"/>
        <w:rPr>
          <w:rFonts w:eastAsia="宋体" w:hint="eastAsia"/>
        </w:rPr>
      </w:pPr>
      <w:r w:rsidRPr="009529AA">
        <w:rPr>
          <w:rFonts w:eastAsia="宋体" w:hint="eastAsia"/>
          <w:color w:val="FF0000"/>
        </w:rPr>
        <w:t>法定代理人专属权利</w:t>
      </w:r>
      <w:r>
        <w:rPr>
          <w:rFonts w:eastAsia="宋体" w:hint="eastAsia"/>
          <w:color w:val="FF0000"/>
        </w:rPr>
        <w:t>：</w:t>
      </w:r>
      <w:r w:rsidRPr="00551667">
        <w:rPr>
          <w:rFonts w:eastAsia="宋体" w:hint="eastAsia"/>
        </w:rPr>
        <w:t>代为行使未成年犯罪嫌疑人、被告人的诉讼权利</w:t>
      </w:r>
      <w:r>
        <w:rPr>
          <w:rFonts w:eastAsia="宋体" w:hint="eastAsia"/>
        </w:rPr>
        <w:t>；</w:t>
      </w:r>
      <w:r w:rsidRPr="0037225E">
        <w:rPr>
          <w:rFonts w:eastAsia="宋体" w:hint="eastAsia"/>
          <w:color w:val="FF0000"/>
        </w:rPr>
        <w:t>未成年被告人</w:t>
      </w:r>
      <w:r w:rsidRPr="0037225E">
        <w:rPr>
          <w:rFonts w:eastAsia="宋体" w:hint="eastAsia"/>
          <w:color w:val="FF0000"/>
        </w:rPr>
        <w:lastRenderedPageBreak/>
        <w:t>最后陈述后可进行补充陈述</w:t>
      </w:r>
      <w:r>
        <w:rPr>
          <w:rFonts w:eastAsia="宋体" w:hint="eastAsia"/>
        </w:rPr>
        <w:t>。</w:t>
      </w:r>
      <w:bookmarkEnd w:id="24"/>
      <w:bookmarkEnd w:id="25"/>
      <w:bookmarkEnd w:id="26"/>
      <w:bookmarkEnd w:id="27"/>
    </w:p>
    <w:p w14:paraId="0D5B7D81" w14:textId="09B8BC55" w:rsidR="004F1850" w:rsidRPr="00744EBA" w:rsidRDefault="004F1850" w:rsidP="004F1850">
      <w:pPr>
        <w:pStyle w:val="1"/>
        <w:spacing w:before="0" w:line="240" w:lineRule="exact"/>
        <w:rPr>
          <w:rFonts w:ascii="宋体" w:eastAsia="宋体" w:hAnsi="宋体" w:hint="eastAsia"/>
          <w:b/>
          <w:bCs w:val="0"/>
          <w:color w:val="auto"/>
          <w:sz w:val="22"/>
          <w:szCs w:val="22"/>
        </w:rPr>
      </w:pPr>
      <w:r w:rsidRPr="00744EBA">
        <w:rPr>
          <w:rFonts w:ascii="宋体" w:eastAsia="宋体" w:hAnsi="宋体" w:hint="eastAsia"/>
          <w:b/>
          <w:bCs w:val="0"/>
          <w:color w:val="auto"/>
          <w:sz w:val="22"/>
          <w:szCs w:val="22"/>
        </w:rPr>
        <w:t>考点</w:t>
      </w:r>
      <w:r>
        <w:rPr>
          <w:rFonts w:ascii="宋体" w:eastAsia="宋体" w:hAnsi="宋体" w:hint="eastAsia"/>
          <w:b/>
          <w:bCs w:val="0"/>
          <w:color w:val="auto"/>
          <w:sz w:val="22"/>
          <w:szCs w:val="22"/>
        </w:rPr>
        <w:t>63</w:t>
      </w:r>
      <w:r w:rsidRPr="00744EBA">
        <w:rPr>
          <w:rFonts w:ascii="宋体" w:eastAsia="宋体" w:hAnsi="宋体" w:hint="eastAsia"/>
          <w:b/>
          <w:bCs w:val="0"/>
          <w:color w:val="auto"/>
          <w:sz w:val="22"/>
          <w:szCs w:val="22"/>
        </w:rPr>
        <w:t xml:space="preserve">  附条件不起诉制度（</w:t>
      </w:r>
      <w:r w:rsidR="001A2292">
        <w:rPr>
          <w:rFonts w:ascii="宋体" w:eastAsia="宋体" w:hAnsi="宋体" w:hint="eastAsia"/>
          <w:b/>
          <w:bCs w:val="0"/>
          <w:color w:val="auto"/>
          <w:sz w:val="22"/>
          <w:szCs w:val="22"/>
        </w:rPr>
        <w:t>22</w:t>
      </w:r>
      <w:r w:rsidR="001A2292" w:rsidRPr="00E64011">
        <w:rPr>
          <w:rFonts w:ascii="宋体" w:eastAsia="宋体" w:hAnsi="宋体"/>
          <w:b/>
          <w:bCs w:val="0"/>
          <w:color w:val="auto"/>
          <w:sz w:val="22"/>
          <w:szCs w:val="22"/>
        </w:rPr>
        <w:t>:</w:t>
      </w:r>
      <w:r w:rsidR="001A2292">
        <w:rPr>
          <w:rFonts w:ascii="宋体" w:eastAsia="宋体" w:hAnsi="宋体" w:hint="eastAsia"/>
          <w:b/>
          <w:bCs w:val="0"/>
          <w:color w:val="auto"/>
          <w:sz w:val="22"/>
          <w:szCs w:val="22"/>
        </w:rPr>
        <w:t>15</w:t>
      </w:r>
      <w:r w:rsidRPr="00744EBA">
        <w:rPr>
          <w:rFonts w:ascii="宋体" w:eastAsia="宋体" w:hAnsi="宋体"/>
          <w:b/>
          <w:bCs w:val="0"/>
          <w:color w:val="auto"/>
          <w:sz w:val="22"/>
          <w:szCs w:val="22"/>
        </w:rPr>
        <w:t>:00-</w:t>
      </w:r>
      <w:r w:rsidR="008E644F">
        <w:rPr>
          <w:rFonts w:ascii="宋体" w:eastAsia="宋体" w:hAnsi="宋体" w:hint="eastAsia"/>
          <w:b/>
          <w:bCs w:val="0"/>
          <w:color w:val="auto"/>
          <w:sz w:val="22"/>
          <w:szCs w:val="22"/>
        </w:rPr>
        <w:t>22</w:t>
      </w:r>
      <w:r w:rsidRPr="00744EBA">
        <w:rPr>
          <w:rFonts w:ascii="宋体" w:eastAsia="宋体" w:hAnsi="宋体"/>
          <w:b/>
          <w:bCs w:val="0"/>
          <w:color w:val="auto"/>
          <w:sz w:val="22"/>
          <w:szCs w:val="22"/>
        </w:rPr>
        <w:t>:</w:t>
      </w:r>
      <w:r w:rsidR="000048B1">
        <w:rPr>
          <w:rFonts w:ascii="宋体" w:eastAsia="宋体" w:hAnsi="宋体" w:hint="eastAsia"/>
          <w:b/>
          <w:bCs w:val="0"/>
          <w:color w:val="auto"/>
          <w:sz w:val="22"/>
          <w:szCs w:val="22"/>
        </w:rPr>
        <w:t>36</w:t>
      </w:r>
      <w:r w:rsidRPr="00744EBA">
        <w:rPr>
          <w:rFonts w:ascii="宋体" w:eastAsia="宋体" w:hAnsi="宋体"/>
          <w:b/>
          <w:bCs w:val="0"/>
          <w:color w:val="auto"/>
          <w:sz w:val="22"/>
          <w:szCs w:val="22"/>
        </w:rPr>
        <w:t>:00）</w:t>
      </w:r>
    </w:p>
    <w:p w14:paraId="09EA8161" w14:textId="77777777" w:rsidR="004F1850" w:rsidRPr="005D1042" w:rsidRDefault="004F1850" w:rsidP="004F1850">
      <w:pPr>
        <w:pStyle w:val="3"/>
        <w:spacing w:line="240" w:lineRule="exact"/>
        <w:ind w:firstLineChars="200" w:firstLine="420"/>
        <w:rPr>
          <w:rFonts w:eastAsia="宋体" w:hint="eastAsia"/>
          <w:sz w:val="21"/>
        </w:rPr>
      </w:pPr>
      <w:bookmarkStart w:id="31" w:name="_Toc510879181"/>
      <w:r w:rsidRPr="005D1042">
        <w:rPr>
          <w:rFonts w:eastAsia="宋体" w:hint="eastAsia"/>
          <w:sz w:val="21"/>
        </w:rPr>
        <w:t>一、附条件不起诉的适用对象和条件</w:t>
      </w:r>
      <w:bookmarkEnd w:id="31"/>
    </w:p>
    <w:p w14:paraId="04720C9B" w14:textId="77777777" w:rsidR="004F1850" w:rsidRDefault="004F1850" w:rsidP="004F1850">
      <w:pPr>
        <w:spacing w:line="240" w:lineRule="exact"/>
        <w:ind w:firstLine="420"/>
        <w:outlineLvl w:val="0"/>
        <w:rPr>
          <w:rFonts w:eastAsia="宋体" w:hint="eastAsia"/>
        </w:rPr>
      </w:pPr>
      <w:r w:rsidRPr="005D1042">
        <w:rPr>
          <w:rFonts w:eastAsia="宋体" w:hint="eastAsia"/>
        </w:rPr>
        <w:t>犯罪时已满十四周岁不满十八周岁的未成年人</w:t>
      </w:r>
      <w:r>
        <w:rPr>
          <w:rFonts w:eastAsia="宋体" w:hint="eastAsia"/>
        </w:rPr>
        <w:t>，</w:t>
      </w:r>
      <w:r w:rsidRPr="00551667">
        <w:rPr>
          <w:rFonts w:eastAsia="宋体" w:hint="eastAsia"/>
        </w:rPr>
        <w:t>涉嫌刑法分则</w:t>
      </w:r>
      <w:r w:rsidRPr="00A35AB7">
        <w:rPr>
          <w:rFonts w:eastAsia="宋体" w:hint="eastAsia"/>
          <w:color w:val="FF0000"/>
        </w:rPr>
        <w:t>第四章、第五章、第六章</w:t>
      </w:r>
      <w:r w:rsidRPr="00551667">
        <w:rPr>
          <w:rFonts w:eastAsia="宋体" w:hint="eastAsia"/>
        </w:rPr>
        <w:t>规定的犯罪</w:t>
      </w:r>
      <w:r>
        <w:rPr>
          <w:rFonts w:eastAsia="宋体" w:hint="eastAsia"/>
        </w:rPr>
        <w:t>，</w:t>
      </w:r>
      <w:r w:rsidRPr="00551667">
        <w:rPr>
          <w:rFonts w:eastAsia="宋体" w:hint="eastAsia"/>
        </w:rPr>
        <w:t>根据具体犯罪事实、情节，可能被判处一年有期徒刑以下刑罚</w:t>
      </w:r>
      <w:r>
        <w:rPr>
          <w:rFonts w:eastAsia="宋体" w:hint="eastAsia"/>
        </w:rPr>
        <w:t>，</w:t>
      </w:r>
      <w:r w:rsidRPr="00551667">
        <w:rPr>
          <w:rFonts w:eastAsia="宋体" w:hint="eastAsia"/>
        </w:rPr>
        <w:t>犯罪事实清楚，证据确实、充分，符合起诉条件</w:t>
      </w:r>
      <w:r>
        <w:rPr>
          <w:rFonts w:eastAsia="宋体" w:hint="eastAsia"/>
        </w:rPr>
        <w:t>，</w:t>
      </w:r>
      <w:r w:rsidRPr="00551667">
        <w:rPr>
          <w:rFonts w:eastAsia="宋体" w:hint="eastAsia"/>
        </w:rPr>
        <w:t>具有悔罪表现</w:t>
      </w:r>
      <w:r>
        <w:rPr>
          <w:rFonts w:eastAsia="宋体" w:hint="eastAsia"/>
        </w:rPr>
        <w:t>。</w:t>
      </w:r>
      <w:bookmarkStart w:id="32" w:name="_Toc510879182"/>
    </w:p>
    <w:p w14:paraId="265A49C9" w14:textId="77777777" w:rsidR="004F1850" w:rsidRPr="005D1042" w:rsidRDefault="004F1850" w:rsidP="004F1850">
      <w:pPr>
        <w:spacing w:line="240" w:lineRule="exact"/>
        <w:ind w:firstLine="420"/>
        <w:outlineLvl w:val="0"/>
        <w:rPr>
          <w:rFonts w:eastAsia="宋体" w:hint="eastAsia"/>
        </w:rPr>
      </w:pPr>
      <w:r w:rsidRPr="005D1042">
        <w:rPr>
          <w:rFonts w:eastAsia="宋体" w:hint="eastAsia"/>
        </w:rPr>
        <w:t>二、附条件不起诉的相关程序</w:t>
      </w:r>
      <w:bookmarkEnd w:id="32"/>
    </w:p>
    <w:p w14:paraId="70CD75B0" w14:textId="77777777" w:rsidR="004F1850" w:rsidRPr="005D1042" w:rsidRDefault="004F1850" w:rsidP="004F1850">
      <w:pPr>
        <w:pStyle w:val="4"/>
        <w:spacing w:line="240" w:lineRule="exact"/>
        <w:ind w:firstLineChars="120" w:firstLine="252"/>
        <w:rPr>
          <w:rFonts w:ascii="宋体" w:eastAsia="宋体" w:hAnsi="宋体" w:hint="eastAsia"/>
          <w:sz w:val="21"/>
          <w:szCs w:val="21"/>
        </w:rPr>
      </w:pPr>
      <w:r w:rsidRPr="005D1042">
        <w:rPr>
          <w:rFonts w:ascii="宋体" w:eastAsia="宋体" w:hAnsi="宋体" w:hint="eastAsia"/>
          <w:sz w:val="21"/>
          <w:szCs w:val="21"/>
        </w:rPr>
        <w:t>（一）作出附条件不起诉决定前</w:t>
      </w:r>
    </w:p>
    <w:p w14:paraId="1528E0B1" w14:textId="77777777" w:rsidR="004F1850" w:rsidRPr="00EE0185" w:rsidRDefault="004F1850" w:rsidP="004F1850">
      <w:pPr>
        <w:spacing w:line="240" w:lineRule="exact"/>
        <w:ind w:firstLine="420"/>
        <w:outlineLvl w:val="0"/>
        <w:rPr>
          <w:rFonts w:eastAsia="宋体" w:hint="eastAsia"/>
        </w:rPr>
      </w:pPr>
      <w:r w:rsidRPr="005D1042">
        <w:rPr>
          <w:rFonts w:eastAsia="宋体" w:hint="eastAsia"/>
        </w:rPr>
        <w:t>公安机关或者被害人对附条件不起诉有异议或争议较大的</w:t>
      </w:r>
      <w:r>
        <w:rPr>
          <w:rFonts w:eastAsia="宋体" w:hint="eastAsia"/>
        </w:rPr>
        <w:t>，</w:t>
      </w:r>
      <w:r w:rsidRPr="005D1042">
        <w:rPr>
          <w:rFonts w:eastAsia="宋体" w:hint="eastAsia"/>
        </w:rPr>
        <w:t>人民检察院可举行</w:t>
      </w:r>
      <w:r w:rsidRPr="005D1042">
        <w:rPr>
          <w:rFonts w:eastAsia="宋体" w:hint="eastAsia"/>
          <w:color w:val="FF0000"/>
        </w:rPr>
        <w:t>不公开听证会</w:t>
      </w:r>
      <w:r>
        <w:rPr>
          <w:rFonts w:eastAsia="宋体" w:hint="eastAsia"/>
        </w:rPr>
        <w:t>。</w:t>
      </w:r>
      <w:r w:rsidRPr="00E01564">
        <w:rPr>
          <w:rFonts w:eastAsia="宋体" w:hint="eastAsia"/>
          <w:color w:val="FF0000"/>
        </w:rPr>
        <w:t>未成年犯罪嫌疑人及其法定代理人有异议的，人民检察院应当作出起诉的决定。</w:t>
      </w:r>
    </w:p>
    <w:p w14:paraId="5C40B499" w14:textId="77777777" w:rsidR="004F1850" w:rsidRPr="005D1042" w:rsidRDefault="004F1850" w:rsidP="004F1850">
      <w:pPr>
        <w:pStyle w:val="4"/>
        <w:spacing w:line="240" w:lineRule="exact"/>
        <w:ind w:firstLineChars="120" w:firstLine="252"/>
        <w:rPr>
          <w:rFonts w:ascii="宋体" w:eastAsia="宋体" w:hAnsi="宋体" w:hint="eastAsia"/>
          <w:sz w:val="21"/>
          <w:szCs w:val="21"/>
        </w:rPr>
      </w:pPr>
      <w:r w:rsidRPr="005D1042">
        <w:rPr>
          <w:rFonts w:ascii="宋体" w:eastAsia="宋体" w:hAnsi="宋体" w:hint="eastAsia"/>
          <w:sz w:val="21"/>
          <w:szCs w:val="21"/>
        </w:rPr>
        <w:t>（二）作出不起诉决定后</w:t>
      </w:r>
    </w:p>
    <w:p w14:paraId="395D4AAB" w14:textId="77777777" w:rsidR="004F1850" w:rsidRPr="00726972" w:rsidRDefault="004F1850" w:rsidP="004F1850">
      <w:pPr>
        <w:tabs>
          <w:tab w:val="clear" w:pos="420"/>
        </w:tabs>
        <w:spacing w:line="240" w:lineRule="exact"/>
        <w:ind w:firstLine="420"/>
        <w:jc w:val="left"/>
        <w:rPr>
          <w:rFonts w:eastAsia="宋体" w:cs="汉仪中黑简" w:hint="eastAsia"/>
          <w:bCs/>
          <w:kern w:val="44"/>
        </w:rPr>
      </w:pPr>
      <w:r>
        <w:rPr>
          <w:rFonts w:eastAsia="宋体" w:cs="汉仪中黑简"/>
          <w:bCs/>
          <w:kern w:val="44"/>
        </w:rPr>
        <w:t>1</w:t>
      </w:r>
      <w:r w:rsidRPr="005D1042">
        <w:rPr>
          <w:rFonts w:eastAsia="宋体" w:cs="汉仪中黑简" w:hint="eastAsia"/>
          <w:bCs/>
          <w:kern w:val="44"/>
        </w:rPr>
        <w:t>．释放或变更强制措施</w:t>
      </w:r>
      <w:r>
        <w:rPr>
          <w:rFonts w:eastAsia="宋体" w:cs="汉仪中黑简" w:hint="eastAsia"/>
          <w:bCs/>
          <w:kern w:val="44"/>
        </w:rPr>
        <w:t>。</w:t>
      </w:r>
      <w:r w:rsidRPr="005D1042">
        <w:rPr>
          <w:rFonts w:eastAsia="宋体" w:hint="eastAsia"/>
          <w:color w:val="FF0000"/>
        </w:rPr>
        <w:t>未成年犯罪嫌疑人在押的，作出附条件不起诉决定后，人民检察院应当作出释放或者变更强制措施的决定。</w:t>
      </w:r>
    </w:p>
    <w:p w14:paraId="4B0649FA" w14:textId="77777777" w:rsidR="004F1850" w:rsidRPr="00726972" w:rsidRDefault="004F1850" w:rsidP="004F1850">
      <w:pPr>
        <w:tabs>
          <w:tab w:val="clear" w:pos="420"/>
        </w:tabs>
        <w:spacing w:line="240" w:lineRule="exact"/>
        <w:ind w:firstLine="420"/>
        <w:jc w:val="left"/>
        <w:rPr>
          <w:rFonts w:eastAsia="宋体" w:cs="汉仪中黑简" w:hint="eastAsia"/>
          <w:bCs/>
          <w:kern w:val="44"/>
        </w:rPr>
      </w:pPr>
      <w:r>
        <w:rPr>
          <w:rFonts w:eastAsia="宋体" w:cs="汉仪中黑简"/>
          <w:bCs/>
          <w:kern w:val="44"/>
        </w:rPr>
        <w:t>2</w:t>
      </w:r>
      <w:r w:rsidRPr="005D1042">
        <w:rPr>
          <w:rFonts w:eastAsia="宋体" w:cs="汉仪中黑简" w:hint="eastAsia"/>
          <w:bCs/>
          <w:kern w:val="44"/>
        </w:rPr>
        <w:t>．未成年犯罪嫌疑人及其法定代理人提出异议</w:t>
      </w:r>
      <w:r>
        <w:rPr>
          <w:rFonts w:eastAsia="宋体" w:cs="汉仪中黑简" w:hint="eastAsia"/>
          <w:bCs/>
          <w:kern w:val="44"/>
        </w:rPr>
        <w:t>。</w:t>
      </w:r>
      <w:r w:rsidRPr="005D1042">
        <w:rPr>
          <w:rFonts w:eastAsia="宋体" w:hint="eastAsia"/>
        </w:rPr>
        <w:t>未成年犯罪嫌疑人及其法定代理人对人民检察院决定附条件不起诉有异议的，</w:t>
      </w:r>
      <w:r w:rsidRPr="005D1042">
        <w:rPr>
          <w:rFonts w:eastAsia="宋体" w:hint="eastAsia"/>
          <w:color w:val="FF0000"/>
        </w:rPr>
        <w:t>人民检察院应当作出起诉的决定。</w:t>
      </w:r>
    </w:p>
    <w:p w14:paraId="4B50DD14" w14:textId="77777777" w:rsidR="004F1850" w:rsidRDefault="004F1850" w:rsidP="004F1850">
      <w:pPr>
        <w:spacing w:line="240" w:lineRule="exact"/>
        <w:ind w:firstLine="420"/>
        <w:rPr>
          <w:rFonts w:eastAsia="宋体" w:hint="eastAsia"/>
        </w:rPr>
      </w:pPr>
      <w:bookmarkStart w:id="33" w:name="_Toc510879183"/>
      <w:r w:rsidRPr="005D1042">
        <w:rPr>
          <w:rFonts w:eastAsia="宋体" w:hint="eastAsia"/>
        </w:rPr>
        <w:t>三、附条件不起诉的考验期</w:t>
      </w:r>
      <w:bookmarkEnd w:id="33"/>
    </w:p>
    <w:p w14:paraId="783E1943" w14:textId="77777777" w:rsidR="004F1850" w:rsidRPr="005D1042" w:rsidRDefault="004F1850" w:rsidP="004F1850">
      <w:pPr>
        <w:spacing w:line="240" w:lineRule="exact"/>
        <w:ind w:firstLine="420"/>
        <w:rPr>
          <w:rFonts w:eastAsia="宋体" w:hint="eastAsia"/>
        </w:rPr>
      </w:pPr>
      <w:r w:rsidRPr="005D1042">
        <w:rPr>
          <w:rFonts w:eastAsia="宋体" w:hint="eastAsia"/>
        </w:rPr>
        <w:t>（一）考验期的确定</w:t>
      </w:r>
    </w:p>
    <w:p w14:paraId="015C06BF" w14:textId="77777777" w:rsidR="004F1850" w:rsidRPr="00744EBA" w:rsidRDefault="004F1850" w:rsidP="004F1850">
      <w:pPr>
        <w:spacing w:line="240" w:lineRule="exact"/>
        <w:ind w:firstLine="420"/>
        <w:rPr>
          <w:rFonts w:eastAsia="宋体" w:hint="eastAsia"/>
          <w:color w:val="auto"/>
        </w:rPr>
      </w:pPr>
      <w:r w:rsidRPr="005D1042">
        <w:rPr>
          <w:rFonts w:eastAsia="宋体" w:hint="eastAsia"/>
        </w:rPr>
        <w:t>考验期为</w:t>
      </w:r>
      <w:r w:rsidRPr="005D1042">
        <w:rPr>
          <w:rFonts w:eastAsia="宋体" w:hint="eastAsia"/>
          <w:color w:val="FF0000"/>
        </w:rPr>
        <w:t>六个月以上一年以下</w:t>
      </w:r>
      <w:r w:rsidRPr="005D1042">
        <w:rPr>
          <w:rFonts w:eastAsia="宋体" w:hint="eastAsia"/>
        </w:rPr>
        <w:t>，</w:t>
      </w:r>
      <w:r w:rsidRPr="005D1042">
        <w:rPr>
          <w:rFonts w:eastAsia="宋体" w:hint="eastAsia"/>
          <w:color w:val="FF0000"/>
        </w:rPr>
        <w:t>从人民检察院作出附条件不起诉的决定之日起计算</w:t>
      </w:r>
      <w:r w:rsidRPr="005D1042">
        <w:rPr>
          <w:rFonts w:eastAsia="宋体" w:hint="eastAsia"/>
        </w:rPr>
        <w:t>。</w:t>
      </w:r>
      <w:r w:rsidRPr="00744EBA">
        <w:rPr>
          <w:rFonts w:eastAsia="宋体" w:hint="eastAsia"/>
          <w:color w:val="auto"/>
        </w:rPr>
        <w:t>考验期不计人案件审查起诉期限。根据未成年犯罪嫌疑人在考验期的表现，可以在法定期限范围内适当缩短或者延长。</w:t>
      </w:r>
    </w:p>
    <w:p w14:paraId="427B73FA" w14:textId="77777777" w:rsidR="004F1850" w:rsidRPr="005D1042" w:rsidRDefault="004F1850" w:rsidP="004F1850">
      <w:pPr>
        <w:pStyle w:val="4"/>
        <w:spacing w:line="240" w:lineRule="exact"/>
        <w:ind w:firstLineChars="120" w:firstLine="252"/>
        <w:rPr>
          <w:rFonts w:ascii="宋体" w:eastAsia="宋体" w:hAnsi="宋体" w:hint="eastAsia"/>
          <w:sz w:val="21"/>
          <w:szCs w:val="21"/>
        </w:rPr>
      </w:pPr>
      <w:r w:rsidRPr="005D1042">
        <w:rPr>
          <w:rFonts w:ascii="宋体" w:eastAsia="宋体" w:hAnsi="宋体" w:hint="eastAsia"/>
          <w:sz w:val="21"/>
          <w:szCs w:val="21"/>
        </w:rPr>
        <w:t>（二）考验期内被附条件不起诉的未成年犯罪嫌疑人的义务</w:t>
      </w:r>
    </w:p>
    <w:p w14:paraId="151D0635" w14:textId="77777777" w:rsidR="004F1850" w:rsidRPr="001419FE" w:rsidRDefault="004F1850" w:rsidP="004F1850">
      <w:pPr>
        <w:spacing w:line="240" w:lineRule="exact"/>
        <w:ind w:firstLine="420"/>
        <w:outlineLvl w:val="0"/>
        <w:rPr>
          <w:rFonts w:eastAsia="宋体" w:hint="eastAsia"/>
          <w:bCs/>
        </w:rPr>
      </w:pPr>
      <w:r w:rsidRPr="001419FE">
        <w:rPr>
          <w:rFonts w:eastAsia="宋体" w:hint="eastAsia"/>
          <w:bCs/>
        </w:rPr>
        <w:t>考验期内应遵守的规定</w:t>
      </w:r>
      <w:r>
        <w:rPr>
          <w:rFonts w:eastAsia="宋体" w:hint="eastAsia"/>
          <w:bCs/>
        </w:rPr>
        <w:t>（</w:t>
      </w:r>
      <w:r w:rsidRPr="005D1042">
        <w:rPr>
          <w:rFonts w:eastAsia="宋体" w:hint="eastAsia"/>
        </w:rPr>
        <w:t>离开所居住的市、县或者迁居，应当</w:t>
      </w:r>
      <w:r w:rsidRPr="001419FE">
        <w:rPr>
          <w:rFonts w:eastAsia="宋体" w:hint="eastAsia"/>
          <w:color w:val="FF0000"/>
        </w:rPr>
        <w:t>报经考察机关批准</w:t>
      </w:r>
      <w:r>
        <w:rPr>
          <w:rFonts w:eastAsia="宋体" w:hint="eastAsia"/>
          <w:bCs/>
        </w:rPr>
        <w:t>）</w:t>
      </w:r>
      <w:r w:rsidRPr="001419FE">
        <w:rPr>
          <w:rFonts w:eastAsia="宋体" w:hint="eastAsia"/>
          <w:bCs/>
        </w:rPr>
        <w:t>、矫治和教育</w:t>
      </w:r>
      <w:r>
        <w:rPr>
          <w:rFonts w:eastAsia="宋体" w:hint="eastAsia"/>
          <w:bCs/>
        </w:rPr>
        <w:t>（</w:t>
      </w:r>
      <w:r w:rsidRPr="001419FE">
        <w:rPr>
          <w:rFonts w:eastAsia="宋体" w:hint="eastAsia"/>
          <w:color w:val="FF0000"/>
        </w:rPr>
        <w:t>不得进入特定场所，与特定的人员会见或者通信，从事特定的活动</w:t>
      </w:r>
      <w:r>
        <w:rPr>
          <w:rFonts w:eastAsia="宋体" w:hint="eastAsia"/>
          <w:bCs/>
        </w:rPr>
        <w:t>）</w:t>
      </w:r>
    </w:p>
    <w:p w14:paraId="1583C9AB" w14:textId="77777777" w:rsidR="004F1850" w:rsidRPr="005D1042" w:rsidRDefault="004F1850" w:rsidP="004F1850">
      <w:pPr>
        <w:spacing w:line="240" w:lineRule="exact"/>
        <w:ind w:firstLine="420"/>
        <w:rPr>
          <w:rFonts w:eastAsia="宋体" w:hint="eastAsia"/>
        </w:rPr>
      </w:pPr>
      <w:bookmarkStart w:id="34" w:name="_Toc510879184"/>
      <w:r w:rsidRPr="005D1042">
        <w:rPr>
          <w:rFonts w:eastAsia="宋体" w:hint="eastAsia"/>
        </w:rPr>
        <w:t>四、附条件不起诉的后果</w:t>
      </w:r>
      <w:bookmarkEnd w:id="34"/>
    </w:p>
    <w:p w14:paraId="7BDC5140" w14:textId="77777777" w:rsidR="004F1850" w:rsidRPr="005D1042" w:rsidRDefault="004F1850" w:rsidP="004F1850">
      <w:pPr>
        <w:pStyle w:val="4"/>
        <w:spacing w:line="240" w:lineRule="exact"/>
        <w:ind w:firstLineChars="120" w:firstLine="252"/>
        <w:rPr>
          <w:rFonts w:ascii="宋体" w:eastAsia="宋体" w:hAnsi="宋体" w:hint="eastAsia"/>
          <w:sz w:val="21"/>
          <w:szCs w:val="21"/>
        </w:rPr>
      </w:pPr>
      <w:r w:rsidRPr="005D1042">
        <w:rPr>
          <w:rFonts w:ascii="宋体" w:eastAsia="宋体" w:hAnsi="宋体" w:hint="eastAsia"/>
          <w:sz w:val="21"/>
          <w:szCs w:val="21"/>
        </w:rPr>
        <w:t>考验期满后的处理——在审查起诉期限内作出起诉或不起诉的决定</w:t>
      </w:r>
    </w:p>
    <w:p w14:paraId="4E2603ED" w14:textId="77777777" w:rsidR="004F1850" w:rsidRPr="00744EBA" w:rsidRDefault="004F1850" w:rsidP="004F1850">
      <w:pPr>
        <w:tabs>
          <w:tab w:val="clear" w:pos="420"/>
        </w:tabs>
        <w:spacing w:line="240" w:lineRule="exact"/>
        <w:ind w:firstLine="420"/>
        <w:jc w:val="left"/>
        <w:rPr>
          <w:rFonts w:eastAsia="宋体" w:cs="汉仪中黑简" w:hint="eastAsia"/>
          <w:bCs/>
          <w:color w:val="auto"/>
          <w:kern w:val="44"/>
        </w:rPr>
      </w:pPr>
      <w:r w:rsidRPr="00744EBA">
        <w:rPr>
          <w:rFonts w:eastAsia="宋体" w:cs="汉仪中黑简" w:hint="eastAsia"/>
          <w:bCs/>
          <w:color w:val="auto"/>
          <w:kern w:val="44"/>
        </w:rPr>
        <w:t>1．审查起诉期限的中止与恢复</w:t>
      </w:r>
    </w:p>
    <w:p w14:paraId="237188B8" w14:textId="77777777" w:rsidR="004F1850" w:rsidRPr="005D1042" w:rsidRDefault="004F1850" w:rsidP="004F1850">
      <w:pPr>
        <w:spacing w:line="240" w:lineRule="exact"/>
        <w:ind w:firstLine="420"/>
        <w:rPr>
          <w:rFonts w:eastAsia="宋体" w:hint="eastAsia"/>
        </w:rPr>
      </w:pPr>
      <w:r w:rsidRPr="00744EBA">
        <w:rPr>
          <w:rFonts w:eastAsia="宋体" w:hint="eastAsia"/>
          <w:color w:val="auto"/>
        </w:rPr>
        <w:t>作出附条件不起诉决定的案件，审查起诉期限自检察院作出附条件不起诉决定之日起中止计算，</w:t>
      </w:r>
      <w:r w:rsidRPr="005D1042">
        <w:rPr>
          <w:rFonts w:eastAsia="宋体" w:hint="eastAsia"/>
          <w:color w:val="FF0000"/>
        </w:rPr>
        <w:t>自考验期限届满之日起或者检察院作出撤销附条件不起诉决定之日起恢复计算</w:t>
      </w:r>
      <w:r w:rsidRPr="005D1042">
        <w:rPr>
          <w:rFonts w:eastAsia="宋体" w:hint="eastAsia"/>
        </w:rPr>
        <w:t>。</w:t>
      </w:r>
    </w:p>
    <w:p w14:paraId="5596CAB7" w14:textId="77777777" w:rsidR="004F1850" w:rsidRPr="005D1042" w:rsidRDefault="004F1850" w:rsidP="004F1850">
      <w:pPr>
        <w:tabs>
          <w:tab w:val="clear" w:pos="420"/>
        </w:tabs>
        <w:spacing w:line="240" w:lineRule="exact"/>
        <w:ind w:firstLine="420"/>
        <w:jc w:val="left"/>
        <w:rPr>
          <w:rFonts w:eastAsia="宋体" w:cs="汉仪中黑简" w:hint="eastAsia"/>
          <w:bCs/>
          <w:kern w:val="44"/>
        </w:rPr>
      </w:pPr>
      <w:r w:rsidRPr="005D1042">
        <w:rPr>
          <w:rFonts w:eastAsia="宋体" w:cs="汉仪中黑简" w:hint="eastAsia"/>
          <w:bCs/>
          <w:kern w:val="44"/>
        </w:rPr>
        <w:t>2．审查起诉的程序</w:t>
      </w:r>
    </w:p>
    <w:p w14:paraId="14EBC073" w14:textId="77777777" w:rsidR="004F1850" w:rsidRPr="005D1042" w:rsidRDefault="004F1850" w:rsidP="004F1850">
      <w:pPr>
        <w:spacing w:line="240" w:lineRule="exact"/>
        <w:ind w:firstLine="420"/>
        <w:rPr>
          <w:rFonts w:eastAsia="宋体" w:hint="eastAsia"/>
        </w:rPr>
      </w:pPr>
      <w:r w:rsidRPr="005D1042">
        <w:rPr>
          <w:rFonts w:eastAsia="宋体" w:hint="eastAsia"/>
        </w:rPr>
        <w:t>考验期届满，办案人员应当制作附条件</w:t>
      </w:r>
      <w:r w:rsidRPr="00A2029C">
        <w:rPr>
          <w:rFonts w:eastAsia="宋体" w:hint="eastAsia"/>
          <w:color w:val="FF0000"/>
        </w:rPr>
        <w:t>不起诉考察意见书</w:t>
      </w:r>
      <w:r w:rsidRPr="005D1042">
        <w:rPr>
          <w:rFonts w:eastAsia="宋体" w:hint="eastAsia"/>
        </w:rPr>
        <w:t>，提出起诉或者不起诉的意见，经部门负责人审核，报请检察长决定。</w:t>
      </w:r>
    </w:p>
    <w:p w14:paraId="3342B9D2" w14:textId="77777777" w:rsidR="004F1850" w:rsidRPr="005D1042" w:rsidRDefault="004F1850" w:rsidP="004F1850">
      <w:pPr>
        <w:tabs>
          <w:tab w:val="clear" w:pos="420"/>
        </w:tabs>
        <w:spacing w:line="240" w:lineRule="exact"/>
        <w:ind w:firstLine="420"/>
        <w:jc w:val="left"/>
        <w:rPr>
          <w:rFonts w:eastAsia="宋体" w:cs="汉仪中黑简" w:hint="eastAsia"/>
          <w:bCs/>
          <w:kern w:val="44"/>
        </w:rPr>
      </w:pPr>
      <w:r w:rsidRPr="005D1042">
        <w:rPr>
          <w:rFonts w:eastAsia="宋体" w:cs="汉仪中黑简" w:hint="eastAsia"/>
          <w:bCs/>
          <w:kern w:val="44"/>
        </w:rPr>
        <w:t>3．审查起诉后的处理</w:t>
      </w:r>
    </w:p>
    <w:p w14:paraId="21DF700D" w14:textId="77777777" w:rsidR="004F1850" w:rsidRDefault="004F1850" w:rsidP="004F1850">
      <w:pPr>
        <w:spacing w:line="240" w:lineRule="exact"/>
        <w:ind w:firstLine="420"/>
        <w:rPr>
          <w:rFonts w:eastAsia="宋体" w:hint="eastAsia"/>
          <w:color w:val="FF0000"/>
        </w:rPr>
      </w:pPr>
      <w:r w:rsidRPr="005D1042">
        <w:rPr>
          <w:rFonts w:eastAsia="宋体" w:hint="eastAsia"/>
        </w:rPr>
        <w:t>（1）发现在考验期内有应当撤销附条件不起诉决定的情形的——</w:t>
      </w:r>
      <w:r w:rsidRPr="00205747">
        <w:rPr>
          <w:rFonts w:eastAsia="宋体" w:hint="eastAsia"/>
          <w:color w:val="FF0000"/>
        </w:rPr>
        <w:t>撤销附条件不起诉决定</w:t>
      </w:r>
      <w:r w:rsidRPr="005D1042">
        <w:rPr>
          <w:rFonts w:eastAsia="宋体" w:hint="eastAsia"/>
        </w:rPr>
        <w:t>，提起公</w:t>
      </w:r>
      <w:r w:rsidRPr="00B066D9">
        <w:rPr>
          <w:rFonts w:eastAsia="宋体" w:hint="eastAsia"/>
          <w:color w:val="auto"/>
        </w:rPr>
        <w:t>诉（2）在考验期内没有应当撤销附条件不起诉决定的情形的</w:t>
      </w:r>
      <w:r w:rsidRPr="005D1042">
        <w:rPr>
          <w:rFonts w:eastAsia="宋体" w:hint="eastAsia"/>
          <w:color w:val="FF0000"/>
        </w:rPr>
        <w:t>——应当作出不起诉决定</w:t>
      </w:r>
    </w:p>
    <w:sectPr w:rsidR="004F185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DC564" w14:textId="77777777" w:rsidR="00D96478" w:rsidRDefault="00D96478" w:rsidP="000D5A23">
      <w:pPr>
        <w:spacing w:line="240" w:lineRule="auto"/>
        <w:ind w:firstLine="420"/>
        <w:rPr>
          <w:rFonts w:hint="eastAsia"/>
        </w:rPr>
      </w:pPr>
      <w:r>
        <w:separator/>
      </w:r>
    </w:p>
  </w:endnote>
  <w:endnote w:type="continuationSeparator" w:id="0">
    <w:p w14:paraId="337E5738" w14:textId="77777777" w:rsidR="00D96478" w:rsidRDefault="00D96478" w:rsidP="000D5A23">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汉仪中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238C" w14:textId="77777777" w:rsidR="005D1042" w:rsidRDefault="005D1042">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45D8" w14:textId="77777777" w:rsidR="005D1042" w:rsidRDefault="005D1042">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1696" w14:textId="77777777" w:rsidR="005D1042" w:rsidRDefault="005D1042">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7946" w14:textId="77777777" w:rsidR="00D96478" w:rsidRDefault="00D96478" w:rsidP="000D5A23">
      <w:pPr>
        <w:spacing w:line="240" w:lineRule="auto"/>
        <w:ind w:firstLine="420"/>
        <w:rPr>
          <w:rFonts w:hint="eastAsia"/>
        </w:rPr>
      </w:pPr>
      <w:r>
        <w:separator/>
      </w:r>
    </w:p>
  </w:footnote>
  <w:footnote w:type="continuationSeparator" w:id="0">
    <w:p w14:paraId="610EEC1C" w14:textId="77777777" w:rsidR="00D96478" w:rsidRDefault="00D96478" w:rsidP="000D5A23">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F0E9" w14:textId="77777777" w:rsidR="005D1042" w:rsidRDefault="005D1042">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FE7D" w14:textId="2BCED0B4" w:rsidR="005D1042" w:rsidRDefault="00B55B15" w:rsidP="00B55B15">
    <w:pPr>
      <w:pStyle w:val="af"/>
      <w:spacing w:line="240" w:lineRule="auto"/>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1892" w14:textId="77777777" w:rsidR="005D1042" w:rsidRDefault="005D1042">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37D05"/>
    <w:multiLevelType w:val="multilevel"/>
    <w:tmpl w:val="35E37D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915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23"/>
    <w:rsid w:val="00002521"/>
    <w:rsid w:val="000048B1"/>
    <w:rsid w:val="0001728F"/>
    <w:rsid w:val="00020102"/>
    <w:rsid w:val="00032D18"/>
    <w:rsid w:val="00033DBB"/>
    <w:rsid w:val="00040A29"/>
    <w:rsid w:val="000A2417"/>
    <w:rsid w:val="000B5DB5"/>
    <w:rsid w:val="000B6E40"/>
    <w:rsid w:val="000D5A23"/>
    <w:rsid w:val="000F413F"/>
    <w:rsid w:val="0011134B"/>
    <w:rsid w:val="001364D0"/>
    <w:rsid w:val="001419FE"/>
    <w:rsid w:val="00142D6F"/>
    <w:rsid w:val="00147CBC"/>
    <w:rsid w:val="00153DF8"/>
    <w:rsid w:val="00166B49"/>
    <w:rsid w:val="001877D5"/>
    <w:rsid w:val="001924A1"/>
    <w:rsid w:val="001A2292"/>
    <w:rsid w:val="001A3F37"/>
    <w:rsid w:val="001C42B5"/>
    <w:rsid w:val="001C63A9"/>
    <w:rsid w:val="001D0FD6"/>
    <w:rsid w:val="002000C2"/>
    <w:rsid w:val="00210EAA"/>
    <w:rsid w:val="00216DDC"/>
    <w:rsid w:val="00221FCD"/>
    <w:rsid w:val="00233D11"/>
    <w:rsid w:val="00235238"/>
    <w:rsid w:val="00252E10"/>
    <w:rsid w:val="00262C91"/>
    <w:rsid w:val="00266CDD"/>
    <w:rsid w:val="00271B3C"/>
    <w:rsid w:val="00295C50"/>
    <w:rsid w:val="002A046D"/>
    <w:rsid w:val="002D33BE"/>
    <w:rsid w:val="002D4797"/>
    <w:rsid w:val="002E07A7"/>
    <w:rsid w:val="0031066E"/>
    <w:rsid w:val="00343518"/>
    <w:rsid w:val="003443C8"/>
    <w:rsid w:val="003475D1"/>
    <w:rsid w:val="00355470"/>
    <w:rsid w:val="0035579C"/>
    <w:rsid w:val="0037036E"/>
    <w:rsid w:val="0037225E"/>
    <w:rsid w:val="00386283"/>
    <w:rsid w:val="00393097"/>
    <w:rsid w:val="003A0BDB"/>
    <w:rsid w:val="003A57D5"/>
    <w:rsid w:val="003A7464"/>
    <w:rsid w:val="003B48E6"/>
    <w:rsid w:val="003B7237"/>
    <w:rsid w:val="003D1286"/>
    <w:rsid w:val="003D4248"/>
    <w:rsid w:val="003D433C"/>
    <w:rsid w:val="003E5E60"/>
    <w:rsid w:val="003F216C"/>
    <w:rsid w:val="004343D8"/>
    <w:rsid w:val="004444AA"/>
    <w:rsid w:val="00447817"/>
    <w:rsid w:val="0046274E"/>
    <w:rsid w:val="0047741D"/>
    <w:rsid w:val="004F1850"/>
    <w:rsid w:val="00510906"/>
    <w:rsid w:val="005143E7"/>
    <w:rsid w:val="00514CB4"/>
    <w:rsid w:val="00531D30"/>
    <w:rsid w:val="005435A8"/>
    <w:rsid w:val="00551667"/>
    <w:rsid w:val="005A5496"/>
    <w:rsid w:val="005A6FFF"/>
    <w:rsid w:val="005C47AE"/>
    <w:rsid w:val="005C5B65"/>
    <w:rsid w:val="005D1042"/>
    <w:rsid w:val="00606E35"/>
    <w:rsid w:val="006267EA"/>
    <w:rsid w:val="00642695"/>
    <w:rsid w:val="00673F3E"/>
    <w:rsid w:val="006915AD"/>
    <w:rsid w:val="006954C8"/>
    <w:rsid w:val="006D0CDF"/>
    <w:rsid w:val="006E03A9"/>
    <w:rsid w:val="006E46D5"/>
    <w:rsid w:val="006E6F0D"/>
    <w:rsid w:val="006F1E00"/>
    <w:rsid w:val="006F599E"/>
    <w:rsid w:val="00721715"/>
    <w:rsid w:val="00724C70"/>
    <w:rsid w:val="00736952"/>
    <w:rsid w:val="00737CB2"/>
    <w:rsid w:val="00776402"/>
    <w:rsid w:val="00784B3E"/>
    <w:rsid w:val="007B3BC4"/>
    <w:rsid w:val="007D76DE"/>
    <w:rsid w:val="0080074C"/>
    <w:rsid w:val="00800883"/>
    <w:rsid w:val="00811709"/>
    <w:rsid w:val="00842A23"/>
    <w:rsid w:val="0085769D"/>
    <w:rsid w:val="008605ED"/>
    <w:rsid w:val="008677EA"/>
    <w:rsid w:val="008721A8"/>
    <w:rsid w:val="00872D89"/>
    <w:rsid w:val="00892F4A"/>
    <w:rsid w:val="008A530E"/>
    <w:rsid w:val="008A56DE"/>
    <w:rsid w:val="008A56F5"/>
    <w:rsid w:val="008B6B3C"/>
    <w:rsid w:val="008C57D3"/>
    <w:rsid w:val="008D248F"/>
    <w:rsid w:val="008E644F"/>
    <w:rsid w:val="008E65B4"/>
    <w:rsid w:val="009001C2"/>
    <w:rsid w:val="00910242"/>
    <w:rsid w:val="00913780"/>
    <w:rsid w:val="009173C1"/>
    <w:rsid w:val="009401A8"/>
    <w:rsid w:val="00966695"/>
    <w:rsid w:val="0098675F"/>
    <w:rsid w:val="0099444F"/>
    <w:rsid w:val="009966E3"/>
    <w:rsid w:val="009B2661"/>
    <w:rsid w:val="009C4A94"/>
    <w:rsid w:val="009E3BE5"/>
    <w:rsid w:val="009F0176"/>
    <w:rsid w:val="00A11C23"/>
    <w:rsid w:val="00A44F83"/>
    <w:rsid w:val="00A52E19"/>
    <w:rsid w:val="00A90238"/>
    <w:rsid w:val="00AA1B18"/>
    <w:rsid w:val="00AF6CB6"/>
    <w:rsid w:val="00B02DF9"/>
    <w:rsid w:val="00B03B11"/>
    <w:rsid w:val="00B136CE"/>
    <w:rsid w:val="00B55B15"/>
    <w:rsid w:val="00B5614F"/>
    <w:rsid w:val="00B65BCF"/>
    <w:rsid w:val="00B72DFC"/>
    <w:rsid w:val="00B86E5F"/>
    <w:rsid w:val="00BB38CC"/>
    <w:rsid w:val="00BB41FC"/>
    <w:rsid w:val="00BC0174"/>
    <w:rsid w:val="00BE4B20"/>
    <w:rsid w:val="00BF3B43"/>
    <w:rsid w:val="00C03304"/>
    <w:rsid w:val="00C40A67"/>
    <w:rsid w:val="00C541CF"/>
    <w:rsid w:val="00C62D1E"/>
    <w:rsid w:val="00C64AA5"/>
    <w:rsid w:val="00C733C5"/>
    <w:rsid w:val="00C860ED"/>
    <w:rsid w:val="00C8683A"/>
    <w:rsid w:val="00D01AB3"/>
    <w:rsid w:val="00D1799B"/>
    <w:rsid w:val="00D2064F"/>
    <w:rsid w:val="00D21406"/>
    <w:rsid w:val="00D33B82"/>
    <w:rsid w:val="00D4182A"/>
    <w:rsid w:val="00D535CF"/>
    <w:rsid w:val="00D60920"/>
    <w:rsid w:val="00D75594"/>
    <w:rsid w:val="00D96478"/>
    <w:rsid w:val="00DA10EA"/>
    <w:rsid w:val="00DC11AD"/>
    <w:rsid w:val="00DC4E03"/>
    <w:rsid w:val="00DD1E50"/>
    <w:rsid w:val="00E00E3D"/>
    <w:rsid w:val="00E01564"/>
    <w:rsid w:val="00E164E9"/>
    <w:rsid w:val="00E23070"/>
    <w:rsid w:val="00E36A42"/>
    <w:rsid w:val="00E44A94"/>
    <w:rsid w:val="00E47B25"/>
    <w:rsid w:val="00E64011"/>
    <w:rsid w:val="00E66FB0"/>
    <w:rsid w:val="00E839B2"/>
    <w:rsid w:val="00E83C04"/>
    <w:rsid w:val="00E86A7D"/>
    <w:rsid w:val="00E91C33"/>
    <w:rsid w:val="00E92F9E"/>
    <w:rsid w:val="00EB3773"/>
    <w:rsid w:val="00EC1BE7"/>
    <w:rsid w:val="00ED50E5"/>
    <w:rsid w:val="00EE0185"/>
    <w:rsid w:val="00EF7068"/>
    <w:rsid w:val="00F11763"/>
    <w:rsid w:val="00F43B4E"/>
    <w:rsid w:val="00F46EFF"/>
    <w:rsid w:val="00F500F8"/>
    <w:rsid w:val="00F63C3F"/>
    <w:rsid w:val="00F7399E"/>
    <w:rsid w:val="00F74BFE"/>
    <w:rsid w:val="00F84838"/>
    <w:rsid w:val="00F87BB7"/>
    <w:rsid w:val="00F91820"/>
    <w:rsid w:val="00F9690B"/>
    <w:rsid w:val="00F970FE"/>
    <w:rsid w:val="00FA3E79"/>
    <w:rsid w:val="00FB415B"/>
    <w:rsid w:val="00FB5856"/>
    <w:rsid w:val="00FC7C19"/>
    <w:rsid w:val="00FD6CEB"/>
    <w:rsid w:val="00FE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A403"/>
  <w15:chartTrackingRefBased/>
  <w15:docId w15:val="{0D9B50E1-283A-4F01-8EB3-FAB721C4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23"/>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0D5A23"/>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0D5A23"/>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0D5A23"/>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0D5A23"/>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rsid w:val="000D5A23"/>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D5A23"/>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0D5A23"/>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0D5A23"/>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0D5A23"/>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sid w:val="000D5A23"/>
    <w:rPr>
      <w:rFonts w:ascii="宋体" w:eastAsia="汉仪中黑简" w:hAnsi="宋体" w:cs="宋体"/>
      <w:bCs/>
      <w:color w:val="000000" w:themeColor="text1"/>
      <w:szCs w:val="21"/>
    </w:rPr>
  </w:style>
  <w:style w:type="paragraph" w:styleId="TOC7">
    <w:name w:val="toc 7"/>
    <w:basedOn w:val="a"/>
    <w:next w:val="a"/>
    <w:uiPriority w:val="39"/>
    <w:unhideWhenUsed/>
    <w:qFormat/>
    <w:rsid w:val="000D5A23"/>
    <w:pPr>
      <w:ind w:left="1260"/>
    </w:pPr>
  </w:style>
  <w:style w:type="paragraph" w:styleId="a3">
    <w:name w:val="Document Map"/>
    <w:basedOn w:val="a"/>
    <w:link w:val="a4"/>
    <w:uiPriority w:val="99"/>
    <w:semiHidden/>
    <w:unhideWhenUsed/>
    <w:qFormat/>
    <w:rsid w:val="000D5A23"/>
    <w:rPr>
      <w:sz w:val="24"/>
      <w:szCs w:val="24"/>
    </w:rPr>
  </w:style>
  <w:style w:type="character" w:customStyle="1" w:styleId="a4">
    <w:name w:val="文档结构图 字符"/>
    <w:basedOn w:val="a0"/>
    <w:link w:val="a3"/>
    <w:uiPriority w:val="99"/>
    <w:semiHidden/>
    <w:qFormat/>
    <w:rsid w:val="000D5A23"/>
    <w:rPr>
      <w:rFonts w:ascii="宋体" w:eastAsia="汉仪书宋二简" w:hAnsi="宋体" w:cs="宋体"/>
      <w:color w:val="000000" w:themeColor="text1"/>
      <w:sz w:val="24"/>
      <w:szCs w:val="24"/>
    </w:rPr>
  </w:style>
  <w:style w:type="paragraph" w:styleId="a5">
    <w:name w:val="annotation text"/>
    <w:basedOn w:val="a"/>
    <w:link w:val="a6"/>
    <w:uiPriority w:val="99"/>
    <w:semiHidden/>
    <w:unhideWhenUsed/>
    <w:qFormat/>
    <w:rsid w:val="000D5A23"/>
    <w:pPr>
      <w:jc w:val="left"/>
    </w:pPr>
  </w:style>
  <w:style w:type="character" w:customStyle="1" w:styleId="a6">
    <w:name w:val="批注文字 字符"/>
    <w:basedOn w:val="a0"/>
    <w:link w:val="a5"/>
    <w:uiPriority w:val="99"/>
    <w:semiHidden/>
    <w:qFormat/>
    <w:rsid w:val="000D5A23"/>
    <w:rPr>
      <w:rFonts w:ascii="宋体" w:eastAsia="汉仪书宋二简" w:hAnsi="宋体" w:cs="宋体"/>
      <w:color w:val="000000" w:themeColor="text1"/>
      <w:szCs w:val="21"/>
    </w:rPr>
  </w:style>
  <w:style w:type="paragraph" w:styleId="TOC5">
    <w:name w:val="toc 5"/>
    <w:basedOn w:val="a"/>
    <w:next w:val="a"/>
    <w:uiPriority w:val="39"/>
    <w:unhideWhenUsed/>
    <w:qFormat/>
    <w:rsid w:val="000D5A23"/>
    <w:pPr>
      <w:ind w:left="840"/>
    </w:pPr>
  </w:style>
  <w:style w:type="paragraph" w:styleId="TOC3">
    <w:name w:val="toc 3"/>
    <w:basedOn w:val="a"/>
    <w:next w:val="a"/>
    <w:uiPriority w:val="39"/>
    <w:unhideWhenUsed/>
    <w:qFormat/>
    <w:rsid w:val="000D5A23"/>
    <w:pPr>
      <w:ind w:left="420"/>
    </w:pPr>
  </w:style>
  <w:style w:type="paragraph" w:styleId="a7">
    <w:name w:val="Plain Text"/>
    <w:basedOn w:val="a"/>
    <w:link w:val="a8"/>
    <w:uiPriority w:val="99"/>
    <w:unhideWhenUsed/>
    <w:qFormat/>
    <w:rsid w:val="000D5A23"/>
    <w:rPr>
      <w:rFonts w:hAnsi="Courier New" w:cs="Courier New"/>
      <w:kern w:val="0"/>
      <w:sz w:val="20"/>
    </w:rPr>
  </w:style>
  <w:style w:type="character" w:customStyle="1" w:styleId="a8">
    <w:name w:val="纯文本 字符"/>
    <w:basedOn w:val="a0"/>
    <w:link w:val="a7"/>
    <w:uiPriority w:val="99"/>
    <w:qFormat/>
    <w:rsid w:val="000D5A23"/>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0D5A23"/>
    <w:pPr>
      <w:ind w:left="1470"/>
    </w:pPr>
  </w:style>
  <w:style w:type="paragraph" w:styleId="a9">
    <w:name w:val="endnote text"/>
    <w:basedOn w:val="a"/>
    <w:link w:val="aa"/>
    <w:uiPriority w:val="99"/>
    <w:semiHidden/>
    <w:unhideWhenUsed/>
    <w:qFormat/>
    <w:rsid w:val="000D5A23"/>
    <w:pPr>
      <w:snapToGrid w:val="0"/>
      <w:jc w:val="left"/>
    </w:pPr>
  </w:style>
  <w:style w:type="character" w:customStyle="1" w:styleId="aa">
    <w:name w:val="尾注文本 字符"/>
    <w:basedOn w:val="a0"/>
    <w:link w:val="a9"/>
    <w:uiPriority w:val="99"/>
    <w:semiHidden/>
    <w:qFormat/>
    <w:rsid w:val="000D5A23"/>
    <w:rPr>
      <w:rFonts w:ascii="宋体" w:eastAsia="汉仪书宋二简" w:hAnsi="宋体" w:cs="宋体"/>
      <w:color w:val="000000" w:themeColor="text1"/>
      <w:szCs w:val="21"/>
    </w:rPr>
  </w:style>
  <w:style w:type="paragraph" w:styleId="ab">
    <w:name w:val="Balloon Text"/>
    <w:basedOn w:val="a"/>
    <w:link w:val="ac"/>
    <w:uiPriority w:val="99"/>
    <w:semiHidden/>
    <w:unhideWhenUsed/>
    <w:qFormat/>
    <w:rsid w:val="000D5A23"/>
    <w:rPr>
      <w:sz w:val="18"/>
      <w:szCs w:val="18"/>
    </w:rPr>
  </w:style>
  <w:style w:type="character" w:customStyle="1" w:styleId="ac">
    <w:name w:val="批注框文本 字符"/>
    <w:basedOn w:val="a0"/>
    <w:link w:val="ab"/>
    <w:uiPriority w:val="99"/>
    <w:semiHidden/>
    <w:qFormat/>
    <w:rsid w:val="000D5A23"/>
    <w:rPr>
      <w:rFonts w:ascii="宋体" w:eastAsia="汉仪书宋二简" w:hAnsi="宋体" w:cs="宋体"/>
      <w:color w:val="000000" w:themeColor="text1"/>
      <w:sz w:val="18"/>
      <w:szCs w:val="18"/>
    </w:rPr>
  </w:style>
  <w:style w:type="paragraph" w:styleId="ad">
    <w:name w:val="footer"/>
    <w:basedOn w:val="a"/>
    <w:link w:val="ae"/>
    <w:uiPriority w:val="99"/>
    <w:unhideWhenUsed/>
    <w:qFormat/>
    <w:rsid w:val="000D5A23"/>
    <w:pPr>
      <w:tabs>
        <w:tab w:val="clear" w:pos="420"/>
        <w:tab w:val="center" w:pos="4153"/>
        <w:tab w:val="right" w:pos="8306"/>
      </w:tabs>
      <w:snapToGrid w:val="0"/>
      <w:jc w:val="left"/>
    </w:pPr>
    <w:rPr>
      <w:sz w:val="18"/>
      <w:szCs w:val="18"/>
    </w:rPr>
  </w:style>
  <w:style w:type="character" w:customStyle="1" w:styleId="ae">
    <w:name w:val="页脚 字符"/>
    <w:basedOn w:val="a0"/>
    <w:link w:val="ad"/>
    <w:uiPriority w:val="99"/>
    <w:qFormat/>
    <w:rsid w:val="000D5A23"/>
    <w:rPr>
      <w:rFonts w:ascii="宋体" w:eastAsia="汉仪书宋二简" w:hAnsi="宋体" w:cs="宋体"/>
      <w:color w:val="000000" w:themeColor="text1"/>
      <w:sz w:val="18"/>
      <w:szCs w:val="18"/>
    </w:rPr>
  </w:style>
  <w:style w:type="paragraph" w:styleId="af">
    <w:name w:val="header"/>
    <w:basedOn w:val="a"/>
    <w:link w:val="af0"/>
    <w:uiPriority w:val="99"/>
    <w:unhideWhenUsed/>
    <w:qFormat/>
    <w:rsid w:val="000D5A23"/>
    <w:pPr>
      <w:pBdr>
        <w:bottom w:val="single" w:sz="6" w:space="1" w:color="auto"/>
      </w:pBdr>
      <w:tabs>
        <w:tab w:val="clear" w:pos="420"/>
        <w:tab w:val="center" w:pos="4153"/>
        <w:tab w:val="right" w:pos="8306"/>
      </w:tabs>
      <w:snapToGrid w:val="0"/>
      <w:jc w:val="center"/>
    </w:pPr>
    <w:rPr>
      <w:sz w:val="18"/>
      <w:szCs w:val="18"/>
    </w:rPr>
  </w:style>
  <w:style w:type="character" w:customStyle="1" w:styleId="af0">
    <w:name w:val="页眉 字符"/>
    <w:basedOn w:val="a0"/>
    <w:link w:val="af"/>
    <w:uiPriority w:val="99"/>
    <w:qFormat/>
    <w:rsid w:val="000D5A23"/>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0D5A23"/>
  </w:style>
  <w:style w:type="paragraph" w:styleId="TOC4">
    <w:name w:val="toc 4"/>
    <w:basedOn w:val="a"/>
    <w:next w:val="a"/>
    <w:uiPriority w:val="39"/>
    <w:unhideWhenUsed/>
    <w:qFormat/>
    <w:rsid w:val="000D5A23"/>
    <w:pPr>
      <w:ind w:left="630"/>
    </w:pPr>
  </w:style>
  <w:style w:type="paragraph" w:styleId="af1">
    <w:name w:val="footnote text"/>
    <w:basedOn w:val="a"/>
    <w:link w:val="af2"/>
    <w:semiHidden/>
    <w:unhideWhenUsed/>
    <w:qFormat/>
    <w:rsid w:val="000D5A23"/>
    <w:pPr>
      <w:snapToGrid w:val="0"/>
      <w:jc w:val="left"/>
    </w:pPr>
    <w:rPr>
      <w:sz w:val="18"/>
      <w:szCs w:val="18"/>
    </w:rPr>
  </w:style>
  <w:style w:type="character" w:customStyle="1" w:styleId="af2">
    <w:name w:val="脚注文本 字符"/>
    <w:basedOn w:val="a0"/>
    <w:link w:val="af1"/>
    <w:semiHidden/>
    <w:qFormat/>
    <w:rsid w:val="000D5A23"/>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0D5A23"/>
    <w:pPr>
      <w:ind w:left="1050"/>
    </w:pPr>
  </w:style>
  <w:style w:type="paragraph" w:styleId="TOC2">
    <w:name w:val="toc 2"/>
    <w:basedOn w:val="a"/>
    <w:next w:val="a"/>
    <w:uiPriority w:val="39"/>
    <w:unhideWhenUsed/>
    <w:qFormat/>
    <w:rsid w:val="000D5A23"/>
    <w:pPr>
      <w:ind w:left="210"/>
    </w:pPr>
  </w:style>
  <w:style w:type="paragraph" w:styleId="TOC9">
    <w:name w:val="toc 9"/>
    <w:basedOn w:val="a"/>
    <w:next w:val="a"/>
    <w:uiPriority w:val="39"/>
    <w:unhideWhenUsed/>
    <w:qFormat/>
    <w:rsid w:val="000D5A23"/>
    <w:pPr>
      <w:ind w:left="1680"/>
    </w:pPr>
  </w:style>
  <w:style w:type="paragraph" w:styleId="HTML">
    <w:name w:val="HTML Preformatted"/>
    <w:basedOn w:val="a"/>
    <w:link w:val="HTML0"/>
    <w:uiPriority w:val="99"/>
    <w:semiHidden/>
    <w:unhideWhenUsed/>
    <w:qFormat/>
    <w:rsid w:val="000D5A23"/>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uiPriority w:val="99"/>
    <w:semiHidden/>
    <w:qFormat/>
    <w:rsid w:val="000D5A23"/>
    <w:rPr>
      <w:rFonts w:ascii="Courier New" w:hAnsi="Courier New" w:cs="Courier New"/>
      <w:kern w:val="0"/>
      <w:sz w:val="20"/>
      <w:szCs w:val="20"/>
    </w:rPr>
  </w:style>
  <w:style w:type="paragraph" w:styleId="af3">
    <w:name w:val="Normal (Web)"/>
    <w:basedOn w:val="a"/>
    <w:uiPriority w:val="99"/>
    <w:unhideWhenUsed/>
    <w:qFormat/>
    <w:rsid w:val="000D5A23"/>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rsid w:val="000D5A23"/>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qFormat/>
    <w:rsid w:val="000D5A23"/>
    <w:rPr>
      <w:rFonts w:asciiTheme="majorHAnsi" w:eastAsiaTheme="majorEastAsia" w:hAnsiTheme="majorHAnsi" w:cstheme="majorBidi"/>
      <w:b/>
      <w:bCs/>
      <w:color w:val="000000" w:themeColor="text1"/>
      <w:sz w:val="32"/>
      <w:szCs w:val="32"/>
    </w:rPr>
  </w:style>
  <w:style w:type="paragraph" w:styleId="af6">
    <w:name w:val="annotation subject"/>
    <w:basedOn w:val="a5"/>
    <w:next w:val="a5"/>
    <w:link w:val="af7"/>
    <w:uiPriority w:val="99"/>
    <w:semiHidden/>
    <w:unhideWhenUsed/>
    <w:qFormat/>
    <w:rsid w:val="000D5A23"/>
    <w:rPr>
      <w:b/>
      <w:bCs/>
    </w:rPr>
  </w:style>
  <w:style w:type="character" w:customStyle="1" w:styleId="af7">
    <w:name w:val="批注主题 字符"/>
    <w:basedOn w:val="a6"/>
    <w:link w:val="af6"/>
    <w:uiPriority w:val="99"/>
    <w:semiHidden/>
    <w:qFormat/>
    <w:rsid w:val="000D5A23"/>
    <w:rPr>
      <w:rFonts w:ascii="宋体" w:eastAsia="汉仪书宋二简" w:hAnsi="宋体" w:cs="宋体"/>
      <w:b/>
      <w:bCs/>
      <w:color w:val="000000" w:themeColor="text1"/>
      <w:szCs w:val="21"/>
    </w:rPr>
  </w:style>
  <w:style w:type="table" w:styleId="af8">
    <w:name w:val="Table Grid"/>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0D5A23"/>
    <w:rPr>
      <w:b/>
      <w:bCs/>
    </w:rPr>
  </w:style>
  <w:style w:type="character" w:styleId="afa">
    <w:name w:val="endnote reference"/>
    <w:basedOn w:val="a0"/>
    <w:uiPriority w:val="99"/>
    <w:semiHidden/>
    <w:unhideWhenUsed/>
    <w:qFormat/>
    <w:rsid w:val="000D5A23"/>
    <w:rPr>
      <w:vertAlign w:val="superscript"/>
    </w:rPr>
  </w:style>
  <w:style w:type="character" w:styleId="afb">
    <w:name w:val="page number"/>
    <w:basedOn w:val="a0"/>
    <w:uiPriority w:val="99"/>
    <w:semiHidden/>
    <w:unhideWhenUsed/>
    <w:qFormat/>
    <w:rsid w:val="000D5A23"/>
  </w:style>
  <w:style w:type="character" w:styleId="afc">
    <w:name w:val="Emphasis"/>
    <w:basedOn w:val="a0"/>
    <w:uiPriority w:val="20"/>
    <w:qFormat/>
    <w:rsid w:val="000D5A23"/>
    <w:rPr>
      <w:i/>
      <w:iCs/>
    </w:rPr>
  </w:style>
  <w:style w:type="character" w:styleId="afd">
    <w:name w:val="Hyperlink"/>
    <w:basedOn w:val="a0"/>
    <w:uiPriority w:val="99"/>
    <w:unhideWhenUsed/>
    <w:qFormat/>
    <w:rsid w:val="000D5A23"/>
    <w:rPr>
      <w:color w:val="0563C1" w:themeColor="hyperlink"/>
      <w:u w:val="single"/>
    </w:rPr>
  </w:style>
  <w:style w:type="character" w:styleId="afe">
    <w:name w:val="annotation reference"/>
    <w:basedOn w:val="a0"/>
    <w:uiPriority w:val="99"/>
    <w:semiHidden/>
    <w:unhideWhenUsed/>
    <w:qFormat/>
    <w:rsid w:val="000D5A23"/>
    <w:rPr>
      <w:sz w:val="21"/>
      <w:szCs w:val="21"/>
    </w:rPr>
  </w:style>
  <w:style w:type="character" w:styleId="aff">
    <w:name w:val="footnote reference"/>
    <w:basedOn w:val="a0"/>
    <w:semiHidden/>
    <w:unhideWhenUsed/>
    <w:qFormat/>
    <w:rsid w:val="000D5A23"/>
    <w:rPr>
      <w:vertAlign w:val="superscript"/>
    </w:rPr>
  </w:style>
  <w:style w:type="paragraph" w:styleId="aff0">
    <w:name w:val="List Paragraph"/>
    <w:basedOn w:val="a"/>
    <w:uiPriority w:val="34"/>
    <w:qFormat/>
    <w:rsid w:val="000D5A23"/>
    <w:pPr>
      <w:ind w:firstLine="420"/>
    </w:pPr>
  </w:style>
  <w:style w:type="table" w:customStyle="1" w:styleId="11">
    <w:name w:val="网格型1"/>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rsid w:val="000D5A23"/>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0D5A23"/>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0D5A23"/>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rsid w:val="000D5A23"/>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rsid w:val="000D5A23"/>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0D5A23"/>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0D5A23"/>
    <w:rPr>
      <w:rFonts w:ascii="宋体" w:eastAsia="汉仪书宋二简" w:hAnsi="宋体" w:cs="宋体"/>
      <w:color w:val="000000" w:themeColor="text1"/>
      <w:szCs w:val="21"/>
    </w:rPr>
  </w:style>
  <w:style w:type="character" w:customStyle="1" w:styleId="apple-converted-space">
    <w:name w:val="apple-converted-space"/>
    <w:basedOn w:val="a0"/>
    <w:qFormat/>
    <w:rsid w:val="000D5A23"/>
  </w:style>
  <w:style w:type="table" w:customStyle="1" w:styleId="110">
    <w:name w:val="网格型11"/>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0D5A23"/>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0D5A2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0D5A23"/>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0D5A23"/>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0D5A23"/>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0D5A23"/>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0D5A23"/>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hina.findlaw.cn/bianhu/xsssfzs/gongs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Pages>
  <Words>3000</Words>
  <Characters>3032</Characters>
  <Application>Microsoft Office Word</Application>
  <DocSecurity>0</DocSecurity>
  <Lines>108</Lines>
  <Paragraphs>113</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178</cp:revision>
  <dcterms:created xsi:type="dcterms:W3CDTF">2023-04-28T12:52:00Z</dcterms:created>
  <dcterms:modified xsi:type="dcterms:W3CDTF">2025-04-18T14:36:00Z</dcterms:modified>
</cp:coreProperties>
</file>