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52617" w14:textId="67278EC1" w:rsidR="00FF31E1" w:rsidRPr="0092561E" w:rsidRDefault="00FF31E1" w:rsidP="00FF31E1">
      <w:pPr>
        <w:pStyle w:val="1"/>
        <w:spacing w:before="0" w:line="240" w:lineRule="exact"/>
        <w:rPr>
          <w:rFonts w:ascii="宋体" w:eastAsia="宋体" w:hAnsi="宋体" w:hint="eastAsia"/>
          <w:b/>
          <w:bCs w:val="0"/>
          <w:sz w:val="21"/>
          <w:szCs w:val="21"/>
        </w:rPr>
      </w:pPr>
      <w:bookmarkStart w:id="0" w:name="_Toc64384726"/>
      <w:bookmarkStart w:id="1" w:name="_Toc510879134"/>
      <w:bookmarkStart w:id="2" w:name="_Toc4844149"/>
      <w:bookmarkStart w:id="3" w:name="_Toc126331819"/>
      <w:bookmarkStart w:id="4" w:name="_Toc64384727"/>
      <w:bookmarkStart w:id="5" w:name="_Toc4844150"/>
      <w:bookmarkStart w:id="6" w:name="_Toc510879139"/>
      <w:bookmarkStart w:id="7" w:name="_Toc126331820"/>
      <w:bookmarkStart w:id="8" w:name="_Toc126331821"/>
      <w:r w:rsidRPr="0092561E">
        <w:rPr>
          <w:rFonts w:ascii="宋体" w:eastAsia="宋体" w:hAnsi="宋体" w:hint="eastAsia"/>
          <w:b/>
          <w:bCs w:val="0"/>
          <w:color w:val="auto"/>
          <w:sz w:val="22"/>
          <w:szCs w:val="22"/>
        </w:rPr>
        <w:t>考点</w:t>
      </w:r>
      <w:r>
        <w:rPr>
          <w:rFonts w:ascii="宋体" w:eastAsia="宋体" w:hAnsi="宋体" w:hint="eastAsia"/>
          <w:b/>
          <w:bCs w:val="0"/>
          <w:color w:val="auto"/>
          <w:sz w:val="22"/>
          <w:szCs w:val="22"/>
        </w:rPr>
        <w:t>48</w:t>
      </w:r>
      <w:r w:rsidRPr="0092561E">
        <w:rPr>
          <w:rFonts w:ascii="宋体" w:eastAsia="宋体" w:hAnsi="宋体"/>
          <w:b/>
          <w:bCs w:val="0"/>
          <w:color w:val="auto"/>
          <w:sz w:val="22"/>
          <w:szCs w:val="22"/>
        </w:rPr>
        <w:t xml:space="preserve">  </w:t>
      </w:r>
      <w:r w:rsidRPr="0092561E">
        <w:rPr>
          <w:rFonts w:ascii="宋体" w:eastAsia="宋体" w:hAnsi="宋体" w:hint="eastAsia"/>
          <w:b/>
          <w:bCs w:val="0"/>
          <w:color w:val="auto"/>
          <w:sz w:val="22"/>
          <w:szCs w:val="22"/>
        </w:rPr>
        <w:t>简易程序（</w:t>
      </w:r>
      <w:r w:rsidR="003E4348">
        <w:rPr>
          <w:rFonts w:ascii="宋体" w:eastAsia="宋体" w:hAnsi="宋体" w:hint="eastAsia"/>
          <w:b/>
          <w:bCs w:val="0"/>
          <w:color w:val="auto"/>
          <w:sz w:val="22"/>
          <w:szCs w:val="22"/>
        </w:rPr>
        <w:t>19</w:t>
      </w:r>
      <w:r w:rsidRPr="0092561E">
        <w:rPr>
          <w:rFonts w:ascii="宋体" w:eastAsia="宋体" w:hAnsi="宋体"/>
          <w:b/>
          <w:bCs w:val="0"/>
          <w:color w:val="auto"/>
          <w:sz w:val="22"/>
          <w:szCs w:val="22"/>
        </w:rPr>
        <w:t>:</w:t>
      </w:r>
      <w:r w:rsidR="003E4348">
        <w:rPr>
          <w:rFonts w:ascii="宋体" w:eastAsia="宋体" w:hAnsi="宋体" w:hint="eastAsia"/>
          <w:b/>
          <w:bCs w:val="0"/>
          <w:color w:val="auto"/>
          <w:sz w:val="22"/>
          <w:szCs w:val="22"/>
        </w:rPr>
        <w:t>30</w:t>
      </w:r>
      <w:r w:rsidRPr="0092561E">
        <w:rPr>
          <w:rFonts w:ascii="宋体" w:eastAsia="宋体" w:hAnsi="宋体"/>
          <w:b/>
          <w:bCs w:val="0"/>
          <w:color w:val="auto"/>
          <w:sz w:val="22"/>
          <w:szCs w:val="22"/>
        </w:rPr>
        <w:t>:00-</w:t>
      </w:r>
      <w:r w:rsidR="00FF3E76">
        <w:rPr>
          <w:rFonts w:ascii="宋体" w:eastAsia="宋体" w:hAnsi="宋体" w:hint="eastAsia"/>
          <w:b/>
          <w:bCs w:val="0"/>
          <w:color w:val="auto"/>
          <w:sz w:val="22"/>
          <w:szCs w:val="22"/>
        </w:rPr>
        <w:t>19</w:t>
      </w:r>
      <w:r w:rsidRPr="0092561E">
        <w:rPr>
          <w:rFonts w:ascii="宋体" w:eastAsia="宋体" w:hAnsi="宋体"/>
          <w:b/>
          <w:bCs w:val="0"/>
          <w:color w:val="auto"/>
          <w:sz w:val="22"/>
          <w:szCs w:val="22"/>
        </w:rPr>
        <w:t>:</w:t>
      </w:r>
      <w:r w:rsidR="00FF3E76">
        <w:rPr>
          <w:rFonts w:ascii="宋体" w:eastAsia="宋体" w:hAnsi="宋体" w:hint="eastAsia"/>
          <w:b/>
          <w:bCs w:val="0"/>
          <w:color w:val="auto"/>
          <w:sz w:val="22"/>
          <w:szCs w:val="22"/>
        </w:rPr>
        <w:t>52</w:t>
      </w:r>
      <w:r w:rsidRPr="0092561E">
        <w:rPr>
          <w:rFonts w:ascii="宋体" w:eastAsia="宋体" w:hAnsi="宋体"/>
          <w:b/>
          <w:bCs w:val="0"/>
          <w:color w:val="auto"/>
          <w:sz w:val="22"/>
          <w:szCs w:val="22"/>
        </w:rPr>
        <w:t>:00）</w:t>
      </w:r>
    </w:p>
    <w:p w14:paraId="17530B5D" w14:textId="77777777" w:rsidR="00FF31E1" w:rsidRPr="0092561E" w:rsidRDefault="00FF31E1" w:rsidP="00FF31E1">
      <w:pPr>
        <w:pStyle w:val="3"/>
        <w:spacing w:line="240" w:lineRule="exact"/>
        <w:ind w:firstLineChars="200" w:firstLine="420"/>
        <w:rPr>
          <w:rFonts w:eastAsia="宋体" w:hint="eastAsia"/>
          <w:sz w:val="21"/>
        </w:rPr>
      </w:pPr>
      <w:r w:rsidRPr="0092561E">
        <w:rPr>
          <w:rFonts w:eastAsia="宋体" w:hint="eastAsia"/>
          <w:sz w:val="21"/>
        </w:rPr>
        <w:t>一、简易程序的适用范围</w:t>
      </w:r>
    </w:p>
    <w:p w14:paraId="67E79B71" w14:textId="77777777" w:rsidR="00FF31E1" w:rsidRPr="00AA7F66" w:rsidRDefault="00FF31E1" w:rsidP="00FF31E1">
      <w:pPr>
        <w:spacing w:line="240" w:lineRule="exact"/>
        <w:ind w:firstLine="420"/>
        <w:rPr>
          <w:rFonts w:eastAsia="宋体" w:hint="eastAsia"/>
          <w:color w:val="FF0000"/>
        </w:rPr>
      </w:pPr>
      <w:r w:rsidRPr="00846741">
        <w:rPr>
          <w:rFonts w:eastAsia="宋体" w:cs="仿宋_GB2312" w:hint="eastAsia"/>
        </w:rPr>
        <w:t>有下列情形之一的，</w:t>
      </w:r>
      <w:r w:rsidRPr="00AA7F66">
        <w:rPr>
          <w:rFonts w:eastAsia="宋体" w:cs="仿宋_GB2312" w:hint="eastAsia"/>
          <w:color w:val="FF0000"/>
        </w:rPr>
        <w:t>不适用简易程序</w:t>
      </w:r>
      <w:r w:rsidRPr="00846741">
        <w:rPr>
          <w:rFonts w:eastAsia="宋体" w:cs="仿宋_GB2312" w:hint="eastAsia"/>
        </w:rPr>
        <w:t>：（</w:t>
      </w:r>
      <w:r>
        <w:rPr>
          <w:rFonts w:eastAsia="宋体" w:cs="仿宋_GB2312" w:hint="eastAsia"/>
        </w:rPr>
        <w:t>1</w:t>
      </w:r>
      <w:r w:rsidRPr="00846741">
        <w:rPr>
          <w:rFonts w:eastAsia="宋体" w:cs="仿宋_GB2312" w:hint="eastAsia"/>
        </w:rPr>
        <w:t>）被告人是盲、聋、哑人，或者是尚未完全丧失辨认或者控制自己行为能力的精神病人的；（</w:t>
      </w:r>
      <w:r>
        <w:rPr>
          <w:rFonts w:eastAsia="宋体" w:cs="仿宋_GB2312" w:hint="eastAsia"/>
        </w:rPr>
        <w:t>2</w:t>
      </w:r>
      <w:r w:rsidRPr="00846741">
        <w:rPr>
          <w:rFonts w:eastAsia="宋体" w:cs="仿宋_GB2312" w:hint="eastAsia"/>
        </w:rPr>
        <w:t>）有重大社会影响的；（</w:t>
      </w:r>
      <w:r>
        <w:rPr>
          <w:rFonts w:eastAsia="宋体" w:cs="仿宋_GB2312" w:hint="eastAsia"/>
        </w:rPr>
        <w:t>3</w:t>
      </w:r>
      <w:r w:rsidRPr="00846741">
        <w:rPr>
          <w:rFonts w:eastAsia="宋体" w:cs="仿宋_GB2312" w:hint="eastAsia"/>
        </w:rPr>
        <w:t>）</w:t>
      </w:r>
      <w:r w:rsidRPr="00AA7F66">
        <w:rPr>
          <w:rFonts w:eastAsia="宋体" w:cs="仿宋_GB2312" w:hint="eastAsia"/>
          <w:color w:val="FF0000"/>
        </w:rPr>
        <w:t>共同犯罪案件中部分被告人不认罪或者对适用简易程序有异议的</w:t>
      </w:r>
      <w:r>
        <w:rPr>
          <w:rFonts w:eastAsia="宋体" w:cs="仿宋_GB2312" w:hint="eastAsia"/>
        </w:rPr>
        <w:t>（4）</w:t>
      </w:r>
      <w:r w:rsidRPr="0092561E">
        <w:rPr>
          <w:rFonts w:eastAsia="宋体" w:hint="eastAsia"/>
        </w:rPr>
        <w:t>辩护人作无罪辩护的</w:t>
      </w:r>
      <w:r>
        <w:rPr>
          <w:rFonts w:eastAsia="宋体" w:hint="eastAsia"/>
        </w:rPr>
        <w:t>（5）</w:t>
      </w:r>
      <w:r w:rsidRPr="0092561E">
        <w:rPr>
          <w:rFonts w:eastAsia="宋体" w:hint="eastAsia"/>
        </w:rPr>
        <w:t>被告人认罪但经审查认为可能不构成犯罪的</w:t>
      </w:r>
      <w:r>
        <w:rPr>
          <w:rFonts w:eastAsia="宋体" w:hint="eastAsia"/>
        </w:rPr>
        <w:t>。</w:t>
      </w:r>
      <w:r w:rsidRPr="00AA7F66">
        <w:rPr>
          <w:rFonts w:eastAsia="宋体" w:hint="eastAsia"/>
          <w:color w:val="FF0000"/>
        </w:rPr>
        <w:t>（补充：简易、速裁程序不能作出无罪判决）</w:t>
      </w:r>
    </w:p>
    <w:p w14:paraId="3B4321C8" w14:textId="77777777" w:rsidR="00FF31E1" w:rsidRPr="009D3CFD" w:rsidRDefault="00FF31E1" w:rsidP="00FF31E1">
      <w:pPr>
        <w:spacing w:line="240" w:lineRule="exact"/>
        <w:ind w:firstLine="420"/>
        <w:rPr>
          <w:rFonts w:eastAsia="宋体" w:cs="仿宋_GB2312" w:hint="eastAsia"/>
        </w:rPr>
      </w:pPr>
      <w:r w:rsidRPr="0092561E">
        <w:rPr>
          <w:rFonts w:eastAsia="宋体" w:hint="eastAsia"/>
        </w:rPr>
        <w:t>二、审判组织形式的简化</w:t>
      </w:r>
    </w:p>
    <w:p w14:paraId="1973C66E" w14:textId="77777777" w:rsidR="00FF31E1" w:rsidRDefault="00FF31E1" w:rsidP="00FF31E1">
      <w:pPr>
        <w:spacing w:line="240" w:lineRule="exact"/>
        <w:ind w:firstLine="420"/>
        <w:rPr>
          <w:rFonts w:eastAsia="宋体" w:hint="eastAsia"/>
        </w:rPr>
      </w:pPr>
      <w:r w:rsidRPr="0092561E">
        <w:rPr>
          <w:rFonts w:eastAsia="宋体" w:hint="eastAsia"/>
        </w:rPr>
        <w:t>可能判处三年有期徒刑以下刑罚的</w:t>
      </w:r>
      <w:r>
        <w:rPr>
          <w:rFonts w:eastAsia="宋体" w:hint="eastAsia"/>
        </w:rPr>
        <w:t>——</w:t>
      </w:r>
      <w:r w:rsidRPr="0092561E">
        <w:rPr>
          <w:rFonts w:eastAsia="宋体" w:hint="eastAsia"/>
        </w:rPr>
        <w:t>合议庭</w:t>
      </w:r>
      <w:r>
        <w:rPr>
          <w:rFonts w:eastAsia="宋体" w:hint="eastAsia"/>
        </w:rPr>
        <w:t>/</w:t>
      </w:r>
      <w:r w:rsidRPr="0092561E">
        <w:rPr>
          <w:rFonts w:eastAsia="宋体" w:hint="eastAsia"/>
        </w:rPr>
        <w:t>独任审判</w:t>
      </w:r>
      <w:r>
        <w:rPr>
          <w:rFonts w:eastAsia="宋体" w:hint="eastAsia"/>
        </w:rPr>
        <w:t>；</w:t>
      </w:r>
      <w:r w:rsidRPr="0092561E">
        <w:rPr>
          <w:rFonts w:eastAsia="宋体" w:hint="eastAsia"/>
        </w:rPr>
        <w:t>超过三年的</w:t>
      </w:r>
      <w:r>
        <w:rPr>
          <w:rFonts w:eastAsia="宋体" w:hint="eastAsia"/>
        </w:rPr>
        <w:t>——</w:t>
      </w:r>
      <w:r w:rsidRPr="0092561E">
        <w:rPr>
          <w:rFonts w:eastAsia="宋体" w:hint="eastAsia"/>
        </w:rPr>
        <w:t>合议庭</w:t>
      </w:r>
      <w:bookmarkStart w:id="9" w:name="_Toc510879126"/>
    </w:p>
    <w:p w14:paraId="09903C76" w14:textId="77777777" w:rsidR="00FF31E1" w:rsidRPr="0092561E" w:rsidRDefault="00FF31E1" w:rsidP="00FF31E1">
      <w:pPr>
        <w:spacing w:line="240" w:lineRule="exact"/>
        <w:ind w:firstLine="420"/>
        <w:rPr>
          <w:rFonts w:eastAsia="宋体" w:hint="eastAsia"/>
        </w:rPr>
      </w:pPr>
      <w:r w:rsidRPr="0092561E">
        <w:rPr>
          <w:rFonts w:eastAsia="宋体" w:hint="eastAsia"/>
        </w:rPr>
        <w:t>三、程序的简化</w:t>
      </w:r>
      <w:bookmarkEnd w:id="9"/>
    </w:p>
    <w:p w14:paraId="7D6C2DD1" w14:textId="77777777" w:rsidR="00FF31E1" w:rsidRDefault="00FF31E1" w:rsidP="00FF31E1">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t>（</w:t>
      </w:r>
      <w:r>
        <w:rPr>
          <w:rFonts w:ascii="宋体" w:eastAsia="宋体" w:hAnsi="宋体" w:hint="eastAsia"/>
          <w:sz w:val="21"/>
          <w:szCs w:val="21"/>
        </w:rPr>
        <w:t>一</w:t>
      </w:r>
      <w:r w:rsidRPr="0092561E">
        <w:rPr>
          <w:rFonts w:ascii="宋体" w:eastAsia="宋体" w:hAnsi="宋体" w:hint="eastAsia"/>
          <w:sz w:val="21"/>
          <w:szCs w:val="21"/>
        </w:rPr>
        <w:t>）庭审程序的简化</w:t>
      </w:r>
    </w:p>
    <w:p w14:paraId="3A26988C" w14:textId="77777777" w:rsidR="00FF31E1" w:rsidRDefault="00FF31E1" w:rsidP="00FF31E1">
      <w:pPr>
        <w:spacing w:line="240" w:lineRule="exact"/>
        <w:ind w:firstLine="420"/>
        <w:rPr>
          <w:rFonts w:eastAsia="宋体" w:cstheme="majorBidi" w:hint="eastAsia"/>
          <w:bCs/>
        </w:rPr>
      </w:pPr>
      <w:r w:rsidRPr="00AD1952">
        <w:rPr>
          <w:rFonts w:eastAsia="宋体" w:cstheme="majorBidi" w:hint="eastAsia"/>
          <w:bCs/>
        </w:rPr>
        <w:t>证据调查</w:t>
      </w:r>
      <w:r>
        <w:rPr>
          <w:rFonts w:eastAsia="宋体" w:cstheme="majorBidi" w:hint="eastAsia"/>
          <w:bCs/>
        </w:rPr>
        <w:t>环节，</w:t>
      </w:r>
      <w:r w:rsidRPr="00AD1952">
        <w:rPr>
          <w:rFonts w:eastAsia="宋体" w:cstheme="majorBidi"/>
          <w:bCs/>
        </w:rPr>
        <w:t>控辩双方无异议</w:t>
      </w:r>
      <w:r>
        <w:rPr>
          <w:rFonts w:eastAsia="宋体" w:cstheme="majorBidi" w:hint="eastAsia"/>
          <w:bCs/>
        </w:rPr>
        <w:t>，</w:t>
      </w:r>
      <w:r w:rsidRPr="00AD1952">
        <w:rPr>
          <w:rFonts w:eastAsia="宋体" w:cstheme="majorBidi"/>
          <w:bCs/>
        </w:rPr>
        <w:t>可仅就证据名称及证明事项作出说明</w:t>
      </w:r>
    </w:p>
    <w:p w14:paraId="75B702CE" w14:textId="77777777" w:rsidR="00FF31E1" w:rsidRPr="00AD1952" w:rsidRDefault="00FF31E1" w:rsidP="00FF31E1">
      <w:pPr>
        <w:spacing w:line="240" w:lineRule="exact"/>
        <w:ind w:firstLine="420"/>
        <w:rPr>
          <w:rFonts w:eastAsia="宋体" w:cstheme="majorBidi" w:hint="eastAsia"/>
          <w:bCs/>
        </w:rPr>
      </w:pPr>
      <w:r w:rsidRPr="00AD1952">
        <w:rPr>
          <w:rFonts w:eastAsia="宋体" w:cstheme="majorBidi" w:hint="eastAsia"/>
          <w:bCs/>
        </w:rPr>
        <w:t>对与定罪量刑有关的事实、证据没有异议</w:t>
      </w:r>
      <w:r>
        <w:rPr>
          <w:rFonts w:eastAsia="宋体" w:cstheme="majorBidi" w:hint="eastAsia"/>
          <w:bCs/>
        </w:rPr>
        <w:t>，</w:t>
      </w:r>
      <w:r w:rsidRPr="00AD1952">
        <w:rPr>
          <w:rFonts w:eastAsia="宋体" w:cstheme="majorBidi"/>
          <w:bCs/>
        </w:rPr>
        <w:t>可以直接围绕罪名确定和量刑问题进行</w:t>
      </w:r>
    </w:p>
    <w:p w14:paraId="08F391C6" w14:textId="77777777" w:rsidR="00FF31E1" w:rsidRPr="007D0F18" w:rsidRDefault="00FF31E1" w:rsidP="00FF31E1">
      <w:pPr>
        <w:pStyle w:val="4"/>
        <w:spacing w:line="240" w:lineRule="exact"/>
        <w:ind w:firstLineChars="120" w:firstLine="252"/>
        <w:rPr>
          <w:rFonts w:ascii="宋体" w:eastAsia="宋体" w:hAnsi="宋体" w:hint="eastAsia"/>
          <w:color w:val="FF0000"/>
          <w:sz w:val="21"/>
          <w:szCs w:val="21"/>
        </w:rPr>
      </w:pPr>
      <w:r w:rsidRPr="0092561E">
        <w:rPr>
          <w:rFonts w:ascii="宋体" w:eastAsia="宋体" w:hAnsi="宋体" w:hint="eastAsia"/>
          <w:sz w:val="21"/>
          <w:szCs w:val="21"/>
        </w:rPr>
        <w:t>（</w:t>
      </w:r>
      <w:r>
        <w:rPr>
          <w:rFonts w:ascii="宋体" w:eastAsia="宋体" w:hAnsi="宋体" w:hint="eastAsia"/>
          <w:sz w:val="21"/>
          <w:szCs w:val="21"/>
        </w:rPr>
        <w:t>二</w:t>
      </w:r>
      <w:r w:rsidRPr="0092561E">
        <w:rPr>
          <w:rFonts w:ascii="宋体" w:eastAsia="宋体" w:hAnsi="宋体" w:hint="eastAsia"/>
          <w:sz w:val="21"/>
          <w:szCs w:val="21"/>
        </w:rPr>
        <w:t>）</w:t>
      </w:r>
      <w:r w:rsidRPr="007D0F18">
        <w:rPr>
          <w:rFonts w:ascii="宋体" w:eastAsia="宋体" w:hAnsi="宋体" w:hint="eastAsia"/>
          <w:color w:val="FF0000"/>
          <w:sz w:val="21"/>
          <w:szCs w:val="21"/>
        </w:rPr>
        <w:t>一般应当当庭宣判</w:t>
      </w:r>
    </w:p>
    <w:p w14:paraId="032C1301" w14:textId="77777777" w:rsidR="00FF31E1" w:rsidRPr="0064053D" w:rsidRDefault="00FF31E1" w:rsidP="00FF31E1">
      <w:pPr>
        <w:spacing w:line="240" w:lineRule="exact"/>
        <w:ind w:firstLine="420"/>
        <w:rPr>
          <w:rFonts w:eastAsia="宋体" w:hint="eastAsia"/>
          <w:color w:val="FF0000"/>
        </w:rPr>
      </w:pPr>
      <w:bookmarkStart w:id="10" w:name="_Toc510879127"/>
      <w:r w:rsidRPr="0092561E">
        <w:rPr>
          <w:rFonts w:eastAsia="宋体" w:hint="eastAsia"/>
        </w:rPr>
        <w:t>四、简易程序中</w:t>
      </w:r>
      <w:r w:rsidRPr="0064053D">
        <w:rPr>
          <w:rFonts w:eastAsia="宋体" w:hint="eastAsia"/>
          <w:color w:val="FF0000"/>
        </w:rPr>
        <w:t>不能简化的内容</w:t>
      </w:r>
      <w:bookmarkEnd w:id="10"/>
    </w:p>
    <w:p w14:paraId="4CE1B812" w14:textId="77777777" w:rsidR="00FF31E1" w:rsidRPr="00F33FC0" w:rsidRDefault="00FF31E1" w:rsidP="00FF31E1">
      <w:pPr>
        <w:spacing w:line="240" w:lineRule="exact"/>
        <w:ind w:firstLine="420"/>
        <w:rPr>
          <w:rFonts w:eastAsia="宋体" w:hint="eastAsia"/>
          <w:color w:val="FF0000"/>
        </w:rPr>
      </w:pPr>
      <w:r>
        <w:rPr>
          <w:rFonts w:eastAsia="宋体" w:hint="eastAsia"/>
        </w:rPr>
        <w:t>（1）</w:t>
      </w:r>
      <w:r w:rsidRPr="00AD1952">
        <w:rPr>
          <w:rFonts w:eastAsia="宋体" w:hint="eastAsia"/>
        </w:rPr>
        <w:t>公诉案件检察院应当</w:t>
      </w:r>
      <w:r w:rsidRPr="00877054">
        <w:rPr>
          <w:rFonts w:eastAsia="宋体" w:hint="eastAsia"/>
          <w:color w:val="FF0000"/>
        </w:rPr>
        <w:t>派员出席法庭</w:t>
      </w:r>
      <w:r>
        <w:rPr>
          <w:rFonts w:eastAsia="宋体" w:hint="eastAsia"/>
        </w:rPr>
        <w:t>（2）</w:t>
      </w:r>
      <w:r w:rsidRPr="00AD1952">
        <w:rPr>
          <w:rFonts w:eastAsia="宋体" w:hint="eastAsia"/>
        </w:rPr>
        <w:t>被告人有辩护人的，应当通知其出庭</w:t>
      </w:r>
      <w:r>
        <w:rPr>
          <w:rFonts w:eastAsia="宋体" w:hint="eastAsia"/>
        </w:rPr>
        <w:t>（3）</w:t>
      </w:r>
      <w:r w:rsidRPr="00AD1952">
        <w:rPr>
          <w:rFonts w:eastAsia="宋体" w:hint="eastAsia"/>
        </w:rPr>
        <w:t>审判人员应当当庭询问被告人对指控的犯罪事实的意见，告知被告人适用简易程序审理的法律规定，确认被告人是否同意适用简易程序审理</w:t>
      </w:r>
      <w:r>
        <w:rPr>
          <w:rFonts w:eastAsia="宋体" w:hint="eastAsia"/>
        </w:rPr>
        <w:t>（4）</w:t>
      </w:r>
      <w:r w:rsidRPr="00AD1952">
        <w:rPr>
          <w:rFonts w:eastAsia="宋体" w:hint="eastAsia"/>
        </w:rPr>
        <w:t>对控辩双方有异议，或者法庭认为有必要调查核实的证据，应当出示，并进行质证</w:t>
      </w:r>
      <w:r>
        <w:rPr>
          <w:rFonts w:eastAsia="宋体" w:hint="eastAsia"/>
        </w:rPr>
        <w:t>（5）</w:t>
      </w:r>
      <w:r w:rsidRPr="00AD1952">
        <w:rPr>
          <w:rFonts w:eastAsia="宋体" w:hint="eastAsia"/>
        </w:rPr>
        <w:t>判决宣告前应当听取被告人的</w:t>
      </w:r>
      <w:r w:rsidRPr="00F33FC0">
        <w:rPr>
          <w:rFonts w:eastAsia="宋体" w:hint="eastAsia"/>
          <w:color w:val="FF0000"/>
        </w:rPr>
        <w:t>最后陈述</w:t>
      </w:r>
      <w:bookmarkStart w:id="11" w:name="_Toc510879128"/>
    </w:p>
    <w:p w14:paraId="0A5F78EA" w14:textId="77777777" w:rsidR="00FF31E1" w:rsidRPr="0092561E" w:rsidRDefault="00FF31E1" w:rsidP="00FF31E1">
      <w:pPr>
        <w:spacing w:line="240" w:lineRule="exact"/>
        <w:ind w:firstLine="420"/>
        <w:rPr>
          <w:rFonts w:eastAsia="宋体" w:hint="eastAsia"/>
        </w:rPr>
      </w:pPr>
      <w:r w:rsidRPr="0092561E">
        <w:rPr>
          <w:rFonts w:eastAsia="宋体" w:hint="eastAsia"/>
        </w:rPr>
        <w:t>五、简易程序转为普通程序的情形</w:t>
      </w:r>
      <w:bookmarkEnd w:id="11"/>
    </w:p>
    <w:p w14:paraId="0BAE627B" w14:textId="77777777" w:rsidR="00FF31E1" w:rsidRPr="00F33FC0" w:rsidRDefault="00FF31E1" w:rsidP="00FF31E1">
      <w:pPr>
        <w:spacing w:line="240" w:lineRule="exact"/>
        <w:ind w:firstLine="420"/>
        <w:rPr>
          <w:rFonts w:eastAsia="宋体" w:hint="eastAsia"/>
          <w:color w:val="FF0000"/>
        </w:rPr>
      </w:pPr>
      <w:r w:rsidRPr="00F33FC0">
        <w:rPr>
          <w:rFonts w:eastAsia="宋体" w:hint="eastAsia"/>
          <w:color w:val="FF0000"/>
        </w:rPr>
        <w:t>（1）被告人的行为可能不构成犯罪的（2）被告人可能不负刑事责任的（3）被告人当庭对起诉指控的犯罪事实予以否认的（4）案件事实不清、证据不足的</w:t>
      </w:r>
      <w:bookmarkStart w:id="12" w:name="_Toc510879129"/>
    </w:p>
    <w:p w14:paraId="3C04C860" w14:textId="77777777" w:rsidR="00FF31E1" w:rsidRPr="0092561E" w:rsidRDefault="00FF31E1" w:rsidP="00FF31E1">
      <w:pPr>
        <w:spacing w:line="240" w:lineRule="exact"/>
        <w:ind w:firstLine="420"/>
        <w:rPr>
          <w:rFonts w:eastAsia="宋体" w:hint="eastAsia"/>
        </w:rPr>
      </w:pPr>
      <w:r w:rsidRPr="0092561E">
        <w:rPr>
          <w:rFonts w:eastAsia="宋体" w:hint="eastAsia"/>
        </w:rPr>
        <w:t>六、简易程序的审限</w:t>
      </w:r>
      <w:bookmarkEnd w:id="12"/>
    </w:p>
    <w:p w14:paraId="1E87CD7D" w14:textId="77777777" w:rsidR="00FF31E1" w:rsidRPr="00AB34A6" w:rsidRDefault="00FF31E1" w:rsidP="00FF31E1">
      <w:pPr>
        <w:spacing w:line="240" w:lineRule="exact"/>
        <w:ind w:firstLine="420"/>
        <w:rPr>
          <w:rFonts w:eastAsia="宋体" w:hint="eastAsia"/>
        </w:rPr>
      </w:pPr>
      <w:r w:rsidRPr="0092561E">
        <w:rPr>
          <w:rFonts w:eastAsia="宋体" w:hint="eastAsia"/>
          <w:kern w:val="0"/>
        </w:rPr>
        <w:t>法院应当在受理后</w:t>
      </w:r>
      <w:r w:rsidRPr="0092561E">
        <w:rPr>
          <w:rFonts w:eastAsia="宋体" w:hint="eastAsia"/>
          <w:color w:val="FF0000"/>
          <w:kern w:val="0"/>
        </w:rPr>
        <w:t>二十日以内</w:t>
      </w:r>
      <w:r w:rsidRPr="0092561E">
        <w:rPr>
          <w:rFonts w:eastAsia="宋体" w:hint="eastAsia"/>
          <w:kern w:val="0"/>
        </w:rPr>
        <w:t>审结；对可能判处的有期徒刑超过三年的，可以延长至</w:t>
      </w:r>
      <w:r w:rsidRPr="0092561E">
        <w:rPr>
          <w:rFonts w:eastAsia="宋体" w:hint="eastAsia"/>
          <w:color w:val="FF0000"/>
          <w:kern w:val="0"/>
        </w:rPr>
        <w:t>一个半月</w:t>
      </w:r>
      <w:r w:rsidRPr="0092561E">
        <w:rPr>
          <w:rFonts w:eastAsia="宋体" w:hint="eastAsia"/>
          <w:kern w:val="0"/>
        </w:rPr>
        <w:t>。</w:t>
      </w:r>
      <w:r w:rsidRPr="0092561E">
        <w:rPr>
          <w:rFonts w:eastAsia="宋体" w:hint="eastAsia"/>
        </w:rPr>
        <w:t>决定转为普通程序审理的案件，</w:t>
      </w:r>
      <w:r w:rsidRPr="0092561E">
        <w:rPr>
          <w:rFonts w:eastAsia="宋体" w:hint="eastAsia"/>
          <w:color w:val="FF0000"/>
        </w:rPr>
        <w:t>审理期限从作出决定之日起计算</w:t>
      </w:r>
      <w:r w:rsidRPr="0092561E">
        <w:rPr>
          <w:rFonts w:eastAsia="宋体" w:hint="eastAsia"/>
        </w:rPr>
        <w:t>。</w:t>
      </w:r>
    </w:p>
    <w:p w14:paraId="4F816D60" w14:textId="05E053DD" w:rsidR="00E824F9" w:rsidRPr="00A13FFD" w:rsidRDefault="00E824F9" w:rsidP="00E824F9">
      <w:pPr>
        <w:pStyle w:val="1"/>
        <w:spacing w:before="0" w:line="240" w:lineRule="exact"/>
        <w:rPr>
          <w:rFonts w:ascii="宋体" w:eastAsia="宋体" w:hAnsi="宋体" w:hint="eastAsia"/>
          <w:b/>
          <w:bCs w:val="0"/>
          <w:color w:val="auto"/>
          <w:sz w:val="22"/>
          <w:szCs w:val="22"/>
        </w:rPr>
      </w:pPr>
      <w:r w:rsidRPr="00A13FFD">
        <w:rPr>
          <w:rFonts w:ascii="宋体" w:eastAsia="宋体" w:hAnsi="宋体" w:hint="eastAsia"/>
          <w:b/>
          <w:bCs w:val="0"/>
          <w:color w:val="auto"/>
          <w:sz w:val="22"/>
          <w:szCs w:val="22"/>
        </w:rPr>
        <w:t>考点</w:t>
      </w:r>
      <w:r>
        <w:rPr>
          <w:rFonts w:ascii="宋体" w:eastAsia="宋体" w:hAnsi="宋体" w:hint="eastAsia"/>
          <w:b/>
          <w:bCs w:val="0"/>
          <w:color w:val="auto"/>
          <w:sz w:val="22"/>
          <w:szCs w:val="22"/>
        </w:rPr>
        <w:t>49</w:t>
      </w:r>
      <w:r w:rsidRPr="00A13FFD">
        <w:rPr>
          <w:rFonts w:ascii="宋体" w:eastAsia="宋体" w:hAnsi="宋体"/>
          <w:b/>
          <w:bCs w:val="0"/>
          <w:color w:val="auto"/>
          <w:sz w:val="22"/>
          <w:szCs w:val="22"/>
        </w:rPr>
        <w:t xml:space="preserve">  </w:t>
      </w:r>
      <w:r w:rsidRPr="00A13FFD">
        <w:rPr>
          <w:rFonts w:ascii="宋体" w:eastAsia="宋体" w:hAnsi="宋体" w:hint="eastAsia"/>
          <w:b/>
          <w:bCs w:val="0"/>
          <w:color w:val="auto"/>
          <w:sz w:val="22"/>
          <w:szCs w:val="22"/>
        </w:rPr>
        <w:t>认罪认罚从宽制度与速裁程序（</w:t>
      </w:r>
      <w:r w:rsidR="00FF3E76">
        <w:rPr>
          <w:rFonts w:ascii="宋体" w:eastAsia="宋体" w:hAnsi="宋体" w:hint="eastAsia"/>
          <w:b/>
          <w:bCs w:val="0"/>
          <w:color w:val="auto"/>
          <w:sz w:val="22"/>
          <w:szCs w:val="22"/>
        </w:rPr>
        <w:t>19</w:t>
      </w:r>
      <w:r w:rsidR="00FF3E76" w:rsidRPr="0092561E">
        <w:rPr>
          <w:rFonts w:ascii="宋体" w:eastAsia="宋体" w:hAnsi="宋体"/>
          <w:b/>
          <w:bCs w:val="0"/>
          <w:color w:val="auto"/>
          <w:sz w:val="22"/>
          <w:szCs w:val="22"/>
        </w:rPr>
        <w:t>:</w:t>
      </w:r>
      <w:r w:rsidR="00FF3E76">
        <w:rPr>
          <w:rFonts w:ascii="宋体" w:eastAsia="宋体" w:hAnsi="宋体" w:hint="eastAsia"/>
          <w:b/>
          <w:bCs w:val="0"/>
          <w:color w:val="auto"/>
          <w:sz w:val="22"/>
          <w:szCs w:val="22"/>
        </w:rPr>
        <w:t>52</w:t>
      </w:r>
      <w:r w:rsidRPr="00A13FFD">
        <w:rPr>
          <w:rFonts w:ascii="宋体" w:eastAsia="宋体" w:hAnsi="宋体"/>
          <w:b/>
          <w:bCs w:val="0"/>
          <w:color w:val="auto"/>
          <w:sz w:val="22"/>
          <w:szCs w:val="22"/>
        </w:rPr>
        <w:t>:00-</w:t>
      </w:r>
      <w:r w:rsidR="00AE0BCC">
        <w:rPr>
          <w:rFonts w:ascii="宋体" w:eastAsia="宋体" w:hAnsi="宋体" w:hint="eastAsia"/>
          <w:b/>
          <w:bCs w:val="0"/>
          <w:color w:val="auto"/>
          <w:sz w:val="22"/>
          <w:szCs w:val="22"/>
        </w:rPr>
        <w:t>2</w:t>
      </w:r>
      <w:r>
        <w:rPr>
          <w:rFonts w:ascii="宋体" w:eastAsia="宋体" w:hAnsi="宋体" w:hint="eastAsia"/>
          <w:b/>
          <w:bCs w:val="0"/>
          <w:color w:val="auto"/>
          <w:sz w:val="22"/>
          <w:szCs w:val="22"/>
        </w:rPr>
        <w:t>1</w:t>
      </w:r>
      <w:r w:rsidRPr="00A13FFD">
        <w:rPr>
          <w:rFonts w:ascii="宋体" w:eastAsia="宋体" w:hAnsi="宋体"/>
          <w:b/>
          <w:bCs w:val="0"/>
          <w:color w:val="auto"/>
          <w:sz w:val="22"/>
          <w:szCs w:val="22"/>
        </w:rPr>
        <w:t>:</w:t>
      </w:r>
      <w:r w:rsidR="00A37E64">
        <w:rPr>
          <w:rFonts w:ascii="宋体" w:eastAsia="宋体" w:hAnsi="宋体" w:hint="eastAsia"/>
          <w:b/>
          <w:bCs w:val="0"/>
          <w:color w:val="auto"/>
          <w:sz w:val="22"/>
          <w:szCs w:val="22"/>
        </w:rPr>
        <w:t>20</w:t>
      </w:r>
      <w:r w:rsidRPr="00A13FFD">
        <w:rPr>
          <w:rFonts w:ascii="宋体" w:eastAsia="宋体" w:hAnsi="宋体"/>
          <w:b/>
          <w:bCs w:val="0"/>
          <w:color w:val="auto"/>
          <w:sz w:val="22"/>
          <w:szCs w:val="22"/>
        </w:rPr>
        <w:t>:00）</w:t>
      </w:r>
    </w:p>
    <w:p w14:paraId="334DD929" w14:textId="77777777" w:rsidR="00E824F9" w:rsidRPr="003729CC" w:rsidRDefault="00E824F9" w:rsidP="00E824F9">
      <w:pPr>
        <w:pStyle w:val="3"/>
        <w:spacing w:line="240" w:lineRule="exact"/>
        <w:ind w:firstLineChars="200" w:firstLine="420"/>
        <w:rPr>
          <w:rFonts w:eastAsia="宋体" w:hint="eastAsia"/>
          <w:sz w:val="21"/>
        </w:rPr>
      </w:pPr>
      <w:r>
        <w:rPr>
          <w:rFonts w:eastAsia="宋体" w:hint="eastAsia"/>
          <w:sz w:val="21"/>
        </w:rPr>
        <w:t>一</w:t>
      </w:r>
      <w:r w:rsidRPr="00A13FFD">
        <w:rPr>
          <w:rFonts w:eastAsia="宋体" w:hint="eastAsia"/>
          <w:sz w:val="21"/>
        </w:rPr>
        <w:t>、认罪认罚从宽的基本原则</w:t>
      </w:r>
    </w:p>
    <w:p w14:paraId="4C90D934" w14:textId="77777777" w:rsidR="00E824F9" w:rsidRPr="007E0D61" w:rsidRDefault="00E824F9" w:rsidP="00E824F9">
      <w:pPr>
        <w:pStyle w:val="4"/>
        <w:spacing w:line="240" w:lineRule="exact"/>
        <w:ind w:firstLineChars="200" w:firstLine="420"/>
        <w:rPr>
          <w:rFonts w:ascii="宋体" w:eastAsia="宋体" w:hAnsi="宋体" w:hint="eastAsia"/>
          <w:color w:val="auto"/>
          <w:sz w:val="21"/>
          <w:szCs w:val="21"/>
        </w:rPr>
      </w:pPr>
      <w:r w:rsidRPr="007E0D61">
        <w:rPr>
          <w:rFonts w:ascii="宋体" w:eastAsia="宋体" w:hAnsi="宋体" w:hint="eastAsia"/>
          <w:color w:val="auto"/>
          <w:sz w:val="21"/>
          <w:szCs w:val="21"/>
        </w:rPr>
        <w:t>（一）贯彻宽严相济刑事政策</w:t>
      </w:r>
      <w:r w:rsidRPr="007E0D61">
        <w:rPr>
          <w:rFonts w:ascii="宋体" w:eastAsia="宋体" w:hAnsi="宋体" w:cs="汉仪中黑简" w:hint="eastAsia"/>
          <w:color w:val="auto"/>
          <w:kern w:val="44"/>
          <w:sz w:val="21"/>
          <w:szCs w:val="21"/>
        </w:rPr>
        <w:t>1．尽量适用2．积极适用3．慎重适用</w:t>
      </w:r>
    </w:p>
    <w:p w14:paraId="6BE97B87" w14:textId="77777777" w:rsidR="00E824F9" w:rsidRPr="007E0D61" w:rsidRDefault="00E824F9" w:rsidP="00E824F9">
      <w:pPr>
        <w:pStyle w:val="4"/>
        <w:spacing w:line="240" w:lineRule="exact"/>
        <w:ind w:firstLineChars="200" w:firstLine="420"/>
        <w:rPr>
          <w:rFonts w:ascii="宋体" w:eastAsia="宋体" w:hAnsi="宋体" w:hint="eastAsia"/>
          <w:color w:val="auto"/>
          <w:sz w:val="21"/>
          <w:szCs w:val="21"/>
        </w:rPr>
      </w:pPr>
      <w:r w:rsidRPr="007E0D61">
        <w:rPr>
          <w:rFonts w:ascii="宋体" w:eastAsia="宋体" w:hAnsi="宋体" w:hint="eastAsia"/>
          <w:color w:val="auto"/>
          <w:sz w:val="21"/>
          <w:szCs w:val="21"/>
        </w:rPr>
        <w:t>（二）</w:t>
      </w:r>
      <w:r w:rsidRPr="007E0D61">
        <w:rPr>
          <w:rFonts w:ascii="宋体" w:eastAsia="宋体" w:hAnsi="宋体"/>
          <w:color w:val="auto"/>
          <w:sz w:val="21"/>
          <w:szCs w:val="21"/>
        </w:rPr>
        <w:t>坚持证据裁判原则</w:t>
      </w:r>
    </w:p>
    <w:p w14:paraId="7734C980" w14:textId="77777777" w:rsidR="00E824F9" w:rsidRPr="007E0D61" w:rsidRDefault="00E824F9" w:rsidP="00E824F9">
      <w:pPr>
        <w:spacing w:line="240" w:lineRule="exact"/>
        <w:ind w:firstLine="420"/>
        <w:rPr>
          <w:rFonts w:eastAsia="宋体" w:hint="eastAsia"/>
          <w:color w:val="auto"/>
        </w:rPr>
      </w:pPr>
      <w:r w:rsidRPr="007E0D61">
        <w:rPr>
          <w:rFonts w:eastAsia="宋体" w:hint="eastAsia"/>
          <w:color w:val="auto"/>
        </w:rPr>
        <w:t>坚持法定证明标准，侦查终结、提起公诉、作出有罪裁判应当做到犯罪事实清楚，证据确实、充分，防止因犯罪嫌疑人、被告人认罪而降低证据要求和证明标准。</w:t>
      </w:r>
    </w:p>
    <w:p w14:paraId="3F231D39" w14:textId="77777777" w:rsidR="00E824F9" w:rsidRPr="00A13FFD" w:rsidRDefault="00E824F9" w:rsidP="00E824F9">
      <w:pPr>
        <w:pStyle w:val="3"/>
        <w:spacing w:line="240" w:lineRule="exact"/>
        <w:ind w:firstLineChars="200" w:firstLine="420"/>
        <w:rPr>
          <w:rFonts w:eastAsia="宋体" w:hint="eastAsia"/>
          <w:sz w:val="21"/>
        </w:rPr>
      </w:pPr>
      <w:r>
        <w:rPr>
          <w:rFonts w:eastAsia="宋体" w:hint="eastAsia"/>
          <w:sz w:val="21"/>
        </w:rPr>
        <w:t>二</w:t>
      </w:r>
      <w:r w:rsidRPr="00A13FFD">
        <w:rPr>
          <w:rFonts w:eastAsia="宋体" w:hint="eastAsia"/>
          <w:sz w:val="21"/>
        </w:rPr>
        <w:t>、适用范围</w:t>
      </w:r>
    </w:p>
    <w:p w14:paraId="4124F8EF" w14:textId="77777777" w:rsidR="00E824F9" w:rsidRPr="00A13FFD" w:rsidRDefault="00E824F9" w:rsidP="00E824F9">
      <w:pPr>
        <w:spacing w:line="240" w:lineRule="exact"/>
        <w:ind w:firstLine="420"/>
        <w:rPr>
          <w:rFonts w:eastAsia="宋体" w:hint="eastAsia"/>
        </w:rPr>
      </w:pPr>
      <w:r w:rsidRPr="00A13FFD">
        <w:rPr>
          <w:rFonts w:eastAsia="宋体" w:hint="eastAsia"/>
          <w:color w:val="FF0000"/>
        </w:rPr>
        <w:t>适用于侦查、起诉、审判各个阶段</w:t>
      </w:r>
      <w:r>
        <w:rPr>
          <w:rFonts w:eastAsia="宋体" w:hint="eastAsia"/>
          <w:color w:val="FF0000"/>
        </w:rPr>
        <w:t>，</w:t>
      </w:r>
      <w:r w:rsidRPr="00A13FFD">
        <w:rPr>
          <w:rFonts w:eastAsia="宋体" w:hint="eastAsia"/>
          <w:color w:val="FF0000"/>
        </w:rPr>
        <w:t>所有刑事案件都可以适用</w:t>
      </w:r>
      <w:r w:rsidRPr="00A13FFD">
        <w:rPr>
          <w:rFonts w:eastAsia="宋体" w:hint="eastAsia"/>
        </w:rPr>
        <w:t>。</w:t>
      </w:r>
      <w:r w:rsidRPr="00A13FFD">
        <w:rPr>
          <w:rFonts w:eastAsia="宋体" w:hint="eastAsia"/>
          <w:color w:val="FF0000"/>
        </w:rPr>
        <w:t>但“可以”适用不是一律适用，犯罪嫌疑人、被告人认罪认罚后是否从宽，由司法机关根据案件具体情况决定</w:t>
      </w:r>
      <w:r w:rsidRPr="00A13FFD">
        <w:rPr>
          <w:rFonts w:eastAsia="宋体" w:hint="eastAsia"/>
        </w:rPr>
        <w:t>。</w:t>
      </w:r>
    </w:p>
    <w:p w14:paraId="426ED1E0" w14:textId="77777777" w:rsidR="00E824F9" w:rsidRPr="00090247" w:rsidRDefault="00E824F9" w:rsidP="00E824F9">
      <w:pPr>
        <w:pStyle w:val="3"/>
        <w:spacing w:line="240" w:lineRule="exact"/>
        <w:ind w:firstLineChars="200" w:firstLine="420"/>
        <w:rPr>
          <w:rFonts w:eastAsia="宋体" w:hint="eastAsia"/>
          <w:sz w:val="21"/>
        </w:rPr>
      </w:pPr>
      <w:r>
        <w:rPr>
          <w:rFonts w:eastAsia="宋体" w:hint="eastAsia"/>
          <w:sz w:val="21"/>
        </w:rPr>
        <w:t>三</w:t>
      </w:r>
      <w:r w:rsidRPr="00A13FFD">
        <w:rPr>
          <w:rFonts w:eastAsia="宋体" w:hint="eastAsia"/>
          <w:sz w:val="21"/>
        </w:rPr>
        <w:t>、犯罪嫌疑人、被告人辩护权保障</w:t>
      </w:r>
      <w:r>
        <w:rPr>
          <w:rFonts w:eastAsia="宋体" w:hint="eastAsia"/>
          <w:sz w:val="21"/>
        </w:rPr>
        <w:t>——</w:t>
      </w:r>
      <w:r w:rsidRPr="00090247">
        <w:rPr>
          <w:rFonts w:eastAsia="宋体" w:hint="eastAsia"/>
          <w:b/>
          <w:bCs/>
          <w:sz w:val="21"/>
        </w:rPr>
        <w:t>获得法律帮助权</w:t>
      </w:r>
    </w:p>
    <w:p w14:paraId="30764B2E" w14:textId="77777777" w:rsidR="00E824F9" w:rsidRDefault="00E824F9" w:rsidP="00E824F9">
      <w:pPr>
        <w:spacing w:line="240" w:lineRule="exact"/>
        <w:ind w:firstLine="420"/>
        <w:rPr>
          <w:rFonts w:eastAsia="宋体" w:hint="eastAsia"/>
        </w:rPr>
      </w:pPr>
      <w:r w:rsidRPr="00A13FFD">
        <w:rPr>
          <w:rFonts w:eastAsia="宋体" w:hint="eastAsia"/>
        </w:rPr>
        <w:t>犯罪嫌疑人、被告人自愿认罪认罚，没有辩护人的，人民法院、人民检察院、公安机关（看守所）</w:t>
      </w:r>
      <w:r w:rsidRPr="00A13FFD">
        <w:rPr>
          <w:rFonts w:eastAsia="宋体" w:hint="eastAsia"/>
          <w:color w:val="FF0000"/>
        </w:rPr>
        <w:t>应当通知值班律师为其提供法律咨询</w:t>
      </w:r>
      <w:r w:rsidRPr="00A13FFD">
        <w:rPr>
          <w:rFonts w:eastAsia="宋体" w:hint="eastAsia"/>
        </w:rPr>
        <w:t>、程序选择建议、申请变更强制措施等法律帮助。</w:t>
      </w:r>
      <w:r w:rsidRPr="00A13FFD">
        <w:rPr>
          <w:rFonts w:eastAsia="宋体" w:hint="eastAsia"/>
          <w:color w:val="FF0000"/>
        </w:rPr>
        <w:t>符合通知辩护条件的，应当依法通知法律援助机构指派律师为其提供辩护</w:t>
      </w:r>
      <w:r w:rsidRPr="00A13FFD">
        <w:rPr>
          <w:rFonts w:eastAsia="宋体" w:hint="eastAsia"/>
        </w:rPr>
        <w:t>。人民法院、人民检察院、公安机关（看守所）</w:t>
      </w:r>
      <w:r w:rsidRPr="00A13FFD">
        <w:rPr>
          <w:rFonts w:eastAsia="宋体" w:hint="eastAsia"/>
          <w:color w:val="FF0000"/>
        </w:rPr>
        <w:t>应当告知犯罪嫌疑人、被告人有权约见值班律师，获得法律帮助，并为其约见值班律师提供便利</w:t>
      </w:r>
      <w:r w:rsidRPr="00A13FFD">
        <w:rPr>
          <w:rFonts w:eastAsia="宋体" w:hint="eastAsia"/>
        </w:rPr>
        <w:t>。犯罪嫌疑人、被告人及其近亲属提出法律帮助请求的，人民法院、人民检察院、公安机关（看守所）</w:t>
      </w:r>
      <w:r w:rsidRPr="00A13FFD">
        <w:rPr>
          <w:rFonts w:eastAsia="宋体" w:hint="eastAsia"/>
          <w:color w:val="FF0000"/>
        </w:rPr>
        <w:t>应当通知值班律师</w:t>
      </w:r>
      <w:r w:rsidRPr="00A13FFD">
        <w:rPr>
          <w:rFonts w:eastAsia="宋体" w:hint="eastAsia"/>
        </w:rPr>
        <w:t>为其提供法律帮助。</w:t>
      </w:r>
    </w:p>
    <w:p w14:paraId="452EDE28" w14:textId="77777777" w:rsidR="00E824F9" w:rsidRPr="00A13FFD" w:rsidRDefault="00E824F9" w:rsidP="00E824F9">
      <w:pPr>
        <w:spacing w:line="240" w:lineRule="exact"/>
        <w:ind w:firstLine="420"/>
        <w:rPr>
          <w:rFonts w:eastAsia="宋体" w:hint="eastAsia"/>
          <w:b/>
        </w:rPr>
      </w:pPr>
      <w:r>
        <w:rPr>
          <w:rFonts w:eastAsia="宋体" w:hint="eastAsia"/>
        </w:rPr>
        <w:t>四</w:t>
      </w:r>
      <w:r w:rsidRPr="00A13FFD">
        <w:rPr>
          <w:rFonts w:eastAsia="宋体" w:hint="eastAsia"/>
        </w:rPr>
        <w:t>、被害方的权益保障</w:t>
      </w:r>
    </w:p>
    <w:p w14:paraId="320D7215" w14:textId="77777777" w:rsidR="00E824F9" w:rsidRPr="00A13FFD" w:rsidRDefault="00E824F9" w:rsidP="00E824F9">
      <w:pPr>
        <w:pStyle w:val="4"/>
        <w:spacing w:line="240" w:lineRule="exact"/>
        <w:ind w:firstLineChars="120" w:firstLine="252"/>
        <w:rPr>
          <w:rFonts w:ascii="宋体" w:eastAsia="宋体" w:hAnsi="宋体" w:hint="eastAsia"/>
          <w:color w:val="FF0000"/>
          <w:sz w:val="21"/>
          <w:szCs w:val="21"/>
        </w:rPr>
      </w:pPr>
      <w:r w:rsidRPr="00A13FFD">
        <w:rPr>
          <w:rFonts w:ascii="宋体" w:eastAsia="宋体" w:hAnsi="宋体" w:hint="eastAsia"/>
          <w:sz w:val="21"/>
          <w:szCs w:val="21"/>
        </w:rPr>
        <w:t>（一）</w:t>
      </w:r>
      <w:r w:rsidRPr="00A13FFD">
        <w:rPr>
          <w:rFonts w:ascii="宋体" w:eastAsia="宋体" w:hAnsi="宋体"/>
          <w:color w:val="FF0000"/>
          <w:sz w:val="21"/>
          <w:szCs w:val="21"/>
        </w:rPr>
        <w:t>听取意见</w:t>
      </w:r>
    </w:p>
    <w:p w14:paraId="48DE6965" w14:textId="77777777" w:rsidR="00E824F9" w:rsidRPr="00A13FFD" w:rsidRDefault="00E824F9" w:rsidP="00E824F9">
      <w:pPr>
        <w:spacing w:line="240" w:lineRule="exact"/>
        <w:ind w:firstLine="420"/>
        <w:rPr>
          <w:rFonts w:eastAsia="宋体" w:hint="eastAsia"/>
        </w:rPr>
      </w:pPr>
      <w:r w:rsidRPr="00A13FFD">
        <w:rPr>
          <w:rFonts w:eastAsia="宋体" w:hint="eastAsia"/>
          <w:color w:val="FF0000"/>
        </w:rPr>
        <w:t>人民检察院、公安机关听取意见情况应当记录在案并随案移送</w:t>
      </w:r>
      <w:r w:rsidRPr="00A13FFD">
        <w:rPr>
          <w:rFonts w:eastAsia="宋体" w:hint="eastAsia"/>
        </w:rPr>
        <w:t>。</w:t>
      </w:r>
    </w:p>
    <w:p w14:paraId="177E1266" w14:textId="77777777" w:rsidR="00E824F9" w:rsidRPr="00A13FFD" w:rsidRDefault="00E824F9" w:rsidP="00E824F9">
      <w:pPr>
        <w:pStyle w:val="4"/>
        <w:spacing w:line="240" w:lineRule="exact"/>
        <w:ind w:firstLineChars="120" w:firstLine="252"/>
        <w:rPr>
          <w:rFonts w:ascii="宋体" w:eastAsia="宋体" w:hAnsi="宋体" w:hint="eastAsia"/>
          <w:color w:val="FF0000"/>
          <w:sz w:val="21"/>
          <w:szCs w:val="21"/>
        </w:rPr>
      </w:pPr>
      <w:r w:rsidRPr="00A13FFD">
        <w:rPr>
          <w:rFonts w:ascii="宋体" w:eastAsia="宋体" w:hAnsi="宋体" w:hint="eastAsia"/>
          <w:sz w:val="21"/>
          <w:szCs w:val="21"/>
        </w:rPr>
        <w:t>（</w:t>
      </w:r>
      <w:r>
        <w:rPr>
          <w:rFonts w:ascii="宋体" w:eastAsia="宋体" w:hAnsi="宋体" w:hint="eastAsia"/>
          <w:sz w:val="21"/>
          <w:szCs w:val="21"/>
        </w:rPr>
        <w:t>二</w:t>
      </w:r>
      <w:r w:rsidRPr="00A13FFD">
        <w:rPr>
          <w:rFonts w:ascii="宋体" w:eastAsia="宋体" w:hAnsi="宋体" w:hint="eastAsia"/>
          <w:sz w:val="21"/>
          <w:szCs w:val="21"/>
        </w:rPr>
        <w:t>）</w:t>
      </w:r>
      <w:r w:rsidRPr="00A13FFD">
        <w:rPr>
          <w:rFonts w:ascii="宋体" w:eastAsia="宋体" w:hAnsi="宋体"/>
          <w:color w:val="FF0000"/>
          <w:sz w:val="21"/>
          <w:szCs w:val="21"/>
        </w:rPr>
        <w:t>被害方异议的处理</w:t>
      </w:r>
    </w:p>
    <w:p w14:paraId="5A948A33" w14:textId="77777777" w:rsidR="00E824F9" w:rsidRPr="00A13FFD" w:rsidRDefault="00E824F9" w:rsidP="00E824F9">
      <w:pPr>
        <w:spacing w:line="240" w:lineRule="exact"/>
        <w:ind w:firstLine="420"/>
        <w:rPr>
          <w:rFonts w:eastAsia="宋体" w:hint="eastAsia"/>
        </w:rPr>
      </w:pPr>
      <w:r w:rsidRPr="00A13FFD">
        <w:rPr>
          <w:rFonts w:eastAsia="宋体" w:hint="eastAsia"/>
        </w:rPr>
        <w:t>认罪认罚但没有退赃退赔、赔偿损失，未能与被害方达成调解或者和解协议的，</w:t>
      </w:r>
      <w:r w:rsidRPr="00A13FFD">
        <w:rPr>
          <w:rFonts w:eastAsia="宋体" w:hint="eastAsia"/>
          <w:color w:val="FF0000"/>
        </w:rPr>
        <w:t>从宽时应当予以酌减</w:t>
      </w:r>
      <w:r w:rsidRPr="00A13FFD">
        <w:rPr>
          <w:rFonts w:eastAsia="宋体" w:hint="eastAsia"/>
        </w:rPr>
        <w:t>。犯罪嫌疑人、被告人自愿认罪并且愿意积极赔偿损失，但</w:t>
      </w:r>
      <w:r w:rsidRPr="00A13FFD">
        <w:rPr>
          <w:rFonts w:eastAsia="宋体" w:hint="eastAsia"/>
          <w:color w:val="FF0000"/>
        </w:rPr>
        <w:t>由于被害方赔偿请求明显不合理</w:t>
      </w:r>
      <w:r w:rsidRPr="00A13FFD">
        <w:rPr>
          <w:rFonts w:eastAsia="宋体" w:hint="eastAsia"/>
        </w:rPr>
        <w:t>，未能达成调解或者和解协议的，</w:t>
      </w:r>
      <w:r w:rsidRPr="00A13FFD">
        <w:rPr>
          <w:rFonts w:eastAsia="宋体" w:hint="eastAsia"/>
          <w:color w:val="FF0000"/>
        </w:rPr>
        <w:t>一般不影响对犯罪嫌疑人、被告人从宽处理</w:t>
      </w:r>
      <w:r w:rsidRPr="00A13FFD">
        <w:rPr>
          <w:rFonts w:eastAsia="宋体" w:hint="eastAsia"/>
        </w:rPr>
        <w:t>。</w:t>
      </w:r>
    </w:p>
    <w:p w14:paraId="0F86BABF" w14:textId="77777777" w:rsidR="00E824F9" w:rsidRPr="00A13FFD" w:rsidRDefault="00E824F9" w:rsidP="00E824F9">
      <w:pPr>
        <w:pStyle w:val="3"/>
        <w:spacing w:line="240" w:lineRule="exact"/>
        <w:ind w:firstLineChars="200" w:firstLine="420"/>
        <w:rPr>
          <w:rFonts w:eastAsia="宋体" w:hint="eastAsia"/>
        </w:rPr>
      </w:pPr>
      <w:r>
        <w:rPr>
          <w:rFonts w:eastAsia="宋体" w:hint="eastAsia"/>
          <w:sz w:val="21"/>
        </w:rPr>
        <w:t>五</w:t>
      </w:r>
      <w:r w:rsidRPr="00A13FFD">
        <w:rPr>
          <w:rFonts w:eastAsia="宋体" w:hint="eastAsia"/>
          <w:sz w:val="21"/>
        </w:rPr>
        <w:t>、强制措施的适用</w:t>
      </w:r>
    </w:p>
    <w:p w14:paraId="3EB6DA4C" w14:textId="77777777" w:rsidR="00E824F9" w:rsidRPr="00B9691C" w:rsidRDefault="00E824F9" w:rsidP="00E824F9">
      <w:pPr>
        <w:pStyle w:val="4"/>
        <w:spacing w:line="240" w:lineRule="exact"/>
        <w:ind w:firstLineChars="200" w:firstLine="420"/>
        <w:rPr>
          <w:rFonts w:ascii="宋体" w:eastAsia="宋体" w:hAnsi="宋体" w:hint="eastAsia"/>
          <w:sz w:val="21"/>
          <w:szCs w:val="21"/>
        </w:rPr>
      </w:pPr>
      <w:r w:rsidRPr="00B9691C">
        <w:rPr>
          <w:rFonts w:ascii="宋体" w:eastAsia="宋体" w:hAnsi="宋体"/>
          <w:sz w:val="21"/>
          <w:szCs w:val="21"/>
        </w:rPr>
        <w:t>社会危险性评估</w:t>
      </w:r>
      <w:r w:rsidRPr="00B9691C">
        <w:rPr>
          <w:rFonts w:ascii="宋体" w:eastAsia="宋体" w:hAnsi="宋体" w:hint="eastAsia"/>
          <w:sz w:val="21"/>
          <w:szCs w:val="21"/>
        </w:rPr>
        <w:t>：</w:t>
      </w:r>
      <w:r w:rsidRPr="00B9691C">
        <w:rPr>
          <w:rFonts w:eastAsia="宋体" w:hint="eastAsia"/>
          <w:sz w:val="21"/>
          <w:szCs w:val="21"/>
        </w:rPr>
        <w:t>人民法院、人民检察院、公安机关</w:t>
      </w:r>
      <w:r w:rsidRPr="00B9691C">
        <w:rPr>
          <w:rFonts w:eastAsia="宋体" w:hint="eastAsia"/>
          <w:color w:val="FF0000"/>
          <w:sz w:val="21"/>
          <w:szCs w:val="21"/>
        </w:rPr>
        <w:t>应当将犯罪嫌疑人、被告人认罪认罚作为其是否具有社会危险性的重要考虑因素</w:t>
      </w:r>
      <w:r w:rsidRPr="00B9691C">
        <w:rPr>
          <w:rFonts w:eastAsia="宋体" w:hint="eastAsia"/>
          <w:sz w:val="21"/>
          <w:szCs w:val="21"/>
        </w:rPr>
        <w:t>。</w:t>
      </w:r>
    </w:p>
    <w:p w14:paraId="07E17632" w14:textId="77777777" w:rsidR="00E824F9" w:rsidRPr="00A13FFD" w:rsidRDefault="00E824F9" w:rsidP="00E824F9">
      <w:pPr>
        <w:pStyle w:val="3"/>
        <w:spacing w:line="240" w:lineRule="exact"/>
        <w:ind w:firstLineChars="200" w:firstLine="422"/>
        <w:rPr>
          <w:rFonts w:eastAsia="宋体" w:hint="eastAsia"/>
          <w:sz w:val="21"/>
        </w:rPr>
      </w:pPr>
      <w:r w:rsidRPr="009F0E55">
        <w:rPr>
          <w:rFonts w:eastAsia="宋体" w:hint="eastAsia"/>
          <w:b/>
          <w:bCs/>
          <w:color w:val="FF0000"/>
          <w:sz w:val="21"/>
        </w:rPr>
        <w:t>六、社会调查评估</w:t>
      </w:r>
    </w:p>
    <w:p w14:paraId="6F8014CF"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（一）</w:t>
      </w:r>
      <w:r w:rsidRPr="00A13FFD">
        <w:rPr>
          <w:rFonts w:ascii="宋体" w:eastAsia="宋体" w:hAnsi="宋体"/>
          <w:sz w:val="21"/>
          <w:szCs w:val="21"/>
        </w:rPr>
        <w:t>侦查阶段的社会调查</w:t>
      </w:r>
    </w:p>
    <w:p w14:paraId="1FAB2F54" w14:textId="77777777" w:rsidR="00E824F9" w:rsidRPr="00A13FFD" w:rsidRDefault="00E824F9" w:rsidP="00E824F9">
      <w:pPr>
        <w:spacing w:line="240" w:lineRule="exact"/>
        <w:ind w:firstLine="420"/>
        <w:rPr>
          <w:rFonts w:eastAsia="宋体" w:hint="eastAsia"/>
        </w:rPr>
      </w:pPr>
      <w:r w:rsidRPr="00A13FFD">
        <w:rPr>
          <w:rFonts w:eastAsia="宋体" w:hint="eastAsia"/>
          <w:color w:val="FF0000"/>
        </w:rPr>
        <w:t>嫌疑人认罪认罚可能判处管制、宣告缓刑的</w:t>
      </w:r>
      <w:r w:rsidRPr="00A13FFD">
        <w:rPr>
          <w:rFonts w:eastAsia="宋体" w:hint="eastAsia"/>
        </w:rPr>
        <w:t>，公安可以</w:t>
      </w:r>
      <w:r w:rsidRPr="00A13FFD">
        <w:rPr>
          <w:rFonts w:eastAsia="宋体" w:hint="eastAsia"/>
          <w:color w:val="FF0000"/>
        </w:rPr>
        <w:t>委托嫌疑人居住地的社区矫正机构</w:t>
      </w:r>
      <w:r w:rsidRPr="00A13FFD">
        <w:rPr>
          <w:rFonts w:eastAsia="宋体" w:hint="eastAsia"/>
        </w:rPr>
        <w:t>调查评估。</w:t>
      </w:r>
    </w:p>
    <w:p w14:paraId="0543732D"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（二）</w:t>
      </w:r>
      <w:r w:rsidRPr="00A13FFD">
        <w:rPr>
          <w:rFonts w:ascii="宋体" w:eastAsia="宋体" w:hAnsi="宋体"/>
          <w:sz w:val="21"/>
          <w:szCs w:val="21"/>
        </w:rPr>
        <w:t>审查起诉阶段的社会调查</w:t>
      </w:r>
    </w:p>
    <w:p w14:paraId="07A627AB" w14:textId="77777777" w:rsidR="00E824F9" w:rsidRPr="00A13FFD" w:rsidRDefault="00E824F9" w:rsidP="00E824F9">
      <w:pPr>
        <w:spacing w:line="240" w:lineRule="exact"/>
        <w:ind w:firstLine="420"/>
        <w:rPr>
          <w:rFonts w:eastAsia="宋体" w:hint="eastAsia"/>
        </w:rPr>
      </w:pPr>
      <w:r w:rsidRPr="00A13FFD">
        <w:rPr>
          <w:rFonts w:eastAsia="宋体" w:hint="eastAsia"/>
        </w:rPr>
        <w:t>犯罪嫌疑人认罪认罚，人民检察院拟</w:t>
      </w:r>
      <w:r w:rsidRPr="00A13FFD">
        <w:rPr>
          <w:rFonts w:eastAsia="宋体" w:hint="eastAsia"/>
          <w:color w:val="FF0000"/>
        </w:rPr>
        <w:t>提出缓刑或者管制量刑建议的，可以及时委托犯罪嫌疑人居住地的社区矫正机构进行调查评估</w:t>
      </w:r>
      <w:r w:rsidRPr="00A13FFD">
        <w:rPr>
          <w:rFonts w:eastAsia="宋体" w:hint="eastAsia"/>
        </w:rPr>
        <w:t>，也可以自行调查评估。人民检察院提起公诉时，已收到调查材料的，应当将材料一并移送，未收到调查材料的，应当将委托文书随案移送；</w:t>
      </w:r>
      <w:r w:rsidRPr="00A13FFD">
        <w:rPr>
          <w:rFonts w:eastAsia="宋体" w:hint="eastAsia"/>
        </w:rPr>
        <w:lastRenderedPageBreak/>
        <w:t>在提起公诉后收到调查材料的，应当及时移送人民法院。</w:t>
      </w:r>
    </w:p>
    <w:p w14:paraId="0C4C85F1"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（三）</w:t>
      </w:r>
      <w:r w:rsidRPr="00A13FFD">
        <w:rPr>
          <w:rFonts w:ascii="宋体" w:eastAsia="宋体" w:hAnsi="宋体"/>
          <w:sz w:val="21"/>
          <w:szCs w:val="21"/>
        </w:rPr>
        <w:t>审判阶段的社会调查</w:t>
      </w:r>
    </w:p>
    <w:p w14:paraId="6EBB3894" w14:textId="77777777" w:rsidR="00E824F9" w:rsidRPr="00A13FFD" w:rsidRDefault="00E824F9" w:rsidP="00E824F9">
      <w:pPr>
        <w:spacing w:line="240" w:lineRule="exact"/>
        <w:ind w:firstLine="420"/>
        <w:rPr>
          <w:rFonts w:eastAsia="宋体" w:hint="eastAsia"/>
        </w:rPr>
      </w:pPr>
      <w:r w:rsidRPr="00A13FFD">
        <w:rPr>
          <w:rFonts w:eastAsia="宋体" w:hint="eastAsia"/>
        </w:rPr>
        <w:t>被告人认罪认罚，人民法院</w:t>
      </w:r>
      <w:r w:rsidRPr="00A13FFD">
        <w:rPr>
          <w:rFonts w:eastAsia="宋体" w:hint="eastAsia"/>
          <w:color w:val="FF0000"/>
        </w:rPr>
        <w:t>拟判处管制或者宣告缓刑的</w:t>
      </w:r>
      <w:r w:rsidRPr="00A13FFD">
        <w:rPr>
          <w:rFonts w:eastAsia="宋体" w:hint="eastAsia"/>
        </w:rPr>
        <w:t>，可以及时委托被告人居住地的社区矫正机构进行调查评估，也可以自行调查评估。</w:t>
      </w:r>
    </w:p>
    <w:p w14:paraId="1F76714A" w14:textId="77777777" w:rsidR="00E824F9" w:rsidRDefault="00E824F9" w:rsidP="00E824F9">
      <w:pPr>
        <w:spacing w:line="240" w:lineRule="exact"/>
        <w:ind w:firstLine="420"/>
        <w:rPr>
          <w:rFonts w:eastAsia="宋体" w:hint="eastAsia"/>
        </w:rPr>
      </w:pPr>
      <w:r w:rsidRPr="00125E09">
        <w:rPr>
          <w:rFonts w:eastAsia="宋体" w:hint="eastAsia"/>
          <w:color w:val="auto"/>
        </w:rPr>
        <w:t>社区矫正机构出具的调查评估意见，是人民法院判处管制、宣告缓刑的</w:t>
      </w:r>
      <w:r w:rsidRPr="00A13FFD">
        <w:rPr>
          <w:rFonts w:eastAsia="宋体" w:hint="eastAsia"/>
          <w:color w:val="FF0000"/>
        </w:rPr>
        <w:t>重要参考</w:t>
      </w:r>
      <w:r w:rsidRPr="00A13FFD">
        <w:rPr>
          <w:rFonts w:eastAsia="宋体" w:hint="eastAsia"/>
        </w:rPr>
        <w:t>。</w:t>
      </w:r>
    </w:p>
    <w:p w14:paraId="1DE4F089" w14:textId="77777777" w:rsidR="00E824F9" w:rsidRPr="00125E09" w:rsidRDefault="00E824F9" w:rsidP="00E824F9">
      <w:pPr>
        <w:spacing w:line="240" w:lineRule="exact"/>
        <w:ind w:firstLine="420"/>
        <w:rPr>
          <w:rFonts w:eastAsia="宋体" w:hint="eastAsia"/>
        </w:rPr>
      </w:pPr>
      <w:r>
        <w:rPr>
          <w:rFonts w:eastAsia="宋体" w:hint="eastAsia"/>
        </w:rPr>
        <w:t>七</w:t>
      </w:r>
      <w:r w:rsidRPr="00A13FFD">
        <w:rPr>
          <w:rFonts w:eastAsia="宋体" w:hint="eastAsia"/>
        </w:rPr>
        <w:t>、侦查阶段认罪认罚的程序</w:t>
      </w:r>
    </w:p>
    <w:p w14:paraId="72EC8AA3"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（一）权利告知和听取意见</w:t>
      </w:r>
    </w:p>
    <w:p w14:paraId="778F8B5E"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rPr>
        <w:t>公安机关在侦查过程中，</w:t>
      </w:r>
      <w:r w:rsidRPr="00A13FFD">
        <w:rPr>
          <w:rFonts w:eastAsia="宋体" w:cs="Times New Roman" w:hint="eastAsia"/>
          <w:color w:val="FF0000"/>
        </w:rPr>
        <w:t>应当告知犯罪嫌疑人享有的诉讼权利、如实供述罪行可以从宽处理和认罪认罚的法律规定</w:t>
      </w:r>
      <w:r w:rsidRPr="00A13FFD">
        <w:rPr>
          <w:rFonts w:eastAsia="宋体" w:cs="Times New Roman" w:hint="eastAsia"/>
        </w:rPr>
        <w:t>，听取犯罪嫌疑人及其辩护人或者值班律师的意见，记录在案并随案移送。</w:t>
      </w:r>
    </w:p>
    <w:p w14:paraId="58E2949A"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（二）认罪教育</w:t>
      </w:r>
    </w:p>
    <w:p w14:paraId="076BB0BD"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color w:val="FF0000"/>
        </w:rPr>
        <w:t>应当同步开展认罪教育工作</w:t>
      </w:r>
      <w:r w:rsidRPr="00A13FFD">
        <w:rPr>
          <w:rFonts w:eastAsia="宋体" w:cs="Times New Roman" w:hint="eastAsia"/>
        </w:rPr>
        <w:t>，但</w:t>
      </w:r>
      <w:r w:rsidRPr="00A13FFD">
        <w:rPr>
          <w:rFonts w:eastAsia="宋体" w:cs="Times New Roman" w:hint="eastAsia"/>
          <w:color w:val="FF0000"/>
        </w:rPr>
        <w:t>不得强迫犯罪嫌疑人认罪，不得作出具体的从宽承诺</w:t>
      </w:r>
      <w:r w:rsidRPr="00A13FFD">
        <w:rPr>
          <w:rFonts w:eastAsia="宋体" w:cs="Times New Roman" w:hint="eastAsia"/>
        </w:rPr>
        <w:t>。</w:t>
      </w:r>
    </w:p>
    <w:p w14:paraId="4967FF80"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（三）</w:t>
      </w:r>
      <w:r w:rsidRPr="00A13FFD">
        <w:rPr>
          <w:rFonts w:ascii="宋体" w:eastAsia="宋体" w:hAnsi="宋体"/>
          <w:sz w:val="21"/>
          <w:szCs w:val="21"/>
        </w:rPr>
        <w:t>起诉意见</w:t>
      </w:r>
    </w:p>
    <w:p w14:paraId="35C1BE39"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rPr>
        <w:t>对移送审查起诉的案件，公安机关</w:t>
      </w:r>
      <w:r w:rsidRPr="00A13FFD">
        <w:rPr>
          <w:rFonts w:eastAsia="宋体" w:cs="Times New Roman" w:hint="eastAsia"/>
          <w:color w:val="FF0000"/>
        </w:rPr>
        <w:t>应当在起诉意见书中写明犯罪嫌疑人自愿认罪认罚情况</w:t>
      </w:r>
      <w:r w:rsidRPr="00A13FFD">
        <w:rPr>
          <w:rFonts w:eastAsia="宋体" w:cs="Times New Roman" w:hint="eastAsia"/>
        </w:rPr>
        <w:t>。认为案件符合速裁程序适用条件的，可以在起诉意见书中建议检察院适用速裁程序办理</w:t>
      </w:r>
    </w:p>
    <w:p w14:paraId="64AB59AF" w14:textId="77777777" w:rsidR="00E824F9" w:rsidRPr="00A13FFD" w:rsidRDefault="00E824F9" w:rsidP="00E824F9">
      <w:pPr>
        <w:pStyle w:val="3"/>
        <w:spacing w:line="240" w:lineRule="exact"/>
        <w:ind w:firstLineChars="200" w:firstLine="420"/>
        <w:rPr>
          <w:rFonts w:eastAsia="宋体" w:cs="Times New Roman" w:hint="eastAsia"/>
        </w:rPr>
      </w:pPr>
      <w:r>
        <w:rPr>
          <w:rFonts w:eastAsia="宋体" w:hint="eastAsia"/>
          <w:sz w:val="21"/>
        </w:rPr>
        <w:t>八</w:t>
      </w:r>
      <w:r w:rsidRPr="00A13FFD">
        <w:rPr>
          <w:rFonts w:eastAsia="宋体" w:hint="eastAsia"/>
          <w:sz w:val="21"/>
        </w:rPr>
        <w:t>、审查起诉阶段认罪认罚的程序</w:t>
      </w:r>
    </w:p>
    <w:p w14:paraId="1C9C8BA2"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（一）</w:t>
      </w:r>
      <w:r w:rsidRPr="00A13FFD">
        <w:rPr>
          <w:rFonts w:ascii="宋体" w:eastAsia="宋体" w:hAnsi="宋体"/>
          <w:sz w:val="21"/>
          <w:szCs w:val="21"/>
        </w:rPr>
        <w:t>权利告知</w:t>
      </w:r>
    </w:p>
    <w:p w14:paraId="3CA57F66"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rPr>
        <w:t>案件移送审查起诉后，人民检察院</w:t>
      </w:r>
      <w:r w:rsidRPr="00A13FFD">
        <w:rPr>
          <w:rFonts w:eastAsia="宋体" w:cs="Times New Roman" w:hint="eastAsia"/>
          <w:color w:val="FF0000"/>
        </w:rPr>
        <w:t>应当告知犯罪嫌疑人享有的诉讼权利和认罪认罚的法律规定，保障犯罪嫌疑人的程序选择权</w:t>
      </w:r>
      <w:r w:rsidRPr="00A13FFD">
        <w:rPr>
          <w:rFonts w:eastAsia="宋体" w:cs="Times New Roman" w:hint="eastAsia"/>
        </w:rPr>
        <w:t>。告知应当采取书面形式，必要时应当充分释明。</w:t>
      </w:r>
    </w:p>
    <w:p w14:paraId="341532B7"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（二）</w:t>
      </w:r>
      <w:r w:rsidRPr="00A13FFD">
        <w:rPr>
          <w:rFonts w:ascii="宋体" w:eastAsia="宋体" w:hAnsi="宋体"/>
          <w:sz w:val="21"/>
          <w:szCs w:val="21"/>
        </w:rPr>
        <w:t>听取意见</w:t>
      </w:r>
    </w:p>
    <w:p w14:paraId="2C4754F9" w14:textId="77777777" w:rsidR="00E824F9" w:rsidRPr="00A13FFD" w:rsidRDefault="00E824F9" w:rsidP="00E824F9">
      <w:pPr>
        <w:spacing w:line="240" w:lineRule="exact"/>
        <w:ind w:firstLine="420"/>
        <w:rPr>
          <w:rFonts w:eastAsia="宋体" w:hint="eastAsia"/>
        </w:rPr>
      </w:pPr>
      <w:r w:rsidRPr="00A13FFD">
        <w:rPr>
          <w:rFonts w:eastAsia="宋体"/>
        </w:rPr>
        <w:t>犯罪嫌疑人认罪认罚的，人民检察院应当就下列事项听取犯罪嫌疑人、辩护人或者值班律师的意见，记录在案并附卷：</w:t>
      </w:r>
      <w:r w:rsidRPr="00A13FFD">
        <w:rPr>
          <w:rFonts w:eastAsia="宋体" w:cs="Times New Roman" w:hint="eastAsia"/>
          <w:color w:val="FF0000"/>
        </w:rPr>
        <w:t>1．</w:t>
      </w:r>
      <w:r w:rsidRPr="00A13FFD">
        <w:rPr>
          <w:rFonts w:eastAsia="宋体" w:cs="汉仪中黑简" w:hint="eastAsia"/>
          <w:bCs/>
          <w:color w:val="FF0000"/>
          <w:kern w:val="44"/>
        </w:rPr>
        <w:t>涉嫌的犯罪事实、罪名及适用的法律规定；</w:t>
      </w:r>
      <w:r w:rsidRPr="00A13FFD">
        <w:rPr>
          <w:rFonts w:eastAsia="宋体" w:cs="Times New Roman"/>
          <w:color w:val="FF0000"/>
        </w:rPr>
        <w:t>2</w:t>
      </w:r>
      <w:r w:rsidRPr="00A13FFD">
        <w:rPr>
          <w:rFonts w:eastAsia="宋体" w:cs="Times New Roman" w:hint="eastAsia"/>
          <w:color w:val="FF0000"/>
        </w:rPr>
        <w:t>．</w:t>
      </w:r>
      <w:r w:rsidRPr="00A13FFD">
        <w:rPr>
          <w:rFonts w:eastAsia="宋体" w:cs="汉仪中黑简" w:hint="eastAsia"/>
          <w:bCs/>
          <w:color w:val="FF0000"/>
          <w:kern w:val="44"/>
        </w:rPr>
        <w:t>从轻、减轻或者免除处罚等从宽处罚的建议；</w:t>
      </w:r>
      <w:r w:rsidRPr="00A13FFD">
        <w:rPr>
          <w:rFonts w:eastAsia="宋体" w:cs="Times New Roman"/>
          <w:color w:val="FF0000"/>
        </w:rPr>
        <w:t>3</w:t>
      </w:r>
      <w:r w:rsidRPr="00A13FFD">
        <w:rPr>
          <w:rFonts w:eastAsia="宋体" w:cs="Times New Roman" w:hint="eastAsia"/>
          <w:color w:val="FF0000"/>
        </w:rPr>
        <w:t>．</w:t>
      </w:r>
      <w:r w:rsidRPr="00A13FFD">
        <w:rPr>
          <w:rFonts w:eastAsia="宋体" w:cs="汉仪中黑简" w:hint="eastAsia"/>
          <w:bCs/>
          <w:color w:val="FF0000"/>
          <w:kern w:val="44"/>
        </w:rPr>
        <w:t>认罪认罚后案件审理适用的程序；</w:t>
      </w:r>
      <w:r w:rsidRPr="00A13FFD">
        <w:rPr>
          <w:rFonts w:eastAsia="宋体" w:cs="Times New Roman"/>
          <w:color w:val="FF0000"/>
        </w:rPr>
        <w:t>4</w:t>
      </w:r>
      <w:r w:rsidRPr="00A13FFD">
        <w:rPr>
          <w:rFonts w:eastAsia="宋体" w:cs="Times New Roman" w:hint="eastAsia"/>
          <w:color w:val="FF0000"/>
        </w:rPr>
        <w:t>．</w:t>
      </w:r>
      <w:r w:rsidRPr="00A13FFD">
        <w:rPr>
          <w:rFonts w:eastAsia="宋体" w:cs="汉仪中黑简" w:hint="eastAsia"/>
          <w:bCs/>
          <w:color w:val="FF0000"/>
          <w:kern w:val="44"/>
        </w:rPr>
        <w:t>其他需要听取意</w:t>
      </w:r>
      <w:r w:rsidRPr="00A13FFD">
        <w:rPr>
          <w:rFonts w:eastAsia="宋体" w:cs="汉仪中黑简"/>
          <w:bCs/>
          <w:color w:val="FF0000"/>
          <w:kern w:val="44"/>
        </w:rPr>
        <w:t>见的情形。</w:t>
      </w:r>
      <w:r w:rsidRPr="00A13FFD">
        <w:rPr>
          <w:rFonts w:eastAsia="宋体" w:hint="eastAsia"/>
        </w:rPr>
        <w:t>人民检察院未采纳辩护人、值班律师意见的，应当说明理由。</w:t>
      </w:r>
    </w:p>
    <w:p w14:paraId="47939AAA" w14:textId="77777777" w:rsidR="00E824F9" w:rsidRPr="009F0E55" w:rsidRDefault="00E824F9" w:rsidP="00E824F9">
      <w:pPr>
        <w:pStyle w:val="4"/>
        <w:spacing w:line="240" w:lineRule="exact"/>
        <w:ind w:firstLineChars="200" w:firstLine="422"/>
        <w:rPr>
          <w:rFonts w:ascii="宋体" w:eastAsia="宋体" w:hAnsi="宋体" w:hint="eastAsia"/>
          <w:b/>
          <w:bCs w:val="0"/>
          <w:color w:val="FF0000"/>
          <w:sz w:val="21"/>
          <w:szCs w:val="21"/>
        </w:rPr>
      </w:pPr>
      <w:r w:rsidRPr="009F0E55">
        <w:rPr>
          <w:rFonts w:ascii="宋体" w:eastAsia="宋体" w:hAnsi="宋体" w:hint="eastAsia"/>
          <w:b/>
          <w:bCs w:val="0"/>
          <w:color w:val="FF0000"/>
          <w:sz w:val="21"/>
          <w:szCs w:val="21"/>
        </w:rPr>
        <w:t>（</w:t>
      </w:r>
      <w:r>
        <w:rPr>
          <w:rFonts w:ascii="宋体" w:eastAsia="宋体" w:hAnsi="宋体" w:hint="eastAsia"/>
          <w:b/>
          <w:bCs w:val="0"/>
          <w:color w:val="FF0000"/>
          <w:sz w:val="21"/>
          <w:szCs w:val="21"/>
        </w:rPr>
        <w:t>三</w:t>
      </w:r>
      <w:r w:rsidRPr="009F0E55">
        <w:rPr>
          <w:rFonts w:ascii="宋体" w:eastAsia="宋体" w:hAnsi="宋体" w:hint="eastAsia"/>
          <w:b/>
          <w:bCs w:val="0"/>
          <w:color w:val="FF0000"/>
          <w:sz w:val="21"/>
          <w:szCs w:val="21"/>
        </w:rPr>
        <w:t>）</w:t>
      </w:r>
      <w:r w:rsidRPr="009F0E55">
        <w:rPr>
          <w:rFonts w:ascii="宋体" w:eastAsia="宋体" w:hAnsi="宋体"/>
          <w:b/>
          <w:bCs w:val="0"/>
          <w:color w:val="FF0000"/>
          <w:sz w:val="21"/>
          <w:szCs w:val="21"/>
        </w:rPr>
        <w:t>签署具结书</w:t>
      </w:r>
    </w:p>
    <w:p w14:paraId="04A14D2B"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rPr>
        <w:t>犯罪嫌疑人自愿认罪，同意量刑建议和程序适用的，</w:t>
      </w:r>
      <w:r w:rsidRPr="00A13FFD">
        <w:rPr>
          <w:rFonts w:eastAsia="宋体" w:cs="Times New Roman" w:hint="eastAsia"/>
          <w:color w:val="FF0000"/>
        </w:rPr>
        <w:t>应当在辩护人或者值班律师在场的情况下签署认罪认罚具结书</w:t>
      </w:r>
      <w:r w:rsidRPr="00A13FFD">
        <w:rPr>
          <w:rFonts w:eastAsia="宋体" w:cs="Times New Roman" w:hint="eastAsia"/>
        </w:rPr>
        <w:t>。犯罪嫌疑人认罪认罚，有下列情形之一的，</w:t>
      </w:r>
      <w:r w:rsidRPr="00E1601E">
        <w:rPr>
          <w:rFonts w:eastAsia="宋体" w:cs="Times New Roman" w:hint="eastAsia"/>
          <w:color w:val="FF0000"/>
        </w:rPr>
        <w:t>不需要签署认罪认罚具结书</w:t>
      </w:r>
      <w:r w:rsidRPr="00A13FFD">
        <w:rPr>
          <w:rFonts w:eastAsia="宋体" w:cs="Times New Roman" w:hint="eastAsia"/>
        </w:rPr>
        <w:t>：1．犯罪嫌疑人是盲、聋、哑人，或者是尚未完全丧失辨认或者控制自己行为能力的精神病人的；2．未成年犯罪嫌疑人的法定代理人、辩护人对未成年人认罪认罚有异议的</w:t>
      </w:r>
      <w:r>
        <w:rPr>
          <w:rFonts w:eastAsia="宋体" w:cs="Times New Roman" w:hint="eastAsia"/>
        </w:rPr>
        <w:t>。</w:t>
      </w:r>
      <w:r w:rsidRPr="00A13FFD">
        <w:rPr>
          <w:rFonts w:eastAsia="宋体" w:cs="Times New Roman" w:hint="eastAsia"/>
          <w:color w:val="FF0000"/>
        </w:rPr>
        <w:t>上述情形犯罪嫌疑人未签署认罪认罚具结书的，不影响认罪认罚从宽制度的适用</w:t>
      </w:r>
      <w:r w:rsidRPr="00A13FFD">
        <w:rPr>
          <w:rFonts w:eastAsia="宋体" w:cs="Times New Roman" w:hint="eastAsia"/>
        </w:rPr>
        <w:t>。</w:t>
      </w:r>
    </w:p>
    <w:p w14:paraId="3B1A2331"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w:t>
      </w:r>
      <w:r>
        <w:rPr>
          <w:rFonts w:ascii="宋体" w:eastAsia="宋体" w:hAnsi="宋体" w:hint="eastAsia"/>
          <w:sz w:val="21"/>
          <w:szCs w:val="21"/>
        </w:rPr>
        <w:t>四</w:t>
      </w:r>
      <w:r w:rsidRPr="00A13FFD">
        <w:rPr>
          <w:rFonts w:ascii="宋体" w:eastAsia="宋体" w:hAnsi="宋体" w:hint="eastAsia"/>
          <w:sz w:val="21"/>
          <w:szCs w:val="21"/>
        </w:rPr>
        <w:t>）</w:t>
      </w:r>
      <w:r w:rsidRPr="00A13FFD">
        <w:rPr>
          <w:rFonts w:ascii="宋体" w:eastAsia="宋体" w:hAnsi="宋体"/>
          <w:sz w:val="21"/>
          <w:szCs w:val="21"/>
        </w:rPr>
        <w:t>提起公诉</w:t>
      </w:r>
    </w:p>
    <w:p w14:paraId="74C4EDF5"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rPr>
        <w:t>人民检察院向人民法院提起公诉的，</w:t>
      </w:r>
      <w:r w:rsidRPr="00A13FFD">
        <w:rPr>
          <w:rFonts w:eastAsia="宋体" w:cs="Times New Roman" w:hint="eastAsia"/>
          <w:color w:val="FF0000"/>
        </w:rPr>
        <w:t>应当在起诉书中写明被告人认罪认罚情况，提出量刑建议，并移送认罪认罚具结书等材料</w:t>
      </w:r>
      <w:r w:rsidRPr="00A13FFD">
        <w:rPr>
          <w:rFonts w:eastAsia="宋体" w:cs="Times New Roman" w:hint="eastAsia"/>
        </w:rPr>
        <w:t>。量刑建议书可以另行制作，也可以在起诉书中写明。</w:t>
      </w:r>
    </w:p>
    <w:p w14:paraId="41E9C411"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w:t>
      </w:r>
      <w:r>
        <w:rPr>
          <w:rFonts w:ascii="宋体" w:eastAsia="宋体" w:hAnsi="宋体" w:hint="eastAsia"/>
          <w:sz w:val="21"/>
          <w:szCs w:val="21"/>
        </w:rPr>
        <w:t>五</w:t>
      </w:r>
      <w:r w:rsidRPr="00A13FFD">
        <w:rPr>
          <w:rFonts w:ascii="宋体" w:eastAsia="宋体" w:hAnsi="宋体" w:hint="eastAsia"/>
          <w:sz w:val="21"/>
          <w:szCs w:val="21"/>
        </w:rPr>
        <w:t>）</w:t>
      </w:r>
      <w:r w:rsidRPr="00A13FFD">
        <w:rPr>
          <w:rFonts w:ascii="宋体" w:eastAsia="宋体" w:hAnsi="宋体"/>
          <w:sz w:val="21"/>
          <w:szCs w:val="21"/>
        </w:rPr>
        <w:t>量刑建议的提出</w:t>
      </w:r>
    </w:p>
    <w:p w14:paraId="4013A7F4" w14:textId="77777777" w:rsidR="00E824F9" w:rsidRPr="002028E6" w:rsidRDefault="00E824F9" w:rsidP="00E824F9">
      <w:pPr>
        <w:spacing w:line="240" w:lineRule="exact"/>
        <w:ind w:firstLine="408"/>
        <w:rPr>
          <w:rFonts w:eastAsia="宋体" w:cs="Times New Roman" w:hint="eastAsia"/>
          <w:spacing w:val="-3"/>
        </w:rPr>
      </w:pPr>
      <w:r w:rsidRPr="00A13FFD">
        <w:rPr>
          <w:rFonts w:eastAsia="宋体" w:cs="Times New Roman" w:hint="eastAsia"/>
          <w:spacing w:val="-3"/>
        </w:rPr>
        <w:t>犯罪嫌疑人认罪认罚的，人民检察院</w:t>
      </w:r>
      <w:r w:rsidRPr="00A13FFD">
        <w:rPr>
          <w:rFonts w:eastAsia="宋体" w:cs="Times New Roman" w:hint="eastAsia"/>
          <w:color w:val="FF0000"/>
          <w:spacing w:val="-3"/>
        </w:rPr>
        <w:t>应当就主刑、附加刑、是否适用缓刑等提出量刑建议</w:t>
      </w:r>
      <w:r w:rsidRPr="00A13FFD">
        <w:rPr>
          <w:rFonts w:eastAsia="宋体" w:cs="Times New Roman" w:hint="eastAsia"/>
          <w:spacing w:val="-3"/>
        </w:rPr>
        <w:t>。人民检察院提出量刑建议前，应当充分听取犯罪嫌疑人、辩护人或者值班律师的意见，尽量协商一致。</w:t>
      </w:r>
      <w:r w:rsidRPr="00A13FFD">
        <w:rPr>
          <w:rFonts w:eastAsia="宋体" w:cs="Times New Roman" w:hint="eastAsia"/>
          <w:color w:val="FF0000"/>
        </w:rPr>
        <w:t>人民检察院一般应当提出确定刑量刑建议</w:t>
      </w:r>
      <w:r w:rsidRPr="00A13FFD">
        <w:rPr>
          <w:rFonts w:eastAsia="宋体" w:cs="Times New Roman" w:hint="eastAsia"/>
        </w:rPr>
        <w:t>。对新类型、不常见犯罪案件，量刑情节复杂的重罪案件等，也可以提出幅度刑量刑建议。提出量刑建议，应当说明理由和依据。</w:t>
      </w:r>
    </w:p>
    <w:p w14:paraId="4D1F0512"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w:t>
      </w:r>
      <w:r>
        <w:rPr>
          <w:rFonts w:ascii="宋体" w:eastAsia="宋体" w:hAnsi="宋体" w:hint="eastAsia"/>
          <w:sz w:val="21"/>
          <w:szCs w:val="21"/>
        </w:rPr>
        <w:t>六</w:t>
      </w:r>
      <w:r w:rsidRPr="00A13FFD">
        <w:rPr>
          <w:rFonts w:ascii="宋体" w:eastAsia="宋体" w:hAnsi="宋体" w:hint="eastAsia"/>
          <w:sz w:val="21"/>
          <w:szCs w:val="21"/>
        </w:rPr>
        <w:t>）</w:t>
      </w:r>
      <w:r w:rsidRPr="00A13FFD">
        <w:rPr>
          <w:rFonts w:ascii="宋体" w:eastAsia="宋体" w:hAnsi="宋体"/>
          <w:sz w:val="21"/>
          <w:szCs w:val="21"/>
        </w:rPr>
        <w:t>办案期限</w:t>
      </w:r>
    </w:p>
    <w:p w14:paraId="3A125DAE" w14:textId="77777777" w:rsidR="00E824F9" w:rsidRPr="00A13FFD" w:rsidRDefault="00E824F9" w:rsidP="00E824F9">
      <w:pPr>
        <w:spacing w:line="240" w:lineRule="exact"/>
        <w:ind w:firstLine="420"/>
        <w:rPr>
          <w:rFonts w:eastAsia="宋体" w:cs="Times New Roman" w:hint="eastAsia"/>
          <w:color w:val="FF0000"/>
        </w:rPr>
      </w:pPr>
      <w:r w:rsidRPr="00A13FFD">
        <w:rPr>
          <w:rFonts w:eastAsia="宋体" w:cs="Times New Roman" w:hint="eastAsia"/>
        </w:rPr>
        <w:t>人民检察院对于监察机关、公安机关移送起诉的案件，应当在一个月以内作出决定，重大、复杂的案件，可以延长十五日；</w:t>
      </w:r>
      <w:r w:rsidRPr="00A13FFD">
        <w:rPr>
          <w:rFonts w:eastAsia="宋体" w:cs="Times New Roman" w:hint="eastAsia"/>
          <w:color w:val="FF0000"/>
        </w:rPr>
        <w:t>犯罪嫌疑人认罪认罚，符合速裁程序适用条件的，应当在十日以内作出决定，对可能判处的有期徒刑超过一年的，可以延长至十五日。</w:t>
      </w:r>
    </w:p>
    <w:p w14:paraId="6DA0A364" w14:textId="77777777" w:rsidR="00E824F9" w:rsidRPr="00A13FFD" w:rsidRDefault="00E824F9" w:rsidP="00E824F9">
      <w:pPr>
        <w:pStyle w:val="3"/>
        <w:spacing w:line="240" w:lineRule="exact"/>
        <w:ind w:firstLineChars="200" w:firstLine="420"/>
        <w:rPr>
          <w:rFonts w:eastAsia="宋体" w:hint="eastAsia"/>
          <w:sz w:val="21"/>
        </w:rPr>
      </w:pPr>
      <w:r>
        <w:rPr>
          <w:rFonts w:eastAsia="宋体" w:hint="eastAsia"/>
          <w:sz w:val="21"/>
        </w:rPr>
        <w:t>九</w:t>
      </w:r>
      <w:r w:rsidRPr="00A13FFD">
        <w:rPr>
          <w:rFonts w:eastAsia="宋体" w:hint="eastAsia"/>
          <w:sz w:val="21"/>
        </w:rPr>
        <w:t>、审判阶段认罪认罚的程序</w:t>
      </w:r>
    </w:p>
    <w:p w14:paraId="46A92299" w14:textId="77777777" w:rsidR="00E824F9" w:rsidRPr="00A13FFD" w:rsidRDefault="00E824F9" w:rsidP="00E824F9">
      <w:pPr>
        <w:pStyle w:val="4"/>
        <w:spacing w:line="240" w:lineRule="exact"/>
        <w:ind w:firstLineChars="200" w:firstLine="420"/>
        <w:rPr>
          <w:rFonts w:ascii="宋体" w:eastAsia="宋体" w:hAnsi="宋体" w:hint="eastAsia"/>
          <w:color w:val="FF0000"/>
          <w:sz w:val="21"/>
          <w:szCs w:val="21"/>
        </w:rPr>
      </w:pPr>
      <w:r w:rsidRPr="00A13FFD">
        <w:rPr>
          <w:rFonts w:ascii="宋体" w:eastAsia="宋体" w:hAnsi="宋体" w:hint="eastAsia"/>
          <w:sz w:val="21"/>
          <w:szCs w:val="21"/>
        </w:rPr>
        <w:t>（一）</w:t>
      </w:r>
      <w:r w:rsidRPr="00A13FFD">
        <w:rPr>
          <w:rFonts w:ascii="宋体" w:eastAsia="宋体" w:hAnsi="宋体"/>
          <w:color w:val="FF0000"/>
          <w:sz w:val="21"/>
          <w:szCs w:val="21"/>
        </w:rPr>
        <w:t>自愿性、合法性审查</w:t>
      </w:r>
    </w:p>
    <w:p w14:paraId="61A11761" w14:textId="77777777" w:rsidR="00E824F9" w:rsidRPr="004864C1" w:rsidRDefault="00E824F9" w:rsidP="00E824F9">
      <w:pPr>
        <w:spacing w:line="240" w:lineRule="exact"/>
        <w:ind w:firstLine="408"/>
        <w:rPr>
          <w:rFonts w:eastAsia="宋体" w:cs="Times New Roman" w:hint="eastAsia"/>
          <w:strike/>
          <w:color w:val="FF0000"/>
          <w:spacing w:val="-3"/>
        </w:rPr>
      </w:pPr>
      <w:r w:rsidRPr="00A13FFD">
        <w:rPr>
          <w:rFonts w:eastAsia="宋体" w:cs="Times New Roman" w:hint="eastAsia"/>
          <w:spacing w:val="-3"/>
        </w:rPr>
        <w:t>人民法院应当告知被告人享有的诉讼权利和认罪认罚的法律规定，听取被告人及其辩护人或</w:t>
      </w:r>
      <w:r w:rsidRPr="007E0D61">
        <w:rPr>
          <w:rFonts w:eastAsia="宋体" w:cs="Times New Roman" w:hint="eastAsia"/>
          <w:color w:val="auto"/>
          <w:spacing w:val="-3"/>
        </w:rPr>
        <w:t>者值班律师的意见。庭审中应当对认罪认罚的自愿性、具结书内容的真实性和合法性进行审查核实。</w:t>
      </w:r>
      <w:r w:rsidRPr="007E0D61">
        <w:rPr>
          <w:rFonts w:eastAsia="宋体" w:cs="Times New Roman" w:hint="eastAsia"/>
          <w:color w:val="auto"/>
        </w:rPr>
        <w:t>被告人违背意愿认罪认罚，或者认罪认罚后又反悔，依法需要转换程序的，应当按照普通程序对案件重新审理。发现存在刑讯逼供等非法</w:t>
      </w:r>
      <w:r w:rsidRPr="00A13FFD">
        <w:rPr>
          <w:rFonts w:eastAsia="宋体" w:cs="Times New Roman" w:hint="eastAsia"/>
        </w:rPr>
        <w:t>取证行为的，依照法律规定处理。</w:t>
      </w:r>
    </w:p>
    <w:p w14:paraId="7C0ACF3C" w14:textId="77777777" w:rsidR="00E824F9" w:rsidRPr="004864C1" w:rsidRDefault="00E824F9" w:rsidP="00E824F9">
      <w:pPr>
        <w:pStyle w:val="4"/>
        <w:spacing w:line="240" w:lineRule="exact"/>
        <w:ind w:firstLineChars="200" w:firstLine="422"/>
        <w:rPr>
          <w:rFonts w:ascii="宋体" w:eastAsia="宋体" w:hAnsi="宋体" w:hint="eastAsia"/>
          <w:b/>
          <w:bCs w:val="0"/>
          <w:color w:val="FF0000"/>
          <w:sz w:val="21"/>
          <w:szCs w:val="21"/>
        </w:rPr>
      </w:pPr>
      <w:r w:rsidRPr="004864C1">
        <w:rPr>
          <w:rFonts w:ascii="宋体" w:eastAsia="宋体" w:hAnsi="宋体" w:hint="eastAsia"/>
          <w:b/>
          <w:bCs w:val="0"/>
          <w:sz w:val="21"/>
          <w:szCs w:val="21"/>
        </w:rPr>
        <w:t>（二）</w:t>
      </w:r>
      <w:r w:rsidRPr="004864C1">
        <w:rPr>
          <w:rFonts w:ascii="宋体" w:eastAsia="宋体" w:hAnsi="宋体"/>
          <w:b/>
          <w:bCs w:val="0"/>
          <w:color w:val="FF0000"/>
          <w:sz w:val="21"/>
          <w:szCs w:val="21"/>
        </w:rPr>
        <w:t>量刑建议的采纳</w:t>
      </w:r>
    </w:p>
    <w:p w14:paraId="45BD1952" w14:textId="77777777" w:rsidR="00E824F9" w:rsidRPr="007E0D61" w:rsidRDefault="00E824F9" w:rsidP="00E824F9">
      <w:pPr>
        <w:spacing w:line="240" w:lineRule="exact"/>
        <w:ind w:firstLine="420"/>
        <w:rPr>
          <w:rFonts w:eastAsia="宋体" w:cs="Times New Roman" w:hint="eastAsia"/>
          <w:color w:val="auto"/>
        </w:rPr>
      </w:pPr>
      <w:r w:rsidRPr="007E0D61">
        <w:rPr>
          <w:rFonts w:eastAsia="宋体" w:cs="Times New Roman" w:hint="eastAsia"/>
          <w:color w:val="auto"/>
        </w:rPr>
        <w:t>对于人民检察院提出的量刑建议，人民法院应当依法进行审查。对于事实清楚，证据确实、充分，指控的罪名准确，量刑建议适当的，人民法院应当采纳。具有下列情形之一的，不予采纳：1．被告人的行为不构成犯罪或者不应当追究刑事责任的；2．被告人违背意愿认罪认罚的；3．被告人否认指控的犯罪事实的；4．起诉指控的罪名与审理认定的罪名不一致的；5．其他可能影响公正审判的情形。</w:t>
      </w:r>
    </w:p>
    <w:p w14:paraId="0281479E"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（三）</w:t>
      </w:r>
      <w:r w:rsidRPr="00A13FFD">
        <w:rPr>
          <w:rFonts w:ascii="宋体" w:eastAsia="宋体" w:hAnsi="宋体"/>
          <w:sz w:val="21"/>
          <w:szCs w:val="21"/>
        </w:rPr>
        <w:t>量刑建议的调整</w:t>
      </w:r>
    </w:p>
    <w:p w14:paraId="34A5304C" w14:textId="77777777" w:rsidR="00E824F9" w:rsidRPr="007E0D61" w:rsidRDefault="00E824F9" w:rsidP="00E824F9">
      <w:pPr>
        <w:spacing w:line="240" w:lineRule="exact"/>
        <w:ind w:firstLine="420"/>
        <w:rPr>
          <w:rFonts w:eastAsia="宋体" w:cs="Times New Roman" w:hint="eastAsia"/>
          <w:color w:val="auto"/>
        </w:rPr>
      </w:pPr>
      <w:r w:rsidRPr="00A13FFD">
        <w:rPr>
          <w:rFonts w:eastAsia="宋体" w:cs="Times New Roman" w:hint="eastAsia"/>
          <w:color w:val="FF0000"/>
        </w:rPr>
        <w:t>人民检察院不调整量刑建议或者调整后仍然明显不当的，人民法院应当依法作出判决（即最终的定罪量刑权）。</w:t>
      </w:r>
      <w:r w:rsidRPr="007E0D61">
        <w:rPr>
          <w:rFonts w:eastAsia="宋体" w:cs="Times New Roman" w:hint="eastAsia"/>
          <w:color w:val="auto"/>
        </w:rPr>
        <w:t>适用速裁程序审理的，人民检察院调整量刑建议应当在庭前或者当庭提出。调整量刑建议后，被告人同意继续适用速裁程序的，不需要转换程序处理。</w:t>
      </w:r>
    </w:p>
    <w:p w14:paraId="403A9A6B"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lastRenderedPageBreak/>
        <w:t>（四）</w:t>
      </w:r>
      <w:r w:rsidRPr="00A13FFD">
        <w:rPr>
          <w:rFonts w:ascii="宋体" w:eastAsia="宋体" w:hAnsi="宋体"/>
          <w:color w:val="FF0000"/>
          <w:sz w:val="21"/>
          <w:szCs w:val="21"/>
        </w:rPr>
        <w:t>被告人当庭认罪认罚案件的处理</w:t>
      </w:r>
    </w:p>
    <w:p w14:paraId="2342DE4E"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rPr>
        <w:t>被告人在侦查、审查起诉阶段没有认罪认罚，但当庭认罪，愿意接受处罚的，</w:t>
      </w:r>
      <w:r w:rsidRPr="00A13FFD">
        <w:rPr>
          <w:rFonts w:eastAsia="宋体" w:cs="Times New Roman" w:hint="eastAsia"/>
          <w:color w:val="FF0000"/>
        </w:rPr>
        <w:t>人民法院可以不再通知人民检察院提出或者调整量刑建议</w:t>
      </w:r>
      <w:r w:rsidRPr="00A13FFD">
        <w:rPr>
          <w:rFonts w:eastAsia="宋体" w:cs="Times New Roman" w:hint="eastAsia"/>
        </w:rPr>
        <w:t>，</w:t>
      </w:r>
      <w:r w:rsidRPr="00A13FFD">
        <w:rPr>
          <w:rFonts w:eastAsia="宋体" w:cs="Times New Roman" w:hint="eastAsia"/>
          <w:color w:val="FF0000"/>
        </w:rPr>
        <w:t>应当根据审理查明的事实，应当就定罪和量刑听取控辩双方意见，依法作出裁判</w:t>
      </w:r>
      <w:r w:rsidRPr="00A13FFD">
        <w:rPr>
          <w:rFonts w:eastAsia="宋体" w:cs="Times New Roman" w:hint="eastAsia"/>
        </w:rPr>
        <w:t>。</w:t>
      </w:r>
    </w:p>
    <w:p w14:paraId="57570B3C" w14:textId="77777777" w:rsidR="00E824F9" w:rsidRPr="00E00605" w:rsidRDefault="00E824F9" w:rsidP="00E824F9">
      <w:pPr>
        <w:pStyle w:val="4"/>
        <w:spacing w:line="240" w:lineRule="exact"/>
        <w:ind w:firstLineChars="200" w:firstLine="422"/>
        <w:rPr>
          <w:rFonts w:ascii="宋体" w:eastAsia="宋体" w:hAnsi="宋体" w:hint="eastAsia"/>
          <w:b/>
          <w:bCs w:val="0"/>
          <w:sz w:val="21"/>
          <w:szCs w:val="21"/>
        </w:rPr>
      </w:pPr>
      <w:r w:rsidRPr="00E00605">
        <w:rPr>
          <w:rFonts w:ascii="宋体" w:eastAsia="宋体" w:hAnsi="宋体" w:hint="eastAsia"/>
          <w:b/>
          <w:bCs w:val="0"/>
          <w:sz w:val="21"/>
          <w:szCs w:val="21"/>
        </w:rPr>
        <w:t>（五）</w:t>
      </w:r>
      <w:r w:rsidRPr="00E00605">
        <w:rPr>
          <w:rFonts w:ascii="宋体" w:eastAsia="宋体" w:hAnsi="宋体"/>
          <w:b/>
          <w:bCs w:val="0"/>
          <w:color w:val="FF0000"/>
          <w:sz w:val="21"/>
          <w:szCs w:val="21"/>
        </w:rPr>
        <w:t>第二审程序中被告人认罪认罚案件的处理</w:t>
      </w:r>
      <w:r>
        <w:rPr>
          <w:rFonts w:ascii="宋体" w:eastAsia="宋体" w:hAnsi="宋体" w:hint="eastAsia"/>
          <w:b/>
          <w:bCs w:val="0"/>
          <w:color w:val="FF0000"/>
          <w:sz w:val="21"/>
          <w:szCs w:val="21"/>
        </w:rPr>
        <w:t>（与速裁程序的二审关联）</w:t>
      </w:r>
    </w:p>
    <w:p w14:paraId="4156DFC7" w14:textId="77777777" w:rsidR="00E824F9" w:rsidRDefault="00E824F9" w:rsidP="00E824F9">
      <w:pPr>
        <w:spacing w:line="240" w:lineRule="exact"/>
        <w:ind w:firstLine="420"/>
        <w:rPr>
          <w:rFonts w:eastAsia="宋体" w:cs="Times New Roman" w:hint="eastAsia"/>
        </w:rPr>
      </w:pPr>
      <w:r w:rsidRPr="00A13FFD">
        <w:rPr>
          <w:rFonts w:eastAsia="宋体" w:cs="Times New Roman" w:hint="eastAsia"/>
        </w:rPr>
        <w:t>被告人在第一审程序中未认罪认罚，</w:t>
      </w:r>
      <w:r w:rsidRPr="00A13FFD">
        <w:rPr>
          <w:rFonts w:eastAsia="宋体" w:cs="Times New Roman" w:hint="eastAsia"/>
          <w:color w:val="FF0000"/>
        </w:rPr>
        <w:t>在第二审程序中认罪认罚的，审理程序依照刑事诉讼法规定的第二审程序进行</w:t>
      </w:r>
      <w:r w:rsidRPr="00A13FFD">
        <w:rPr>
          <w:rFonts w:eastAsia="宋体" w:cs="Times New Roman" w:hint="eastAsia"/>
        </w:rPr>
        <w:t>。第二审人民法院应当根据其认罪认罚的价值、作用决定是否从宽，并依法作出裁判。</w:t>
      </w:r>
      <w:r w:rsidRPr="00A13FFD">
        <w:rPr>
          <w:rFonts w:eastAsia="宋体" w:cs="Times New Roman" w:hint="eastAsia"/>
          <w:color w:val="FF0000"/>
        </w:rPr>
        <w:t>确定从宽幅度时应当与第一审程序认罪认罚有所区别</w:t>
      </w:r>
      <w:r w:rsidRPr="00A13FFD">
        <w:rPr>
          <w:rFonts w:eastAsia="宋体" w:cs="Times New Roman" w:hint="eastAsia"/>
        </w:rPr>
        <w:t>。</w:t>
      </w:r>
    </w:p>
    <w:p w14:paraId="3CD3AD1C" w14:textId="77777777" w:rsidR="00E824F9" w:rsidRPr="003729CC" w:rsidRDefault="00E824F9" w:rsidP="00E824F9">
      <w:pPr>
        <w:spacing w:line="240" w:lineRule="exact"/>
        <w:ind w:firstLine="420"/>
        <w:rPr>
          <w:rFonts w:eastAsia="宋体" w:cs="Times New Roman" w:hint="eastAsia"/>
        </w:rPr>
      </w:pPr>
      <w:r>
        <w:rPr>
          <w:rFonts w:eastAsia="宋体" w:hint="eastAsia"/>
        </w:rPr>
        <w:t>十</w:t>
      </w:r>
      <w:r w:rsidRPr="00A13FFD">
        <w:rPr>
          <w:rFonts w:eastAsia="宋体" w:hint="eastAsia"/>
        </w:rPr>
        <w:t>、认罪认罚的反悔和撤回</w:t>
      </w:r>
    </w:p>
    <w:p w14:paraId="1FA4E084" w14:textId="77777777" w:rsidR="00E824F9" w:rsidRPr="00A13FFD" w:rsidRDefault="00E824F9" w:rsidP="00E824F9">
      <w:pPr>
        <w:pStyle w:val="4"/>
        <w:spacing w:line="240" w:lineRule="exact"/>
        <w:ind w:firstLineChars="200" w:firstLine="420"/>
        <w:rPr>
          <w:rFonts w:ascii="宋体" w:eastAsia="宋体" w:hAnsi="宋体" w:hint="eastAsia"/>
          <w:sz w:val="21"/>
          <w:szCs w:val="21"/>
        </w:rPr>
      </w:pPr>
      <w:r w:rsidRPr="00A13FFD">
        <w:rPr>
          <w:rFonts w:ascii="宋体" w:eastAsia="宋体" w:hAnsi="宋体" w:hint="eastAsia"/>
          <w:sz w:val="21"/>
          <w:szCs w:val="21"/>
        </w:rPr>
        <w:t>（一）</w:t>
      </w:r>
      <w:r w:rsidRPr="00A13FFD">
        <w:rPr>
          <w:rFonts w:ascii="宋体" w:eastAsia="宋体" w:hAnsi="宋体"/>
          <w:color w:val="FF0000"/>
          <w:sz w:val="21"/>
          <w:szCs w:val="21"/>
        </w:rPr>
        <w:t>不起诉后反悔的处理</w:t>
      </w:r>
    </w:p>
    <w:p w14:paraId="1345FD86" w14:textId="77777777" w:rsidR="00E824F9" w:rsidRPr="006A6609" w:rsidRDefault="00E824F9" w:rsidP="00E824F9">
      <w:pPr>
        <w:spacing w:line="240" w:lineRule="exact"/>
        <w:ind w:firstLine="420"/>
        <w:rPr>
          <w:rFonts w:eastAsia="宋体" w:cs="Times New Roman" w:hint="eastAsia"/>
        </w:rPr>
      </w:pPr>
      <w:r w:rsidRPr="00A13FFD">
        <w:rPr>
          <w:rFonts w:eastAsia="宋体" w:cs="Times New Roman" w:hint="eastAsia"/>
        </w:rPr>
        <w:t>因犯罪嫌疑人认罪认罚，人民检察院依照刑事诉讼法第一百七十七条第二款作出不起诉决定后，</w:t>
      </w:r>
      <w:r w:rsidRPr="00A13FFD">
        <w:rPr>
          <w:rFonts w:eastAsia="宋体" w:cs="Times New Roman" w:hint="eastAsia"/>
          <w:color w:val="FF0000"/>
        </w:rPr>
        <w:t>犯罪嫌疑人否认指控的犯罪事实或者不积极履行赔礼道歉、退赃退赔、赔偿损失等义务的，人民检察院应当进行审查，区分下列情形依法作出处理</w:t>
      </w:r>
      <w:r w:rsidRPr="00A13FFD">
        <w:rPr>
          <w:rFonts w:eastAsia="宋体" w:cs="Times New Roman" w:hint="eastAsia"/>
        </w:rPr>
        <w:t>：1．发现犯罪嫌疑人没有犯罪事实，或者符合刑事诉讼法第十六条规定的情形之一的，应当撤销原不起诉决定，</w:t>
      </w:r>
      <w:r w:rsidRPr="00A13FFD">
        <w:rPr>
          <w:rFonts w:eastAsia="宋体" w:cs="Times New Roman" w:hint="eastAsia"/>
          <w:color w:val="FF0000"/>
        </w:rPr>
        <w:t>依法重新作出不起诉决定</w:t>
      </w:r>
      <w:r w:rsidRPr="00A13FFD">
        <w:rPr>
          <w:rFonts w:eastAsia="宋体" w:cs="Times New Roman" w:hint="eastAsia"/>
        </w:rPr>
        <w:t>；2．认为犯罪嫌疑人仍属于犯罪情节轻微，依照刑法规定不需要判处刑罚或者免除刑罚的，</w:t>
      </w:r>
      <w:r w:rsidRPr="00A13FFD">
        <w:rPr>
          <w:rFonts w:eastAsia="宋体" w:cs="Times New Roman" w:hint="eastAsia"/>
          <w:color w:val="FF0000"/>
        </w:rPr>
        <w:t>可以维持原不起诉决定</w:t>
      </w:r>
      <w:r w:rsidRPr="00A13FFD">
        <w:rPr>
          <w:rFonts w:eastAsia="宋体" w:cs="Times New Roman" w:hint="eastAsia"/>
        </w:rPr>
        <w:t>；3．排除认罪认罚因素后，符合起诉条件的，应当根据案件具体情况</w:t>
      </w:r>
      <w:r w:rsidRPr="00A13FFD">
        <w:rPr>
          <w:rFonts w:eastAsia="宋体" w:cs="Times New Roman" w:hint="eastAsia"/>
          <w:color w:val="FF0000"/>
        </w:rPr>
        <w:t>撤销原不起诉决定，依法提起公诉。</w:t>
      </w:r>
    </w:p>
    <w:p w14:paraId="7F1BC1C9"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（二）</w:t>
      </w:r>
      <w:r w:rsidRPr="00A13FFD">
        <w:rPr>
          <w:rFonts w:ascii="宋体" w:eastAsia="宋体" w:hAnsi="宋体"/>
          <w:color w:val="FF0000"/>
          <w:sz w:val="21"/>
          <w:szCs w:val="21"/>
        </w:rPr>
        <w:t>起诉前反悔的处理</w:t>
      </w:r>
    </w:p>
    <w:p w14:paraId="66E6407E"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rPr>
        <w:t>犯罪嫌疑人认罪认罚，签署认罪认罚具结书，在人民检察院提起公诉前反悔的，</w:t>
      </w:r>
      <w:r w:rsidRPr="00A13FFD">
        <w:rPr>
          <w:rFonts w:eastAsia="宋体" w:cs="Times New Roman" w:hint="eastAsia"/>
          <w:color w:val="FF0000"/>
        </w:rPr>
        <w:t>具结书失效，人民检察院应当在全面审查事实证据的基础上，依法提起公诉</w:t>
      </w:r>
      <w:r w:rsidRPr="00A13FFD">
        <w:rPr>
          <w:rFonts w:eastAsia="宋体" w:cs="Times New Roman" w:hint="eastAsia"/>
        </w:rPr>
        <w:t>。</w:t>
      </w:r>
    </w:p>
    <w:p w14:paraId="2A450102"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（三）</w:t>
      </w:r>
      <w:r w:rsidRPr="00A13FFD">
        <w:rPr>
          <w:rFonts w:ascii="宋体" w:eastAsia="宋体" w:hAnsi="宋体"/>
          <w:color w:val="FF0000"/>
          <w:sz w:val="21"/>
          <w:szCs w:val="21"/>
        </w:rPr>
        <w:t>审判阶段反悔的处理</w:t>
      </w:r>
    </w:p>
    <w:p w14:paraId="34447E66" w14:textId="77777777" w:rsidR="00E824F9" w:rsidRDefault="00E824F9" w:rsidP="00E824F9">
      <w:pPr>
        <w:spacing w:line="240" w:lineRule="exact"/>
        <w:ind w:firstLine="420"/>
        <w:rPr>
          <w:rFonts w:eastAsia="宋体" w:cs="Times New Roman" w:hint="eastAsia"/>
        </w:rPr>
      </w:pPr>
      <w:r w:rsidRPr="00A13FFD">
        <w:rPr>
          <w:rFonts w:eastAsia="宋体" w:cs="Times New Roman" w:hint="eastAsia"/>
        </w:rPr>
        <w:t>案件审理过程中，被告人反悔不再认罪认罚的，人民法院</w:t>
      </w:r>
      <w:r w:rsidRPr="00A13FFD">
        <w:rPr>
          <w:rFonts w:eastAsia="宋体" w:cs="Times New Roman" w:hint="eastAsia"/>
          <w:color w:val="FF0000"/>
        </w:rPr>
        <w:t>应当根据审理查明的事实，依法作出裁判</w:t>
      </w:r>
      <w:r w:rsidRPr="00A13FFD">
        <w:rPr>
          <w:rFonts w:eastAsia="宋体" w:cs="Times New Roman" w:hint="eastAsia"/>
        </w:rPr>
        <w:t>。</w:t>
      </w:r>
      <w:r w:rsidRPr="00A13FFD">
        <w:rPr>
          <w:rFonts w:eastAsia="宋体" w:cs="Times New Roman" w:hint="eastAsia"/>
          <w:color w:val="FF0000"/>
        </w:rPr>
        <w:t>需要转换程序的，依照本意见的相关规定处理</w:t>
      </w:r>
      <w:r w:rsidRPr="00A13FFD">
        <w:rPr>
          <w:rFonts w:eastAsia="宋体" w:cs="Times New Roman" w:hint="eastAsia"/>
        </w:rPr>
        <w:t>。</w:t>
      </w:r>
    </w:p>
    <w:p w14:paraId="42B1CC45" w14:textId="77777777" w:rsidR="00E824F9" w:rsidRPr="003729CC" w:rsidRDefault="00E824F9" w:rsidP="00E824F9">
      <w:pPr>
        <w:spacing w:line="240" w:lineRule="exact"/>
        <w:ind w:firstLine="420"/>
        <w:rPr>
          <w:rFonts w:eastAsia="宋体" w:cs="Times New Roman" w:hint="eastAsia"/>
        </w:rPr>
      </w:pPr>
      <w:r w:rsidRPr="00A13FFD">
        <w:rPr>
          <w:rFonts w:eastAsia="宋体" w:hint="eastAsia"/>
        </w:rPr>
        <w:t>十</w:t>
      </w:r>
      <w:r>
        <w:rPr>
          <w:rFonts w:eastAsia="宋体" w:hint="eastAsia"/>
        </w:rPr>
        <w:t>一</w:t>
      </w:r>
      <w:r w:rsidRPr="00A13FFD">
        <w:rPr>
          <w:rFonts w:eastAsia="宋体" w:hint="eastAsia"/>
        </w:rPr>
        <w:t>、未成年人认罪认罚案件的办理</w:t>
      </w:r>
    </w:p>
    <w:p w14:paraId="39F65C44"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（一）</w:t>
      </w:r>
      <w:r w:rsidRPr="00A13FFD">
        <w:rPr>
          <w:rFonts w:ascii="宋体" w:eastAsia="宋体" w:hAnsi="宋体"/>
          <w:sz w:val="21"/>
          <w:szCs w:val="21"/>
        </w:rPr>
        <w:t>听取意见</w:t>
      </w:r>
    </w:p>
    <w:p w14:paraId="3B3E7771"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rPr>
        <w:t>办理未成年人认罪认罚案件</w:t>
      </w:r>
      <w:r w:rsidRPr="00A13FFD">
        <w:rPr>
          <w:rFonts w:eastAsia="宋体" w:cs="Times New Roman" w:hint="eastAsia"/>
          <w:color w:val="FF0000"/>
        </w:rPr>
        <w:t>应当听取未成年犯罪嫌疑人、被告人的法定代理人的意见，法定代理人无法到场的，应当听取合适成年人的意见，但受案时犯罪嫌疑人已经成年的除外</w:t>
      </w:r>
      <w:r w:rsidRPr="00A13FFD">
        <w:rPr>
          <w:rFonts w:eastAsia="宋体" w:cs="Times New Roman" w:hint="eastAsia"/>
        </w:rPr>
        <w:t>。</w:t>
      </w:r>
    </w:p>
    <w:p w14:paraId="6679029D"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（二）</w:t>
      </w:r>
      <w:r w:rsidRPr="00A13FFD">
        <w:rPr>
          <w:rFonts w:ascii="宋体" w:eastAsia="宋体" w:hAnsi="宋体"/>
          <w:sz w:val="21"/>
          <w:szCs w:val="21"/>
        </w:rPr>
        <w:t>具结书签署</w:t>
      </w:r>
    </w:p>
    <w:p w14:paraId="4B6635B3" w14:textId="77777777" w:rsidR="00E824F9" w:rsidRPr="00A13FFD" w:rsidRDefault="00E824F9" w:rsidP="00E824F9">
      <w:pPr>
        <w:spacing w:line="240" w:lineRule="exact"/>
        <w:ind w:firstLine="420"/>
        <w:rPr>
          <w:rFonts w:eastAsia="宋体" w:cs="Times New Roman" w:hint="eastAsia"/>
          <w:color w:val="FF0000"/>
        </w:rPr>
      </w:pPr>
      <w:r w:rsidRPr="00897D82">
        <w:rPr>
          <w:rFonts w:eastAsia="宋体" w:cs="Times New Roman" w:hint="eastAsia"/>
          <w:color w:val="auto"/>
        </w:rPr>
        <w:t>未成年犯罪嫌疑人签署认罪认罚具结书时，其法定代理人应当到场并签字确认。法定代理人无法到场的，合适成年人应当到场签字确认。</w:t>
      </w:r>
      <w:r w:rsidRPr="00A13FFD">
        <w:rPr>
          <w:rFonts w:eastAsia="宋体" w:cs="Times New Roman" w:hint="eastAsia"/>
          <w:color w:val="FF0000"/>
        </w:rPr>
        <w:t>法定代理人、辩护人对未成年人认罪认罚有异议的，不需要签署认罪认罚具结书。</w:t>
      </w:r>
    </w:p>
    <w:p w14:paraId="2B26E6C0"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（三）</w:t>
      </w:r>
      <w:r w:rsidRPr="00A13FFD">
        <w:rPr>
          <w:rFonts w:ascii="宋体" w:eastAsia="宋体" w:hAnsi="宋体"/>
          <w:sz w:val="21"/>
          <w:szCs w:val="21"/>
        </w:rPr>
        <w:t>程序适用</w:t>
      </w:r>
    </w:p>
    <w:p w14:paraId="0E6F1B9C"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color w:val="FF0000"/>
        </w:rPr>
        <w:t>未成年人认罪认罚案件不适用速裁程序</w:t>
      </w:r>
    </w:p>
    <w:p w14:paraId="5782EA90" w14:textId="77777777" w:rsidR="00E824F9" w:rsidRPr="00A13FFD" w:rsidRDefault="00E824F9" w:rsidP="00E824F9">
      <w:pPr>
        <w:spacing w:line="240" w:lineRule="exact"/>
        <w:ind w:firstLine="420"/>
        <w:rPr>
          <w:rFonts w:eastAsia="宋体" w:cs="Times New Roman" w:hint="eastAsia"/>
        </w:rPr>
      </w:pPr>
      <w:r w:rsidRPr="00A13FFD">
        <w:rPr>
          <w:rFonts w:eastAsia="宋体" w:hint="eastAsia"/>
        </w:rPr>
        <w:t>十</w:t>
      </w:r>
      <w:r>
        <w:rPr>
          <w:rFonts w:eastAsia="宋体" w:hint="eastAsia"/>
        </w:rPr>
        <w:t>二</w:t>
      </w:r>
      <w:r w:rsidRPr="00A13FFD">
        <w:rPr>
          <w:rFonts w:eastAsia="宋体" w:hint="eastAsia"/>
        </w:rPr>
        <w:t>、速裁程序的适用</w:t>
      </w:r>
    </w:p>
    <w:p w14:paraId="546D8DAC"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（一）</w:t>
      </w:r>
      <w:r w:rsidRPr="00A13FFD">
        <w:rPr>
          <w:rFonts w:ascii="宋体" w:eastAsia="宋体" w:hAnsi="宋体"/>
          <w:color w:val="FF0000"/>
          <w:sz w:val="21"/>
          <w:szCs w:val="21"/>
        </w:rPr>
        <w:t>速裁程序的适用</w:t>
      </w:r>
      <w:r w:rsidRPr="00A13FFD">
        <w:rPr>
          <w:rFonts w:ascii="宋体" w:eastAsia="宋体" w:hAnsi="宋体" w:hint="eastAsia"/>
          <w:color w:val="FF0000"/>
          <w:sz w:val="21"/>
          <w:szCs w:val="21"/>
        </w:rPr>
        <w:t>范围</w:t>
      </w:r>
    </w:p>
    <w:p w14:paraId="09E0E6E4" w14:textId="77777777" w:rsidR="00E824F9" w:rsidRPr="000F5C41" w:rsidRDefault="00E824F9" w:rsidP="00E824F9">
      <w:pPr>
        <w:spacing w:line="240" w:lineRule="exact"/>
        <w:ind w:firstLine="420"/>
        <w:rPr>
          <w:rFonts w:eastAsia="宋体" w:cs="Times New Roman" w:hint="eastAsia"/>
          <w:color w:val="auto"/>
        </w:rPr>
      </w:pPr>
      <w:r w:rsidRPr="00A13FFD">
        <w:rPr>
          <w:rFonts w:eastAsia="宋体" w:cs="Times New Roman" w:hint="eastAsia"/>
          <w:color w:val="FF0000"/>
        </w:rPr>
        <w:t>基层人民法院管辖的可能判处三年有期徒刑以下刑罚的案件，案件事实清楚，证据确实、充分，被告人认罪认罚并同意适用速裁程序的，可以适用速裁程序，由审判员一人独任审判</w:t>
      </w:r>
      <w:r w:rsidRPr="00A13FFD">
        <w:rPr>
          <w:rFonts w:eastAsia="宋体" w:cs="Times New Roman" w:hint="eastAsia"/>
        </w:rPr>
        <w:t>。人民检察院提起公诉时，可以建议人民法院适用速裁程序。</w:t>
      </w:r>
      <w:r w:rsidRPr="000F5C41">
        <w:rPr>
          <w:rFonts w:eastAsia="宋体" w:cs="Times New Roman" w:hint="eastAsia"/>
          <w:color w:val="FF0000"/>
        </w:rPr>
        <w:t>注意掌握不适用速裁程序办理的情形</w:t>
      </w:r>
      <w:r w:rsidRPr="000F5C41">
        <w:rPr>
          <w:rFonts w:eastAsia="宋体" w:cs="Times New Roman" w:hint="eastAsia"/>
          <w:color w:val="auto"/>
        </w:rPr>
        <w:t>1．被告人是盲、聋、哑人，或者是尚未完全丧失辨认或者控制自己行为能力的精神病人的2．被告人是未成年人的3．案件有重大社会影响的4．共同犯罪案件中部分被告人对指控的犯罪事实、罪名、量刑建议或者适用速裁程序有异议的5．</w:t>
      </w:r>
      <w:r w:rsidRPr="00375894">
        <w:rPr>
          <w:rFonts w:eastAsia="宋体" w:cs="Times New Roman" w:hint="eastAsia"/>
          <w:color w:val="FF0000"/>
        </w:rPr>
        <w:t>被告人与被害人或者其法定代理人没有就附带民事诉讼赔偿等事项达成调解或者和解协议的</w:t>
      </w:r>
      <w:r w:rsidRPr="000F5C41">
        <w:rPr>
          <w:rFonts w:eastAsia="宋体" w:cs="Times New Roman" w:hint="eastAsia"/>
          <w:color w:val="auto"/>
        </w:rPr>
        <w:t>6．辩护人作无罪辩护的</w:t>
      </w:r>
    </w:p>
    <w:p w14:paraId="14065F6B"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（二）</w:t>
      </w:r>
      <w:r w:rsidRPr="00A13FFD">
        <w:rPr>
          <w:rFonts w:ascii="宋体" w:eastAsia="宋体" w:hAnsi="宋体" w:hint="eastAsia"/>
          <w:color w:val="FF0000"/>
          <w:sz w:val="21"/>
          <w:szCs w:val="21"/>
        </w:rPr>
        <w:t>速裁程序的启动</w:t>
      </w:r>
    </w:p>
    <w:p w14:paraId="53875440" w14:textId="77777777" w:rsidR="00E824F9" w:rsidRPr="00A13FFD" w:rsidRDefault="00E824F9" w:rsidP="00E824F9">
      <w:pPr>
        <w:spacing w:line="240" w:lineRule="exact"/>
        <w:ind w:firstLine="420"/>
        <w:rPr>
          <w:rFonts w:eastAsia="宋体" w:cs="Times New Roman" w:hint="eastAsia"/>
        </w:rPr>
      </w:pPr>
      <w:r>
        <w:rPr>
          <w:rFonts w:eastAsia="宋体" w:cs="Times New Roman"/>
        </w:rPr>
        <w:t>1</w:t>
      </w:r>
      <w:r w:rsidRPr="00A13FFD">
        <w:rPr>
          <w:rFonts w:eastAsia="宋体" w:cs="Times New Roman" w:hint="eastAsia"/>
        </w:rPr>
        <w:t>．对人民检察院</w:t>
      </w:r>
      <w:r w:rsidRPr="00A13FFD">
        <w:rPr>
          <w:rFonts w:eastAsia="宋体" w:cs="Times New Roman" w:hint="eastAsia"/>
          <w:color w:val="FF0000"/>
        </w:rPr>
        <w:t>未建议适用速裁程序的案件</w:t>
      </w:r>
      <w:r w:rsidRPr="00A13FFD">
        <w:rPr>
          <w:rFonts w:eastAsia="宋体" w:cs="Times New Roman" w:hint="eastAsia"/>
        </w:rPr>
        <w:t>，人民法院经审查认为符合速裁程序适用条件的，</w:t>
      </w:r>
      <w:r w:rsidRPr="00A13FFD">
        <w:rPr>
          <w:rFonts w:eastAsia="宋体" w:cs="Times New Roman" w:hint="eastAsia"/>
          <w:color w:val="FF0000"/>
        </w:rPr>
        <w:t>可以决定适用速裁程序</w:t>
      </w:r>
      <w:r w:rsidRPr="00A13FFD">
        <w:rPr>
          <w:rFonts w:eastAsia="宋体" w:cs="Times New Roman" w:hint="eastAsia"/>
        </w:rPr>
        <w:t>，并在开庭前通知人民检察院和辩护人。</w:t>
      </w:r>
    </w:p>
    <w:p w14:paraId="09B806ED" w14:textId="77777777" w:rsidR="00E824F9" w:rsidRPr="00A13FFD" w:rsidRDefault="00E824F9" w:rsidP="00E824F9">
      <w:pPr>
        <w:spacing w:line="240" w:lineRule="exact"/>
        <w:ind w:firstLine="420"/>
        <w:rPr>
          <w:rFonts w:eastAsia="宋体" w:cs="Times New Roman" w:hint="eastAsia"/>
        </w:rPr>
      </w:pPr>
      <w:r>
        <w:rPr>
          <w:rFonts w:eastAsia="宋体" w:cs="Times New Roman"/>
        </w:rPr>
        <w:t>2</w:t>
      </w:r>
      <w:r w:rsidRPr="00A13FFD">
        <w:rPr>
          <w:rFonts w:eastAsia="宋体" w:cs="Times New Roman" w:hint="eastAsia"/>
        </w:rPr>
        <w:t>．被告人及其辩护人</w:t>
      </w:r>
      <w:r w:rsidRPr="00A13FFD">
        <w:rPr>
          <w:rFonts w:eastAsia="宋体" w:cs="Times New Roman" w:hint="eastAsia"/>
          <w:color w:val="FF0000"/>
        </w:rPr>
        <w:t>可以向人民法院提出适用速裁</w:t>
      </w:r>
      <w:r w:rsidRPr="00A13FFD">
        <w:rPr>
          <w:rFonts w:eastAsia="宋体" w:cs="Times New Roman" w:hint="eastAsia"/>
        </w:rPr>
        <w:t>程序的申请。</w:t>
      </w:r>
    </w:p>
    <w:p w14:paraId="73EE663F"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（三）</w:t>
      </w:r>
      <w:r w:rsidRPr="00A13FFD">
        <w:rPr>
          <w:rFonts w:ascii="宋体" w:eastAsia="宋体" w:hAnsi="宋体"/>
          <w:color w:val="FF0000"/>
          <w:sz w:val="21"/>
          <w:szCs w:val="21"/>
        </w:rPr>
        <w:t>速裁程序的审理期限</w:t>
      </w:r>
    </w:p>
    <w:p w14:paraId="1BD568EA" w14:textId="77777777" w:rsidR="00E824F9" w:rsidRPr="00A13FFD" w:rsidRDefault="00E824F9" w:rsidP="00E824F9">
      <w:pPr>
        <w:spacing w:line="240" w:lineRule="exact"/>
        <w:ind w:firstLine="420"/>
        <w:rPr>
          <w:rFonts w:eastAsia="宋体" w:cs="Times New Roman" w:hint="eastAsia"/>
        </w:rPr>
      </w:pPr>
      <w:r w:rsidRPr="00A13FFD">
        <w:rPr>
          <w:rFonts w:eastAsia="宋体" w:cs="Times New Roman" w:hint="eastAsia"/>
          <w:color w:val="FF0000"/>
        </w:rPr>
        <w:t>受理后十日以内审结</w:t>
      </w:r>
      <w:r w:rsidRPr="00A13FFD">
        <w:rPr>
          <w:rFonts w:eastAsia="宋体" w:cs="Times New Roman" w:hint="eastAsia"/>
        </w:rPr>
        <w:t>；对可能判处的有期徒刑超过一年的，</w:t>
      </w:r>
      <w:r w:rsidRPr="00A13FFD">
        <w:rPr>
          <w:rFonts w:eastAsia="宋体" w:cs="Times New Roman" w:hint="eastAsia"/>
          <w:color w:val="FF0000"/>
        </w:rPr>
        <w:t>应当在十五日以内审结</w:t>
      </w:r>
      <w:r w:rsidRPr="00A13FFD">
        <w:rPr>
          <w:rFonts w:eastAsia="宋体" w:cs="Times New Roman" w:hint="eastAsia"/>
        </w:rPr>
        <w:t>。</w:t>
      </w:r>
    </w:p>
    <w:p w14:paraId="65268D61" w14:textId="77777777" w:rsidR="00E824F9" w:rsidRPr="00A13FFD" w:rsidRDefault="00E824F9" w:rsidP="00E824F9">
      <w:pPr>
        <w:pStyle w:val="4"/>
        <w:spacing w:line="240" w:lineRule="exact"/>
        <w:ind w:firstLineChars="120" w:firstLine="252"/>
        <w:rPr>
          <w:rFonts w:ascii="宋体" w:eastAsia="宋体" w:hAnsi="宋体" w:hint="eastAsia"/>
          <w:sz w:val="21"/>
          <w:szCs w:val="21"/>
        </w:rPr>
      </w:pPr>
      <w:r w:rsidRPr="00A13FFD">
        <w:rPr>
          <w:rFonts w:ascii="宋体" w:eastAsia="宋体" w:hAnsi="宋体" w:hint="eastAsia"/>
          <w:sz w:val="21"/>
          <w:szCs w:val="21"/>
        </w:rPr>
        <w:t>（四）</w:t>
      </w:r>
      <w:r w:rsidRPr="00A13FFD">
        <w:rPr>
          <w:rFonts w:ascii="宋体" w:eastAsia="宋体" w:hAnsi="宋体"/>
          <w:color w:val="FF0000"/>
          <w:sz w:val="21"/>
          <w:szCs w:val="21"/>
        </w:rPr>
        <w:t>速裁案件的审理程序</w:t>
      </w:r>
    </w:p>
    <w:p w14:paraId="130AC12B" w14:textId="77777777" w:rsidR="00E824F9" w:rsidRPr="007E0D61" w:rsidRDefault="00E824F9" w:rsidP="00E824F9">
      <w:pPr>
        <w:spacing w:line="240" w:lineRule="exact"/>
        <w:ind w:firstLine="420"/>
        <w:rPr>
          <w:rFonts w:eastAsia="宋体" w:cs="Times New Roman" w:hint="eastAsia"/>
          <w:color w:val="auto"/>
        </w:rPr>
      </w:pPr>
      <w:r w:rsidRPr="007E0D61">
        <w:rPr>
          <w:rFonts w:eastAsia="宋体" w:cs="Times New Roman" w:hint="eastAsia"/>
          <w:color w:val="auto"/>
        </w:rPr>
        <w:t>适用速裁程序审理案件，不受刑事诉讼法规定的送达期限的限制，一般不进行法庭调查、法庭辩论，但在判决宣告前应当听取辩护人的意见和被告人的最后陈述意见。可以集中开庭，逐案审理。应当当庭宣判。集中审理的，可以集中当庭宣判。裁判文书可以简化。</w:t>
      </w:r>
    </w:p>
    <w:p w14:paraId="1EA15CEC" w14:textId="77777777" w:rsidR="00E824F9" w:rsidRPr="001D16A0" w:rsidRDefault="00E824F9" w:rsidP="00E824F9">
      <w:pPr>
        <w:pStyle w:val="4"/>
        <w:spacing w:line="240" w:lineRule="exact"/>
        <w:ind w:firstLineChars="120" w:firstLine="253"/>
        <w:rPr>
          <w:rFonts w:ascii="宋体" w:eastAsia="宋体" w:hAnsi="宋体" w:hint="eastAsia"/>
          <w:b/>
          <w:bCs w:val="0"/>
          <w:sz w:val="21"/>
          <w:szCs w:val="21"/>
        </w:rPr>
      </w:pPr>
      <w:r w:rsidRPr="001D16A0">
        <w:rPr>
          <w:rFonts w:ascii="宋体" w:eastAsia="宋体" w:hAnsi="宋体" w:hint="eastAsia"/>
          <w:b/>
          <w:bCs w:val="0"/>
          <w:sz w:val="21"/>
          <w:szCs w:val="21"/>
        </w:rPr>
        <w:t>（五）</w:t>
      </w:r>
      <w:r w:rsidRPr="001D16A0">
        <w:rPr>
          <w:rFonts w:ascii="宋体" w:eastAsia="宋体" w:hAnsi="宋体"/>
          <w:b/>
          <w:bCs w:val="0"/>
          <w:sz w:val="21"/>
          <w:szCs w:val="21"/>
        </w:rPr>
        <w:t>速裁案件的二审程序</w:t>
      </w:r>
      <w:r w:rsidRPr="001D16A0">
        <w:rPr>
          <w:rFonts w:ascii="宋体" w:eastAsia="宋体" w:hAnsi="宋体" w:hint="eastAsia"/>
          <w:b/>
          <w:bCs w:val="0"/>
          <w:sz w:val="21"/>
          <w:szCs w:val="21"/>
          <w:highlight w:val="yellow"/>
        </w:rPr>
        <w:t>【注意与普通程序二审的区别】</w:t>
      </w:r>
    </w:p>
    <w:p w14:paraId="2F769C75" w14:textId="77777777" w:rsidR="00E824F9" w:rsidRPr="007E0D61" w:rsidRDefault="00E824F9" w:rsidP="00E824F9">
      <w:pPr>
        <w:spacing w:line="240" w:lineRule="exact"/>
        <w:ind w:firstLine="420"/>
        <w:rPr>
          <w:rFonts w:eastAsia="宋体" w:cs="Times New Roman" w:hint="eastAsia"/>
          <w:color w:val="auto"/>
        </w:rPr>
      </w:pPr>
      <w:r w:rsidRPr="007E0D61">
        <w:rPr>
          <w:rFonts w:eastAsia="宋体" w:cs="Times New Roman" w:hint="eastAsia"/>
          <w:color w:val="auto"/>
        </w:rPr>
        <w:t>被告人不服适用速裁程序作出的第一审判决提出上诉的案件，可以不开庭审理。第二审人民法院审查后，按照下列情形分别处理：1．发现被告人以事实不清、证据不足为由提出上诉的，应当裁定撤销原判，发回原审人民法院适用普通程序重新审理，不再按认罪认罚案件从宽处罚；2．发现被告人以量刑不当为由提出上诉的，原判量刑适当的，应当裁定驳回上诉，维持原判；原判量刑不当的，经审理后依法改判。</w:t>
      </w:r>
    </w:p>
    <w:p w14:paraId="745CFC5B" w14:textId="77777777" w:rsidR="00E824F9" w:rsidRPr="003729CC" w:rsidRDefault="00E824F9" w:rsidP="00E824F9">
      <w:pPr>
        <w:spacing w:line="240" w:lineRule="exact"/>
        <w:ind w:firstLine="420"/>
        <w:rPr>
          <w:rFonts w:eastAsia="宋体" w:cs="Times New Roman" w:hint="eastAsia"/>
        </w:rPr>
      </w:pPr>
      <w:r w:rsidRPr="00A13FFD">
        <w:rPr>
          <w:rFonts w:eastAsia="宋体" w:hint="eastAsia"/>
        </w:rPr>
        <w:lastRenderedPageBreak/>
        <w:t>十</w:t>
      </w:r>
      <w:r>
        <w:rPr>
          <w:rFonts w:eastAsia="宋体" w:hint="eastAsia"/>
        </w:rPr>
        <w:t>三</w:t>
      </w:r>
      <w:r w:rsidRPr="00A13FFD">
        <w:rPr>
          <w:rFonts w:eastAsia="宋体" w:hint="eastAsia"/>
        </w:rPr>
        <w:t>、适用简易程序审理认罪认罚案件</w:t>
      </w:r>
    </w:p>
    <w:p w14:paraId="2E4A36AE" w14:textId="77777777" w:rsidR="00E824F9" w:rsidRDefault="00E824F9" w:rsidP="00E824F9">
      <w:pPr>
        <w:spacing w:line="240" w:lineRule="exact"/>
        <w:ind w:firstLine="420"/>
        <w:rPr>
          <w:rFonts w:eastAsia="宋体" w:cs="Times New Roman" w:hint="eastAsia"/>
        </w:rPr>
      </w:pPr>
      <w:r w:rsidRPr="00A13FFD">
        <w:rPr>
          <w:rFonts w:eastAsia="宋体" w:cs="Times New Roman" w:hint="eastAsia"/>
          <w:color w:val="FF0000"/>
        </w:rPr>
        <w:t>法庭调查可以简化，但对有争议的事实和证据应当进行调查、质证，法庭辩论可以仅围绕有争议的问题进行。裁判文书可以简化</w:t>
      </w:r>
      <w:r w:rsidRPr="00A13FFD">
        <w:rPr>
          <w:rFonts w:eastAsia="宋体" w:cs="Times New Roman" w:hint="eastAsia"/>
        </w:rPr>
        <w:t>。</w:t>
      </w:r>
    </w:p>
    <w:p w14:paraId="7020825B" w14:textId="77777777" w:rsidR="00E824F9" w:rsidRPr="003729CC" w:rsidRDefault="00E824F9" w:rsidP="00E824F9">
      <w:pPr>
        <w:spacing w:line="240" w:lineRule="exact"/>
        <w:ind w:firstLine="420"/>
        <w:rPr>
          <w:rFonts w:eastAsia="宋体" w:cs="Times New Roman" w:hint="eastAsia"/>
        </w:rPr>
      </w:pPr>
      <w:r w:rsidRPr="00A13FFD">
        <w:rPr>
          <w:rFonts w:eastAsia="宋体" w:hint="eastAsia"/>
        </w:rPr>
        <w:t>十</w:t>
      </w:r>
      <w:r>
        <w:rPr>
          <w:rFonts w:eastAsia="宋体" w:hint="eastAsia"/>
        </w:rPr>
        <w:t>四</w:t>
      </w:r>
      <w:r w:rsidRPr="00A13FFD">
        <w:rPr>
          <w:rFonts w:eastAsia="宋体" w:hint="eastAsia"/>
        </w:rPr>
        <w:t>、适用普通程序审理认罪认罚案件</w:t>
      </w:r>
    </w:p>
    <w:p w14:paraId="2A35D266" w14:textId="77777777" w:rsidR="00E824F9" w:rsidRDefault="00E824F9" w:rsidP="00E824F9">
      <w:pPr>
        <w:spacing w:line="240" w:lineRule="exact"/>
        <w:ind w:firstLine="420"/>
        <w:rPr>
          <w:rFonts w:eastAsia="宋体" w:cs="Times New Roman" w:hint="eastAsia"/>
        </w:rPr>
      </w:pPr>
      <w:r w:rsidRPr="00A13FFD">
        <w:rPr>
          <w:rFonts w:eastAsia="宋体" w:cs="Times New Roman" w:hint="eastAsia"/>
        </w:rPr>
        <w:t>适用普通程序办理认罪认罚案件，</w:t>
      </w:r>
      <w:r w:rsidRPr="00A13FFD">
        <w:rPr>
          <w:rFonts w:eastAsia="宋体" w:cs="Times New Roman" w:hint="eastAsia"/>
          <w:color w:val="FF0000"/>
        </w:rPr>
        <w:t>可以适当简化法庭调查、辩论程序</w:t>
      </w:r>
      <w:r w:rsidRPr="00A13FFD">
        <w:rPr>
          <w:rFonts w:eastAsia="宋体" w:cs="Times New Roman" w:hint="eastAsia"/>
        </w:rPr>
        <w:t>。</w:t>
      </w:r>
      <w:r w:rsidRPr="00A13FFD">
        <w:rPr>
          <w:rFonts w:eastAsia="宋体" w:cs="Times New Roman" w:hint="eastAsia"/>
          <w:color w:val="FF0000"/>
        </w:rPr>
        <w:t>公诉人、辩护人、审判人员对被告人的讯问、发问可以简化。对控辩双方无异议的证据，可以仅就证据名称及证明内容进行说明</w:t>
      </w:r>
      <w:r w:rsidRPr="00A13FFD">
        <w:rPr>
          <w:rFonts w:eastAsia="宋体" w:cs="Times New Roman" w:hint="eastAsia"/>
        </w:rPr>
        <w:t>；对控辩双方有异议，或者法庭认为有必要调查核实的证据，应当出示并进行质证。法庭辩论主要围绕有争议的问题进行，</w:t>
      </w:r>
      <w:r w:rsidRPr="00414144">
        <w:rPr>
          <w:rFonts w:eastAsia="宋体" w:cs="Times New Roman" w:hint="eastAsia"/>
          <w:color w:val="FF0000"/>
        </w:rPr>
        <w:t>裁判文书可以适当简化</w:t>
      </w:r>
      <w:r w:rsidRPr="00A13FFD">
        <w:rPr>
          <w:rFonts w:eastAsia="宋体" w:cs="Times New Roman" w:hint="eastAsia"/>
        </w:rPr>
        <w:t>。</w:t>
      </w:r>
    </w:p>
    <w:p w14:paraId="6DD557E9" w14:textId="77777777" w:rsidR="00E824F9" w:rsidRPr="003729CC" w:rsidRDefault="00E824F9" w:rsidP="00E824F9">
      <w:pPr>
        <w:spacing w:line="240" w:lineRule="exact"/>
        <w:ind w:firstLine="420"/>
        <w:rPr>
          <w:rFonts w:eastAsia="宋体" w:cs="Times New Roman" w:hint="eastAsia"/>
        </w:rPr>
      </w:pPr>
      <w:r w:rsidRPr="00A13FFD">
        <w:rPr>
          <w:rFonts w:eastAsia="宋体" w:hint="eastAsia"/>
        </w:rPr>
        <w:t>十</w:t>
      </w:r>
      <w:r>
        <w:rPr>
          <w:rFonts w:eastAsia="宋体" w:hint="eastAsia"/>
        </w:rPr>
        <w:t>五</w:t>
      </w:r>
      <w:r w:rsidRPr="00A13FFD">
        <w:rPr>
          <w:rFonts w:eastAsia="宋体" w:hint="eastAsia"/>
        </w:rPr>
        <w:t>、程序转化</w:t>
      </w:r>
    </w:p>
    <w:p w14:paraId="2C9A8313" w14:textId="77777777" w:rsidR="00E824F9" w:rsidRPr="00414144" w:rsidRDefault="00E824F9" w:rsidP="00E824F9">
      <w:pPr>
        <w:spacing w:line="240" w:lineRule="exact"/>
        <w:ind w:firstLine="420"/>
        <w:rPr>
          <w:rFonts w:eastAsia="宋体" w:cs="Times New Roman" w:hint="eastAsia"/>
        </w:rPr>
      </w:pPr>
      <w:r w:rsidRPr="007E0D61">
        <w:rPr>
          <w:rFonts w:eastAsia="宋体" w:cs="Times New Roman" w:hint="eastAsia"/>
          <w:color w:val="auto"/>
        </w:rPr>
        <w:t>发现其他不宜适用速裁程序但符合简易程序适用条件的，应当转为简易程序重新审理。发现有不宜适用简易程序审理情形的，应当转为普通程序审理。速裁转为普通或者简易程序审理的案件，</w:t>
      </w:r>
      <w:r w:rsidRPr="00A13FFD">
        <w:rPr>
          <w:rFonts w:eastAsia="宋体" w:cs="Times New Roman" w:hint="eastAsia"/>
          <w:color w:val="FF0000"/>
        </w:rPr>
        <w:t>审理期限应当从作出决定之日起计算。</w:t>
      </w:r>
    </w:p>
    <w:p w14:paraId="3EA34C70" w14:textId="51DA5422" w:rsidR="00E824F9" w:rsidRPr="00A13FFD" w:rsidRDefault="00E824F9" w:rsidP="00E824F9">
      <w:pPr>
        <w:pStyle w:val="1"/>
        <w:spacing w:before="0" w:line="240" w:lineRule="exact"/>
        <w:rPr>
          <w:rFonts w:ascii="宋体" w:eastAsia="宋体" w:hAnsi="宋体" w:hint="eastAsia"/>
          <w:b/>
          <w:bCs w:val="0"/>
          <w:color w:val="auto"/>
          <w:sz w:val="21"/>
          <w:szCs w:val="21"/>
        </w:rPr>
      </w:pPr>
      <w:bookmarkStart w:id="13" w:name="_Toc4844148"/>
      <w:bookmarkStart w:id="14" w:name="_Toc64384725"/>
      <w:bookmarkStart w:id="15" w:name="_Toc126331818"/>
      <w:r w:rsidRPr="00A13FFD">
        <w:rPr>
          <w:rFonts w:ascii="宋体" w:eastAsia="宋体" w:hAnsi="宋体" w:hint="eastAsia"/>
          <w:b/>
          <w:bCs w:val="0"/>
          <w:color w:val="auto"/>
          <w:sz w:val="21"/>
          <w:szCs w:val="21"/>
        </w:rPr>
        <w:t>考点</w:t>
      </w:r>
      <w:r>
        <w:rPr>
          <w:rFonts w:ascii="宋体" w:eastAsia="宋体" w:hAnsi="宋体" w:hint="eastAsia"/>
          <w:b/>
          <w:bCs w:val="0"/>
          <w:color w:val="auto"/>
          <w:sz w:val="21"/>
          <w:szCs w:val="21"/>
        </w:rPr>
        <w:t>50</w:t>
      </w:r>
      <w:r w:rsidRPr="00A13FFD">
        <w:rPr>
          <w:rFonts w:ascii="宋体" w:eastAsia="宋体" w:hAnsi="宋体"/>
          <w:b/>
          <w:bCs w:val="0"/>
          <w:color w:val="auto"/>
          <w:sz w:val="21"/>
          <w:szCs w:val="21"/>
        </w:rPr>
        <w:t xml:space="preserve">  </w:t>
      </w:r>
      <w:r w:rsidRPr="00A13FFD">
        <w:rPr>
          <w:rFonts w:ascii="宋体" w:eastAsia="宋体" w:hAnsi="宋体" w:hint="eastAsia"/>
          <w:b/>
          <w:bCs w:val="0"/>
          <w:color w:val="auto"/>
          <w:sz w:val="21"/>
          <w:szCs w:val="21"/>
        </w:rPr>
        <w:t>第二审程序的审判原则</w:t>
      </w:r>
      <w:bookmarkEnd w:id="13"/>
      <w:bookmarkEnd w:id="14"/>
      <w:bookmarkEnd w:id="15"/>
      <w:r w:rsidRPr="00A13FFD">
        <w:rPr>
          <w:rFonts w:ascii="宋体" w:eastAsia="宋体" w:hAnsi="宋体" w:hint="eastAsia"/>
          <w:b/>
          <w:bCs w:val="0"/>
          <w:color w:val="auto"/>
          <w:sz w:val="21"/>
          <w:szCs w:val="21"/>
        </w:rPr>
        <w:t>（</w:t>
      </w:r>
      <w:r w:rsidR="00AF1E1F">
        <w:rPr>
          <w:rFonts w:ascii="宋体" w:eastAsia="宋体" w:hAnsi="宋体" w:hint="eastAsia"/>
          <w:b/>
          <w:bCs w:val="0"/>
          <w:color w:val="auto"/>
          <w:sz w:val="21"/>
          <w:szCs w:val="21"/>
        </w:rPr>
        <w:t>21</w:t>
      </w:r>
      <w:r w:rsidRPr="00A13FFD">
        <w:rPr>
          <w:rFonts w:ascii="宋体" w:eastAsia="宋体" w:hAnsi="宋体"/>
          <w:b/>
          <w:bCs w:val="0"/>
          <w:color w:val="auto"/>
          <w:sz w:val="21"/>
          <w:szCs w:val="21"/>
        </w:rPr>
        <w:t>:</w:t>
      </w:r>
      <w:r w:rsidR="00C1036D">
        <w:rPr>
          <w:rFonts w:ascii="宋体" w:eastAsia="宋体" w:hAnsi="宋体" w:hint="eastAsia"/>
          <w:b/>
          <w:bCs w:val="0"/>
          <w:color w:val="auto"/>
          <w:sz w:val="21"/>
          <w:szCs w:val="21"/>
        </w:rPr>
        <w:t>31</w:t>
      </w:r>
      <w:r w:rsidRPr="00A13FFD">
        <w:rPr>
          <w:rFonts w:ascii="宋体" w:eastAsia="宋体" w:hAnsi="宋体"/>
          <w:b/>
          <w:bCs w:val="0"/>
          <w:color w:val="auto"/>
          <w:sz w:val="21"/>
          <w:szCs w:val="21"/>
        </w:rPr>
        <w:t>:00-</w:t>
      </w:r>
      <w:r w:rsidR="00007D3A">
        <w:rPr>
          <w:rFonts w:ascii="宋体" w:eastAsia="宋体" w:hAnsi="宋体" w:hint="eastAsia"/>
          <w:b/>
          <w:bCs w:val="0"/>
          <w:color w:val="auto"/>
          <w:sz w:val="21"/>
          <w:szCs w:val="21"/>
        </w:rPr>
        <w:t>22</w:t>
      </w:r>
      <w:r w:rsidRPr="00A13FFD">
        <w:rPr>
          <w:rFonts w:ascii="宋体" w:eastAsia="宋体" w:hAnsi="宋体"/>
          <w:b/>
          <w:bCs w:val="0"/>
          <w:color w:val="auto"/>
          <w:sz w:val="21"/>
          <w:szCs w:val="21"/>
        </w:rPr>
        <w:t>:</w:t>
      </w:r>
      <w:r w:rsidR="00007D3A">
        <w:rPr>
          <w:rFonts w:ascii="宋体" w:eastAsia="宋体" w:hAnsi="宋体" w:hint="eastAsia"/>
          <w:b/>
          <w:bCs w:val="0"/>
          <w:color w:val="auto"/>
          <w:sz w:val="21"/>
          <w:szCs w:val="21"/>
        </w:rPr>
        <w:t>15</w:t>
      </w:r>
      <w:r w:rsidRPr="00A13FFD">
        <w:rPr>
          <w:rFonts w:ascii="宋体" w:eastAsia="宋体" w:hAnsi="宋体"/>
          <w:b/>
          <w:bCs w:val="0"/>
          <w:color w:val="auto"/>
          <w:sz w:val="21"/>
          <w:szCs w:val="21"/>
        </w:rPr>
        <w:t>:00）</w:t>
      </w:r>
    </w:p>
    <w:p w14:paraId="19B84B0B" w14:textId="77777777" w:rsidR="00E824F9" w:rsidRPr="00A13FFD" w:rsidRDefault="00E824F9" w:rsidP="00E824F9">
      <w:pPr>
        <w:pStyle w:val="3"/>
        <w:spacing w:line="240" w:lineRule="exact"/>
        <w:ind w:firstLineChars="200" w:firstLine="420"/>
        <w:rPr>
          <w:rFonts w:eastAsia="宋体" w:hint="eastAsia"/>
          <w:sz w:val="21"/>
        </w:rPr>
      </w:pPr>
      <w:bookmarkStart w:id="16" w:name="_Toc510879132"/>
      <w:r w:rsidRPr="00A13FFD">
        <w:rPr>
          <w:rFonts w:eastAsia="宋体" w:hint="eastAsia"/>
          <w:sz w:val="21"/>
        </w:rPr>
        <w:t>一、全面审查原则</w:t>
      </w:r>
      <w:bookmarkEnd w:id="16"/>
    </w:p>
    <w:p w14:paraId="4E239D1E" w14:textId="77777777" w:rsidR="00E824F9" w:rsidRDefault="00E824F9" w:rsidP="00E824F9">
      <w:pPr>
        <w:spacing w:line="240" w:lineRule="exact"/>
        <w:ind w:firstLine="420"/>
        <w:rPr>
          <w:rFonts w:eastAsia="宋体" w:hint="eastAsia"/>
        </w:rPr>
      </w:pPr>
      <w:r w:rsidRPr="00A13FFD">
        <w:rPr>
          <w:rFonts w:eastAsia="宋体"/>
        </w:rPr>
        <w:t>第二审人民法院应当就第一审判决认定的事实和适用法律进行全面审查，</w:t>
      </w:r>
      <w:r w:rsidRPr="0035526D">
        <w:rPr>
          <w:rFonts w:eastAsia="宋体"/>
          <w:color w:val="FF0000"/>
        </w:rPr>
        <w:t>不受上诉或者抗诉范围的限制。</w:t>
      </w:r>
      <w:r w:rsidRPr="00A13FFD">
        <w:rPr>
          <w:rFonts w:eastAsia="宋体"/>
        </w:rPr>
        <w:t>共同犯罪的案件只有部分被告人上诉的，应当对全案进行审查，一并处理。</w:t>
      </w:r>
      <w:bookmarkStart w:id="17" w:name="_Toc510879133"/>
    </w:p>
    <w:p w14:paraId="474F639C" w14:textId="335C7585" w:rsidR="00E824F9" w:rsidRPr="00802B14" w:rsidRDefault="00E824F9" w:rsidP="00E824F9">
      <w:pPr>
        <w:spacing w:line="240" w:lineRule="exact"/>
        <w:ind w:firstLine="422"/>
        <w:rPr>
          <w:rFonts w:eastAsia="宋体" w:hint="eastAsia"/>
          <w:b/>
          <w:bCs/>
          <w:color w:val="FF0000"/>
        </w:rPr>
      </w:pPr>
      <w:r w:rsidRPr="00802B14">
        <w:rPr>
          <w:rFonts w:eastAsia="宋体" w:hint="eastAsia"/>
          <w:b/>
          <w:bCs/>
          <w:color w:val="FF0000"/>
        </w:rPr>
        <w:t>二、上诉不加刑原则</w:t>
      </w:r>
      <w:bookmarkEnd w:id="17"/>
      <w:r w:rsidR="004B0558">
        <w:rPr>
          <w:rFonts w:eastAsia="宋体" w:hint="eastAsia"/>
          <w:b/>
          <w:bCs/>
          <w:color w:val="FF0000"/>
        </w:rPr>
        <w:t>（禁止对被告人做不利变更原则）</w:t>
      </w:r>
    </w:p>
    <w:p w14:paraId="4BAD3E19" w14:textId="77777777" w:rsidR="00E824F9" w:rsidRPr="00A13FFD" w:rsidRDefault="00E824F9" w:rsidP="00E824F9">
      <w:pPr>
        <w:spacing w:line="240" w:lineRule="exact"/>
        <w:ind w:firstLine="420"/>
        <w:rPr>
          <w:rFonts w:eastAsia="宋体" w:hint="eastAsia"/>
          <w:color w:val="FF0000"/>
        </w:rPr>
      </w:pPr>
      <w:r w:rsidRPr="00A13FFD">
        <w:rPr>
          <w:rFonts w:eastAsia="宋体" w:hint="eastAsia"/>
        </w:rPr>
        <w:t>审理</w:t>
      </w:r>
      <w:r w:rsidRPr="00A13FFD">
        <w:rPr>
          <w:rFonts w:eastAsia="宋体" w:hint="eastAsia"/>
          <w:color w:val="FF0000"/>
        </w:rPr>
        <w:t>被告人或者其法定代理人、辩护人、近亲属</w:t>
      </w:r>
      <w:r w:rsidRPr="00A13FFD">
        <w:rPr>
          <w:rFonts w:eastAsia="宋体" w:hint="eastAsia"/>
        </w:rPr>
        <w:t>提出上诉的案件，</w:t>
      </w:r>
      <w:r w:rsidRPr="00A13FFD">
        <w:rPr>
          <w:rFonts w:eastAsia="宋体" w:hint="eastAsia"/>
          <w:color w:val="FF0000"/>
        </w:rPr>
        <w:t>不得对被告人的刑罚作出实质不利的改判，人民检察院抗诉或者自诉人上诉的案件，不受限制。</w:t>
      </w:r>
    </w:p>
    <w:p w14:paraId="50342A89" w14:textId="77777777" w:rsidR="00E824F9" w:rsidRDefault="00E824F9" w:rsidP="00E824F9">
      <w:pPr>
        <w:spacing w:line="240" w:lineRule="exact"/>
        <w:ind w:firstLine="420"/>
        <w:rPr>
          <w:rFonts w:eastAsia="宋体" w:hint="eastAsia"/>
          <w:color w:val="FF0000"/>
        </w:rPr>
      </w:pPr>
      <w:r w:rsidRPr="00A13FFD">
        <w:rPr>
          <w:rFonts w:eastAsia="宋体" w:hint="eastAsia"/>
        </w:rPr>
        <w:t>原判认定的罪名不当的</w:t>
      </w:r>
      <w:r>
        <w:rPr>
          <w:rFonts w:eastAsia="宋体" w:hint="eastAsia"/>
        </w:rPr>
        <w:t>，</w:t>
      </w:r>
      <w:r w:rsidRPr="00A13FFD">
        <w:rPr>
          <w:rFonts w:eastAsia="宋体" w:hint="eastAsia"/>
          <w:color w:val="FF0000"/>
        </w:rPr>
        <w:t>可以改变罪名，但不得加重刑罚或者对刑罚执行产生不利影响</w:t>
      </w:r>
      <w:r>
        <w:rPr>
          <w:rFonts w:eastAsia="宋体" w:hint="eastAsia"/>
          <w:color w:val="FF0000"/>
        </w:rPr>
        <w:t>。</w:t>
      </w:r>
      <w:r w:rsidRPr="00A13FFD">
        <w:rPr>
          <w:rFonts w:eastAsia="宋体" w:hint="eastAsia"/>
        </w:rPr>
        <w:t>原判认定的罪数不当的</w:t>
      </w:r>
      <w:r>
        <w:rPr>
          <w:rFonts w:eastAsia="宋体" w:hint="eastAsia"/>
        </w:rPr>
        <w:t>，</w:t>
      </w:r>
      <w:r w:rsidRPr="00A13FFD">
        <w:rPr>
          <w:rFonts w:eastAsia="宋体" w:hint="eastAsia"/>
          <w:color w:val="FF0000"/>
        </w:rPr>
        <w:t>可以改变罪数，并调整刑罚，但不得加重决定执行的刑罚或者对刑罚执行产生不利影响</w:t>
      </w:r>
      <w:r>
        <w:rPr>
          <w:rFonts w:eastAsia="宋体" w:hint="eastAsia"/>
          <w:color w:val="FF0000"/>
        </w:rPr>
        <w:t>。</w:t>
      </w:r>
    </w:p>
    <w:p w14:paraId="7C50A15B" w14:textId="77777777" w:rsidR="00E824F9" w:rsidRPr="00547096" w:rsidRDefault="00E824F9" w:rsidP="00E824F9">
      <w:pPr>
        <w:spacing w:line="240" w:lineRule="exact"/>
        <w:ind w:firstLine="420"/>
        <w:rPr>
          <w:rFonts w:eastAsia="宋体" w:hint="eastAsia"/>
          <w:color w:val="FF0000"/>
        </w:rPr>
      </w:pPr>
      <w:r w:rsidRPr="007E0D61">
        <w:rPr>
          <w:rFonts w:eastAsia="宋体" w:hint="eastAsia"/>
          <w:color w:val="auto"/>
        </w:rPr>
        <w:t>被告人或者其法定代理人、辩护人、近亲属提出上诉，人民检察院未提出抗诉的案件，第二审人民法院发回重新审判后，除有新的犯罪事实且人民检察院补充起诉的以外，原审人民法院不得加重被告人的刑罚。</w:t>
      </w:r>
      <w:r w:rsidRPr="00A13FFD">
        <w:rPr>
          <w:rFonts w:eastAsia="宋体" w:hint="eastAsia"/>
          <w:color w:val="FF0000"/>
        </w:rPr>
        <w:t>原审人民法院对上诉发回重新审判的案件依法作出判决后，人民检察院抗诉的，第二审人民法院不得改判为重于原审人民法院第一次判处的刑罚</w:t>
      </w:r>
    </w:p>
    <w:p w14:paraId="3C4B2D39" w14:textId="01D5EBB6" w:rsidR="00E824F9" w:rsidRPr="00A13FFD" w:rsidRDefault="00E824F9" w:rsidP="00E824F9">
      <w:pPr>
        <w:pStyle w:val="1"/>
        <w:spacing w:before="0" w:line="240" w:lineRule="auto"/>
        <w:rPr>
          <w:rFonts w:ascii="宋体" w:eastAsia="宋体" w:hAnsi="宋体" w:hint="eastAsia"/>
          <w:b/>
          <w:bCs w:val="0"/>
          <w:color w:val="auto"/>
          <w:sz w:val="22"/>
          <w:szCs w:val="22"/>
        </w:rPr>
      </w:pPr>
      <w:r w:rsidRPr="00A13FFD">
        <w:rPr>
          <w:rFonts w:ascii="宋体" w:eastAsia="宋体" w:hAnsi="宋体" w:hint="eastAsia"/>
          <w:b/>
          <w:bCs w:val="0"/>
          <w:color w:val="auto"/>
          <w:sz w:val="22"/>
          <w:szCs w:val="22"/>
        </w:rPr>
        <w:t>考点5</w:t>
      </w:r>
      <w:r>
        <w:rPr>
          <w:rFonts w:ascii="宋体" w:eastAsia="宋体" w:hAnsi="宋体" w:hint="eastAsia"/>
          <w:b/>
          <w:bCs w:val="0"/>
          <w:color w:val="auto"/>
          <w:sz w:val="22"/>
          <w:szCs w:val="22"/>
        </w:rPr>
        <w:t>1</w:t>
      </w:r>
      <w:r w:rsidRPr="00A13FFD">
        <w:rPr>
          <w:rFonts w:ascii="宋体" w:eastAsia="宋体" w:hAnsi="宋体" w:hint="eastAsia"/>
          <w:b/>
          <w:bCs w:val="0"/>
          <w:color w:val="auto"/>
          <w:sz w:val="22"/>
          <w:szCs w:val="22"/>
        </w:rPr>
        <w:t xml:space="preserve">  第二审程序的审理</w:t>
      </w:r>
      <w:bookmarkEnd w:id="0"/>
      <w:bookmarkEnd w:id="1"/>
      <w:bookmarkEnd w:id="2"/>
      <w:bookmarkEnd w:id="3"/>
      <w:r w:rsidRPr="00A13FFD">
        <w:rPr>
          <w:rFonts w:ascii="宋体" w:eastAsia="宋体" w:hAnsi="宋体" w:hint="eastAsia"/>
          <w:b/>
          <w:bCs w:val="0"/>
          <w:color w:val="auto"/>
          <w:sz w:val="22"/>
          <w:szCs w:val="22"/>
        </w:rPr>
        <w:t>（</w:t>
      </w:r>
      <w:r w:rsidR="004C1F70" w:rsidRPr="00033992">
        <w:rPr>
          <w:rFonts w:ascii="宋体" w:eastAsia="宋体" w:hAnsi="宋体" w:hint="eastAsia"/>
          <w:b/>
          <w:bCs w:val="0"/>
          <w:color w:val="auto"/>
          <w:sz w:val="21"/>
          <w:szCs w:val="21"/>
        </w:rPr>
        <w:t>22</w:t>
      </w:r>
      <w:r w:rsidR="004C1F70" w:rsidRPr="00033992">
        <w:rPr>
          <w:rFonts w:ascii="宋体" w:eastAsia="宋体" w:hAnsi="宋体"/>
          <w:b/>
          <w:bCs w:val="0"/>
          <w:color w:val="auto"/>
          <w:sz w:val="21"/>
          <w:szCs w:val="21"/>
        </w:rPr>
        <w:t>:</w:t>
      </w:r>
      <w:r w:rsidR="004C1F70" w:rsidRPr="00033992">
        <w:rPr>
          <w:rFonts w:ascii="宋体" w:eastAsia="宋体" w:hAnsi="宋体" w:hint="eastAsia"/>
          <w:b/>
          <w:bCs w:val="0"/>
          <w:color w:val="auto"/>
          <w:sz w:val="21"/>
          <w:szCs w:val="21"/>
        </w:rPr>
        <w:t>15</w:t>
      </w:r>
      <w:r w:rsidRPr="00033992">
        <w:rPr>
          <w:rFonts w:ascii="宋体" w:eastAsia="宋体" w:hAnsi="宋体"/>
          <w:b/>
          <w:bCs w:val="0"/>
          <w:color w:val="auto"/>
          <w:sz w:val="22"/>
          <w:szCs w:val="22"/>
        </w:rPr>
        <w:t>:00-2</w:t>
      </w:r>
      <w:r w:rsidR="00F72D61">
        <w:rPr>
          <w:rFonts w:ascii="宋体" w:eastAsia="宋体" w:hAnsi="宋体" w:hint="eastAsia"/>
          <w:b/>
          <w:bCs w:val="0"/>
          <w:color w:val="auto"/>
          <w:sz w:val="22"/>
          <w:szCs w:val="22"/>
        </w:rPr>
        <w:t>2</w:t>
      </w:r>
      <w:r w:rsidRPr="00A13FFD">
        <w:rPr>
          <w:rFonts w:ascii="宋体" w:eastAsia="宋体" w:hAnsi="宋体"/>
          <w:b/>
          <w:bCs w:val="0"/>
          <w:color w:val="auto"/>
          <w:sz w:val="22"/>
          <w:szCs w:val="22"/>
        </w:rPr>
        <w:t>:</w:t>
      </w:r>
      <w:r w:rsidR="00F72D61">
        <w:rPr>
          <w:rFonts w:ascii="宋体" w:eastAsia="宋体" w:hAnsi="宋体" w:hint="eastAsia"/>
          <w:b/>
          <w:bCs w:val="0"/>
          <w:color w:val="auto"/>
          <w:sz w:val="22"/>
          <w:szCs w:val="22"/>
        </w:rPr>
        <w:t>35</w:t>
      </w:r>
      <w:r w:rsidRPr="00A13FFD">
        <w:rPr>
          <w:rFonts w:ascii="宋体" w:eastAsia="宋体" w:hAnsi="宋体"/>
          <w:b/>
          <w:bCs w:val="0"/>
          <w:color w:val="auto"/>
          <w:sz w:val="22"/>
          <w:szCs w:val="22"/>
        </w:rPr>
        <w:t>:00）</w:t>
      </w:r>
    </w:p>
    <w:p w14:paraId="2B12C5A4" w14:textId="77777777" w:rsidR="00E824F9" w:rsidRPr="00A13FFD" w:rsidRDefault="00E824F9" w:rsidP="00E824F9">
      <w:pPr>
        <w:pStyle w:val="3"/>
        <w:spacing w:line="240" w:lineRule="auto"/>
        <w:ind w:firstLineChars="200" w:firstLine="420"/>
        <w:rPr>
          <w:rFonts w:eastAsia="宋体" w:hint="eastAsia"/>
          <w:sz w:val="21"/>
        </w:rPr>
      </w:pPr>
      <w:bookmarkStart w:id="18" w:name="_Toc510879135"/>
      <w:r w:rsidRPr="00A13FFD">
        <w:rPr>
          <w:rFonts w:eastAsia="宋体" w:hint="eastAsia"/>
          <w:sz w:val="21"/>
        </w:rPr>
        <w:t>一、上诉、抗诉的提起与撤回</w:t>
      </w:r>
    </w:p>
    <w:p w14:paraId="0A34E791" w14:textId="77777777" w:rsidR="00E824F9" w:rsidRPr="00A13FFD" w:rsidRDefault="00E824F9" w:rsidP="00E824F9">
      <w:pPr>
        <w:pStyle w:val="4"/>
        <w:spacing w:line="240" w:lineRule="auto"/>
        <w:ind w:firstLineChars="200" w:firstLine="420"/>
        <w:rPr>
          <w:rFonts w:ascii="宋体" w:eastAsia="宋体" w:hAnsi="宋体" w:hint="eastAsia"/>
          <w:sz w:val="21"/>
          <w:szCs w:val="21"/>
        </w:rPr>
      </w:pPr>
      <w:r w:rsidRPr="00A13FFD">
        <w:rPr>
          <w:rFonts w:ascii="宋体" w:eastAsia="宋体" w:hAnsi="宋体" w:hint="eastAsia"/>
          <w:sz w:val="21"/>
          <w:szCs w:val="21"/>
        </w:rPr>
        <w:t>（一）上诉</w:t>
      </w:r>
    </w:p>
    <w:p w14:paraId="2AA467FD" w14:textId="77777777" w:rsidR="00E824F9" w:rsidRPr="00A13FFD" w:rsidRDefault="00E824F9" w:rsidP="00E824F9">
      <w:pPr>
        <w:tabs>
          <w:tab w:val="clear" w:pos="420"/>
        </w:tabs>
        <w:spacing w:line="240" w:lineRule="auto"/>
        <w:ind w:firstLine="420"/>
        <w:jc w:val="left"/>
        <w:rPr>
          <w:rFonts w:eastAsia="宋体" w:cs="汉仪中黑简" w:hint="eastAsia"/>
          <w:bCs/>
          <w:kern w:val="44"/>
        </w:rPr>
      </w:pPr>
      <w:r w:rsidRPr="00A13FFD">
        <w:rPr>
          <w:rFonts w:eastAsia="宋体" w:cs="汉仪中黑简" w:hint="eastAsia"/>
          <w:bCs/>
          <w:kern w:val="44"/>
        </w:rPr>
        <w:t>1．上诉人的范围</w:t>
      </w:r>
    </w:p>
    <w:p w14:paraId="0036253D" w14:textId="77777777" w:rsidR="00E824F9" w:rsidRPr="00752C68" w:rsidRDefault="00E824F9" w:rsidP="00E824F9">
      <w:pPr>
        <w:widowControl/>
        <w:spacing w:line="240" w:lineRule="auto"/>
        <w:ind w:firstLine="412"/>
        <w:jc w:val="left"/>
        <w:rPr>
          <w:rFonts w:eastAsia="宋体" w:hint="eastAsia"/>
          <w:b/>
          <w:bCs/>
          <w:color w:val="FF0000"/>
          <w:spacing w:val="-2"/>
        </w:rPr>
      </w:pPr>
      <w:r w:rsidRPr="00A13FFD">
        <w:rPr>
          <w:rFonts w:eastAsia="宋体" w:hint="eastAsia"/>
          <w:spacing w:val="-2"/>
        </w:rPr>
        <w:t>法院在宣告第一审判决、裁定时，应当告知</w:t>
      </w:r>
      <w:r w:rsidRPr="00752C68">
        <w:rPr>
          <w:rFonts w:eastAsia="宋体" w:hint="eastAsia"/>
          <w:b/>
          <w:bCs/>
          <w:color w:val="FF0000"/>
          <w:spacing w:val="-2"/>
        </w:rPr>
        <w:t>被告人、自诉人及其法定代理人</w:t>
      </w:r>
      <w:r w:rsidRPr="00752C68">
        <w:rPr>
          <w:rFonts w:eastAsia="宋体" w:hint="eastAsia"/>
          <w:b/>
          <w:bCs/>
          <w:spacing w:val="-2"/>
        </w:rPr>
        <w:t>不服</w:t>
      </w:r>
      <w:r w:rsidRPr="00752C68">
        <w:rPr>
          <w:rFonts w:eastAsia="宋体" w:hint="eastAsia"/>
          <w:b/>
          <w:bCs/>
          <w:color w:val="FF0000"/>
          <w:spacing w:val="-2"/>
        </w:rPr>
        <w:t>判决和准许撤回起诉、终止审理等裁定</w:t>
      </w:r>
      <w:r w:rsidRPr="00A13FFD">
        <w:rPr>
          <w:rFonts w:eastAsia="宋体" w:hint="eastAsia"/>
          <w:spacing w:val="-2"/>
        </w:rPr>
        <w:t>的，有权在法定期限内以书面或者口头形式，</w:t>
      </w:r>
      <w:r w:rsidRPr="00752C68">
        <w:rPr>
          <w:rFonts w:eastAsia="宋体" w:hint="eastAsia"/>
          <w:b/>
          <w:bCs/>
          <w:color w:val="FF0000"/>
          <w:spacing w:val="-2"/>
        </w:rPr>
        <w:t>通过本院或者直接向上一级人民法院提出上诉</w:t>
      </w:r>
      <w:r w:rsidRPr="00752C68">
        <w:rPr>
          <w:rFonts w:eastAsia="宋体" w:hint="eastAsia"/>
          <w:b/>
          <w:bCs/>
          <w:spacing w:val="-2"/>
        </w:rPr>
        <w:t>；</w:t>
      </w:r>
      <w:r w:rsidRPr="00752C68">
        <w:rPr>
          <w:rFonts w:eastAsia="宋体" w:hint="eastAsia"/>
          <w:b/>
          <w:bCs/>
          <w:color w:val="FF0000"/>
          <w:spacing w:val="-2"/>
        </w:rPr>
        <w:t>被告人的辩护人、近亲属经被告人同意</w:t>
      </w:r>
      <w:r w:rsidRPr="00A13FFD">
        <w:rPr>
          <w:rFonts w:eastAsia="宋体" w:hint="eastAsia"/>
          <w:spacing w:val="-2"/>
        </w:rPr>
        <w:t>，也可以提出上诉；</w:t>
      </w:r>
      <w:r w:rsidRPr="00752C68">
        <w:rPr>
          <w:rFonts w:eastAsia="宋体" w:hint="eastAsia"/>
          <w:b/>
          <w:bCs/>
          <w:color w:val="FF0000"/>
          <w:spacing w:val="-2"/>
        </w:rPr>
        <w:t>附带民事诉讼当事人及其法定代理人</w:t>
      </w:r>
      <w:r w:rsidRPr="00752C68">
        <w:rPr>
          <w:rFonts w:eastAsia="宋体" w:hint="eastAsia"/>
          <w:b/>
          <w:bCs/>
          <w:spacing w:val="-2"/>
        </w:rPr>
        <w:t>，可以</w:t>
      </w:r>
      <w:r w:rsidRPr="00752C68">
        <w:rPr>
          <w:rFonts w:eastAsia="宋体" w:hint="eastAsia"/>
          <w:b/>
          <w:bCs/>
          <w:color w:val="FF0000"/>
          <w:spacing w:val="-2"/>
        </w:rPr>
        <w:t>对判决、裁定中的附带民事部分提出上诉。</w:t>
      </w:r>
    </w:p>
    <w:p w14:paraId="383F3DD9" w14:textId="77777777" w:rsidR="00E824F9" w:rsidRPr="00A13FFD" w:rsidRDefault="00E824F9" w:rsidP="00E824F9">
      <w:pPr>
        <w:tabs>
          <w:tab w:val="clear" w:pos="420"/>
        </w:tabs>
        <w:spacing w:line="240" w:lineRule="auto"/>
        <w:ind w:firstLine="420"/>
        <w:jc w:val="left"/>
        <w:rPr>
          <w:rFonts w:eastAsia="宋体" w:cs="汉仪中黑简" w:hint="eastAsia"/>
          <w:bCs/>
          <w:kern w:val="44"/>
        </w:rPr>
      </w:pPr>
      <w:r w:rsidRPr="00A13FFD">
        <w:rPr>
          <w:rFonts w:eastAsia="宋体" w:cs="汉仪中黑简" w:hint="eastAsia"/>
          <w:bCs/>
          <w:kern w:val="44"/>
        </w:rPr>
        <w:t>2．上诉的期限</w:t>
      </w:r>
    </w:p>
    <w:p w14:paraId="6D347982" w14:textId="77777777" w:rsidR="00E824F9" w:rsidRPr="00A13FFD" w:rsidRDefault="00E824F9" w:rsidP="00E824F9">
      <w:pPr>
        <w:widowControl/>
        <w:spacing w:line="240" w:lineRule="auto"/>
        <w:ind w:firstLine="422"/>
        <w:rPr>
          <w:rFonts w:eastAsia="宋体" w:hint="eastAsia"/>
        </w:rPr>
      </w:pPr>
      <w:r w:rsidRPr="00752C68">
        <w:rPr>
          <w:rFonts w:eastAsia="宋体" w:hint="eastAsia"/>
          <w:b/>
          <w:bCs/>
          <w:color w:val="FF0000"/>
        </w:rPr>
        <w:t>判决（包括附带民事诉讼部分）为十日，裁定为五日。</w:t>
      </w:r>
      <w:r w:rsidRPr="00A13FFD">
        <w:rPr>
          <w:rFonts w:eastAsia="宋体" w:hint="eastAsia"/>
        </w:rPr>
        <w:t>上诉、抗诉的期限，从接到判决书、裁定书的第二日起计算。被告人、自诉人、附带民事诉讼当事人及其法定代理人是否提出上诉，以其在上诉期满前最后一次的意思表示为准。</w:t>
      </w:r>
    </w:p>
    <w:p w14:paraId="112669FD" w14:textId="77777777" w:rsidR="00E824F9" w:rsidRPr="00A13FFD" w:rsidRDefault="00E824F9" w:rsidP="00E824F9">
      <w:pPr>
        <w:tabs>
          <w:tab w:val="clear" w:pos="420"/>
        </w:tabs>
        <w:spacing w:line="240" w:lineRule="auto"/>
        <w:ind w:firstLine="420"/>
        <w:jc w:val="left"/>
        <w:rPr>
          <w:rFonts w:eastAsia="宋体" w:cs="汉仪中黑简" w:hint="eastAsia"/>
          <w:bCs/>
          <w:kern w:val="44"/>
        </w:rPr>
      </w:pPr>
      <w:r w:rsidRPr="00A13FFD">
        <w:rPr>
          <w:rFonts w:eastAsia="宋体" w:cs="汉仪中黑简" w:hint="eastAsia"/>
          <w:bCs/>
          <w:kern w:val="44"/>
        </w:rPr>
        <w:t>3．上诉的撤回</w:t>
      </w:r>
    </w:p>
    <w:p w14:paraId="09BCC8D5" w14:textId="77777777" w:rsidR="00E824F9" w:rsidRPr="00A13FFD" w:rsidRDefault="00E824F9" w:rsidP="00E824F9">
      <w:pPr>
        <w:widowControl/>
        <w:spacing w:line="240" w:lineRule="auto"/>
        <w:ind w:firstLine="420"/>
        <w:rPr>
          <w:rFonts w:eastAsia="宋体" w:hint="eastAsia"/>
        </w:rPr>
      </w:pPr>
      <w:r w:rsidRPr="00A13FFD">
        <w:rPr>
          <w:rFonts w:eastAsia="宋体" w:hint="eastAsia"/>
        </w:rPr>
        <w:t>（1）上诉人在</w:t>
      </w:r>
      <w:r w:rsidRPr="00752C68">
        <w:rPr>
          <w:rFonts w:eastAsia="宋体" w:hint="eastAsia"/>
          <w:b/>
          <w:bCs/>
          <w:color w:val="FF0000"/>
        </w:rPr>
        <w:t>上诉期限内</w:t>
      </w:r>
      <w:r w:rsidRPr="00A13FFD">
        <w:rPr>
          <w:rFonts w:eastAsia="宋体" w:hint="eastAsia"/>
        </w:rPr>
        <w:t>要求撤回上诉的，人民法院应当准许。</w:t>
      </w:r>
    </w:p>
    <w:p w14:paraId="2A715684" w14:textId="77777777" w:rsidR="00E824F9" w:rsidRPr="00A13FFD" w:rsidRDefault="00E824F9" w:rsidP="00E824F9">
      <w:pPr>
        <w:widowControl/>
        <w:spacing w:line="240" w:lineRule="auto"/>
        <w:ind w:firstLine="420"/>
        <w:rPr>
          <w:rFonts w:eastAsia="宋体" w:hint="eastAsia"/>
        </w:rPr>
      </w:pPr>
      <w:r w:rsidRPr="00A13FFD">
        <w:rPr>
          <w:rFonts w:eastAsia="宋体" w:hint="eastAsia"/>
        </w:rPr>
        <w:t>（2）上诉人在</w:t>
      </w:r>
      <w:r w:rsidRPr="00752C68">
        <w:rPr>
          <w:rFonts w:eastAsia="宋体" w:hint="eastAsia"/>
          <w:b/>
          <w:bCs/>
          <w:color w:val="FF0000"/>
        </w:rPr>
        <w:t>上诉期满后</w:t>
      </w:r>
      <w:r w:rsidRPr="00A13FFD">
        <w:rPr>
          <w:rFonts w:eastAsia="宋体" w:hint="eastAsia"/>
        </w:rPr>
        <w:t>要求撤回上诉的，第二审人民法院经审查，认为原判认定事实和适用法律正确，量刑适当的，应当裁定准许；认为原判确有错误的，应当不予准许，继续按照上诉案件审理。</w:t>
      </w:r>
    </w:p>
    <w:p w14:paraId="5910D633" w14:textId="77777777" w:rsidR="00E824F9" w:rsidRPr="00A13FFD" w:rsidRDefault="00E824F9" w:rsidP="00E824F9">
      <w:pPr>
        <w:widowControl/>
        <w:spacing w:line="240" w:lineRule="auto"/>
        <w:ind w:firstLine="420"/>
        <w:rPr>
          <w:rFonts w:eastAsia="宋体" w:hint="eastAsia"/>
        </w:rPr>
      </w:pPr>
      <w:r w:rsidRPr="00A13FFD">
        <w:rPr>
          <w:rFonts w:eastAsia="宋体" w:hint="eastAsia"/>
        </w:rPr>
        <w:t>（3）被判处</w:t>
      </w:r>
      <w:r w:rsidRPr="00752C68">
        <w:rPr>
          <w:rFonts w:eastAsia="宋体" w:hint="eastAsia"/>
          <w:b/>
          <w:bCs/>
          <w:color w:val="FF0000"/>
        </w:rPr>
        <w:t>死刑立即执行的被告人提出上诉</w:t>
      </w:r>
      <w:r w:rsidRPr="00A13FFD">
        <w:rPr>
          <w:rFonts w:eastAsia="宋体" w:hint="eastAsia"/>
        </w:rPr>
        <w:t>，在第二审开庭后宣告裁判前申请撤回上诉的，应当不予准许，继续按照上诉案件审理。</w:t>
      </w:r>
    </w:p>
    <w:p w14:paraId="75F650F8" w14:textId="77777777" w:rsidR="00E824F9" w:rsidRPr="00A13FFD" w:rsidRDefault="00E824F9" w:rsidP="00E824F9">
      <w:pPr>
        <w:pStyle w:val="4"/>
        <w:spacing w:line="240" w:lineRule="auto"/>
        <w:ind w:firstLineChars="200" w:firstLine="420"/>
        <w:rPr>
          <w:rFonts w:ascii="宋体" w:eastAsia="宋体" w:hAnsi="宋体" w:hint="eastAsia"/>
          <w:sz w:val="21"/>
          <w:szCs w:val="21"/>
        </w:rPr>
      </w:pPr>
      <w:r w:rsidRPr="00A13FFD">
        <w:rPr>
          <w:rFonts w:ascii="宋体" w:eastAsia="宋体" w:hAnsi="宋体" w:hint="eastAsia"/>
          <w:sz w:val="21"/>
          <w:szCs w:val="21"/>
        </w:rPr>
        <w:t>（二）抗诉</w:t>
      </w:r>
    </w:p>
    <w:p w14:paraId="058D3042" w14:textId="77777777" w:rsidR="00E824F9" w:rsidRPr="00A13FFD" w:rsidRDefault="00E824F9" w:rsidP="00E824F9">
      <w:pPr>
        <w:tabs>
          <w:tab w:val="clear" w:pos="420"/>
        </w:tabs>
        <w:spacing w:line="240" w:lineRule="auto"/>
        <w:ind w:firstLine="420"/>
        <w:jc w:val="left"/>
        <w:rPr>
          <w:rFonts w:eastAsia="宋体" w:cs="汉仪中黑简" w:hint="eastAsia"/>
          <w:bCs/>
          <w:kern w:val="44"/>
        </w:rPr>
      </w:pPr>
      <w:r w:rsidRPr="00A13FFD">
        <w:rPr>
          <w:rFonts w:eastAsia="宋体" w:cs="汉仪中黑简" w:hint="eastAsia"/>
          <w:bCs/>
          <w:kern w:val="44"/>
        </w:rPr>
        <w:t>1．二审抗诉的主体</w:t>
      </w:r>
    </w:p>
    <w:p w14:paraId="148118B0" w14:textId="77777777" w:rsidR="00E824F9" w:rsidRPr="00A13FFD" w:rsidRDefault="00E824F9" w:rsidP="00E824F9">
      <w:pPr>
        <w:widowControl/>
        <w:spacing w:line="240" w:lineRule="auto"/>
        <w:ind w:firstLine="422"/>
        <w:rPr>
          <w:rFonts w:eastAsia="宋体" w:hint="eastAsia"/>
        </w:rPr>
      </w:pPr>
      <w:r w:rsidRPr="00752C68">
        <w:rPr>
          <w:rFonts w:eastAsia="宋体" w:hint="eastAsia"/>
          <w:b/>
          <w:bCs/>
          <w:color w:val="FF0000"/>
        </w:rPr>
        <w:t>一审法院的同级人民检察院</w:t>
      </w:r>
      <w:r w:rsidRPr="00752C68">
        <w:rPr>
          <w:rFonts w:eastAsia="宋体" w:hint="eastAsia"/>
          <w:b/>
          <w:bCs/>
        </w:rPr>
        <w:t>，应当</w:t>
      </w:r>
      <w:r w:rsidRPr="00752C68">
        <w:rPr>
          <w:rFonts w:eastAsia="宋体" w:hint="eastAsia"/>
          <w:b/>
          <w:bCs/>
          <w:color w:val="FF0000"/>
        </w:rPr>
        <w:t>通过第一审人民法院提交抗诉书</w:t>
      </w:r>
      <w:r w:rsidRPr="00752C68">
        <w:rPr>
          <w:rFonts w:eastAsia="宋体" w:hint="eastAsia"/>
          <w:b/>
          <w:bCs/>
        </w:rPr>
        <w:t>。（</w:t>
      </w:r>
      <w:r w:rsidRPr="00752C68">
        <w:rPr>
          <w:rFonts w:eastAsia="宋体" w:hint="eastAsia"/>
          <w:b/>
          <w:bCs/>
          <w:color w:val="FF0000"/>
        </w:rPr>
        <w:t>注意：</w:t>
      </w:r>
      <w:r w:rsidRPr="00A13FFD">
        <w:rPr>
          <w:rFonts w:eastAsia="宋体" w:hint="eastAsia"/>
        </w:rPr>
        <w:t>上级人民检察院认为应当抗诉的，</w:t>
      </w:r>
      <w:r w:rsidRPr="00752C68">
        <w:rPr>
          <w:rFonts w:eastAsia="宋体" w:hint="eastAsia"/>
          <w:b/>
          <w:bCs/>
          <w:color w:val="FF0000"/>
        </w:rPr>
        <w:t>只能指令一审法院的同级人民检察院在抗诉期内提起抗诉，不能直接提起二审抗诉</w:t>
      </w:r>
      <w:r w:rsidRPr="00A13FFD">
        <w:rPr>
          <w:rFonts w:eastAsia="宋体" w:hint="eastAsia"/>
        </w:rPr>
        <w:t>。对已经提起的抗诉，认为不当的，直接向二审法院撤回）</w:t>
      </w:r>
    </w:p>
    <w:p w14:paraId="379CE111" w14:textId="77777777" w:rsidR="00E824F9" w:rsidRPr="00A13FFD" w:rsidRDefault="00E824F9" w:rsidP="00E824F9">
      <w:pPr>
        <w:tabs>
          <w:tab w:val="clear" w:pos="420"/>
        </w:tabs>
        <w:spacing w:line="240" w:lineRule="auto"/>
        <w:ind w:firstLine="420"/>
        <w:jc w:val="left"/>
        <w:rPr>
          <w:rFonts w:eastAsia="宋体" w:cs="汉仪中黑简" w:hint="eastAsia"/>
          <w:bCs/>
          <w:kern w:val="44"/>
        </w:rPr>
      </w:pPr>
      <w:r w:rsidRPr="00A13FFD">
        <w:rPr>
          <w:rFonts w:eastAsia="宋体" w:cs="汉仪中黑简" w:hint="eastAsia"/>
          <w:bCs/>
          <w:kern w:val="44"/>
        </w:rPr>
        <w:lastRenderedPageBreak/>
        <w:t>2．抗诉的撤回</w:t>
      </w:r>
    </w:p>
    <w:p w14:paraId="18732DCF" w14:textId="77777777" w:rsidR="00E824F9" w:rsidRPr="005C5EFA" w:rsidRDefault="00E824F9" w:rsidP="00E824F9">
      <w:pPr>
        <w:widowControl/>
        <w:spacing w:line="240" w:lineRule="auto"/>
        <w:ind w:firstLine="420"/>
        <w:rPr>
          <w:rFonts w:eastAsia="宋体" w:hint="eastAsia"/>
        </w:rPr>
      </w:pPr>
      <w:r w:rsidRPr="00A13FFD">
        <w:rPr>
          <w:rFonts w:eastAsia="宋体" w:hint="eastAsia"/>
        </w:rPr>
        <w:t>（1）人民检察院在</w:t>
      </w:r>
      <w:r w:rsidRPr="00752C68">
        <w:rPr>
          <w:rFonts w:eastAsia="宋体" w:hint="eastAsia"/>
          <w:b/>
          <w:bCs/>
          <w:color w:val="FF0000"/>
        </w:rPr>
        <w:t>抗诉期限内</w:t>
      </w:r>
      <w:r w:rsidRPr="00A13FFD">
        <w:rPr>
          <w:rFonts w:eastAsia="宋体" w:hint="eastAsia"/>
        </w:rPr>
        <w:t>要求撤回抗诉的，</w:t>
      </w:r>
      <w:r w:rsidRPr="00752C68">
        <w:rPr>
          <w:rFonts w:eastAsia="宋体" w:hint="eastAsia"/>
          <w:b/>
          <w:bCs/>
          <w:color w:val="FF0000"/>
        </w:rPr>
        <w:t>人民法院应当准许。</w:t>
      </w:r>
      <w:r w:rsidRPr="00A13FFD">
        <w:rPr>
          <w:rFonts w:eastAsia="宋体" w:hint="eastAsia"/>
        </w:rPr>
        <w:t>（2）人民检察院在</w:t>
      </w:r>
      <w:r w:rsidRPr="00752C68">
        <w:rPr>
          <w:rFonts w:eastAsia="宋体" w:hint="eastAsia"/>
          <w:b/>
          <w:bCs/>
          <w:color w:val="FF0000"/>
        </w:rPr>
        <w:t>抗诉期满后</w:t>
      </w:r>
      <w:r w:rsidRPr="00A13FFD">
        <w:rPr>
          <w:rFonts w:eastAsia="宋体" w:hint="eastAsia"/>
        </w:rPr>
        <w:t>要求撤回抗诉的，第二审人民法院可以裁定准许，</w:t>
      </w:r>
      <w:r w:rsidRPr="00752C68">
        <w:rPr>
          <w:rFonts w:eastAsia="宋体" w:hint="eastAsia"/>
          <w:b/>
          <w:bCs/>
          <w:color w:val="FF0000"/>
        </w:rPr>
        <w:t>但是认为原判存在将无罪判为有罪、轻罪重判等情形的，应当不予准许，继续审理。</w:t>
      </w:r>
      <w:r w:rsidRPr="00A13FFD">
        <w:rPr>
          <w:rFonts w:eastAsia="宋体" w:hint="eastAsia"/>
        </w:rPr>
        <w:t>上级人民检察院认为下级人民检察院抗诉不当，向第二审人民法院要求撤回抗诉的，适用前述规定。</w:t>
      </w:r>
      <w:bookmarkEnd w:id="4"/>
      <w:bookmarkEnd w:id="5"/>
      <w:bookmarkEnd w:id="6"/>
      <w:bookmarkEnd w:id="7"/>
      <w:bookmarkEnd w:id="8"/>
      <w:bookmarkEnd w:id="18"/>
    </w:p>
    <w:sectPr w:rsidR="00E824F9" w:rsidRPr="005C5EF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DB27" w14:textId="77777777" w:rsidR="00FF0A58" w:rsidRDefault="00FF0A58" w:rsidP="000D780A">
      <w:pPr>
        <w:spacing w:line="240" w:lineRule="auto"/>
        <w:ind w:firstLine="420"/>
        <w:rPr>
          <w:rFonts w:hint="eastAsia"/>
        </w:rPr>
      </w:pPr>
      <w:r>
        <w:separator/>
      </w:r>
    </w:p>
  </w:endnote>
  <w:endnote w:type="continuationSeparator" w:id="0">
    <w:p w14:paraId="14441155" w14:textId="77777777" w:rsidR="00FF0A58" w:rsidRDefault="00FF0A58" w:rsidP="000D780A">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黑体"/>
    <w:charset w:val="86"/>
    <w:family w:val="modern"/>
    <w:pitch w:val="fixed"/>
    <w:sig w:usb0="00000001" w:usb1="080E0800" w:usb2="00000012" w:usb3="00000000" w:csb0="00040000" w:csb1="00000000"/>
  </w:font>
  <w:font w:name="汉仪中黑简">
    <w:altName w:val="黑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书宋一简">
    <w:altName w:val="宋体"/>
    <w:charset w:val="86"/>
    <w:family w:val="modern"/>
    <w:pitch w:val="fixed"/>
    <w:sig w:usb0="00000001" w:usb1="080E0800" w:usb2="00000012"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305A" w14:textId="77777777" w:rsidR="00A13FFD" w:rsidRDefault="00A13FFD">
    <w:pPr>
      <w:pStyle w:val="ad"/>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D162" w14:textId="77777777" w:rsidR="00A13FFD" w:rsidRDefault="00A13FFD">
    <w:pPr>
      <w:pStyle w:val="ad"/>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9CCD" w14:textId="77777777" w:rsidR="00A13FFD" w:rsidRDefault="00A13FFD">
    <w:pPr>
      <w:pStyle w:val="ad"/>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2156A" w14:textId="77777777" w:rsidR="00FF0A58" w:rsidRDefault="00FF0A58" w:rsidP="000D780A">
      <w:pPr>
        <w:spacing w:line="240" w:lineRule="auto"/>
        <w:ind w:firstLine="420"/>
        <w:rPr>
          <w:rFonts w:hint="eastAsia"/>
        </w:rPr>
      </w:pPr>
      <w:r>
        <w:separator/>
      </w:r>
    </w:p>
  </w:footnote>
  <w:footnote w:type="continuationSeparator" w:id="0">
    <w:p w14:paraId="5381AC8D" w14:textId="77777777" w:rsidR="00FF0A58" w:rsidRDefault="00FF0A58" w:rsidP="000D780A">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7016" w14:textId="77777777" w:rsidR="00A13FFD" w:rsidRDefault="00A13FFD">
    <w:pPr>
      <w:pStyle w:val="af"/>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E50" w14:textId="3CE7CF84" w:rsidR="00A13FFD" w:rsidRDefault="00847154" w:rsidP="00847154">
    <w:pPr>
      <w:pStyle w:val="af"/>
      <w:ind w:firstLineChars="0" w:firstLine="0"/>
      <w:rPr>
        <w:rFonts w:hint="eastAsia"/>
      </w:rPr>
    </w:pPr>
    <w:r>
      <w:rPr>
        <w:rFonts w:hint="eastAsia"/>
      </w:rPr>
      <w:t>桑磊法考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1907" w14:textId="77777777" w:rsidR="00A13FFD" w:rsidRDefault="00A13FFD">
    <w:pPr>
      <w:pStyle w:val="af"/>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37D05"/>
    <w:multiLevelType w:val="multilevel"/>
    <w:tmpl w:val="35E37D0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2C53EC8"/>
    <w:multiLevelType w:val="hybridMultilevel"/>
    <w:tmpl w:val="4380D30E"/>
    <w:lvl w:ilvl="0" w:tplc="149E4D34">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239142358">
    <w:abstractNumId w:val="0"/>
  </w:num>
  <w:num w:numId="2" w16cid:durableId="141704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0A"/>
    <w:rsid w:val="00007D3A"/>
    <w:rsid w:val="000216AD"/>
    <w:rsid w:val="00030C16"/>
    <w:rsid w:val="00033992"/>
    <w:rsid w:val="00055F61"/>
    <w:rsid w:val="00087634"/>
    <w:rsid w:val="00090247"/>
    <w:rsid w:val="000B3C6C"/>
    <w:rsid w:val="000D780A"/>
    <w:rsid w:val="000F5C41"/>
    <w:rsid w:val="001034DE"/>
    <w:rsid w:val="0010530A"/>
    <w:rsid w:val="00125E09"/>
    <w:rsid w:val="00182462"/>
    <w:rsid w:val="001C2FAD"/>
    <w:rsid w:val="001C42B5"/>
    <w:rsid w:val="001D16A0"/>
    <w:rsid w:val="001F3CED"/>
    <w:rsid w:val="002028E6"/>
    <w:rsid w:val="00240F2E"/>
    <w:rsid w:val="00254D12"/>
    <w:rsid w:val="0025669B"/>
    <w:rsid w:val="00276458"/>
    <w:rsid w:val="00285A54"/>
    <w:rsid w:val="00295E54"/>
    <w:rsid w:val="002963C8"/>
    <w:rsid w:val="002A3B65"/>
    <w:rsid w:val="002F16FB"/>
    <w:rsid w:val="003241A8"/>
    <w:rsid w:val="00326F9D"/>
    <w:rsid w:val="00340DCA"/>
    <w:rsid w:val="00350EB7"/>
    <w:rsid w:val="0035526D"/>
    <w:rsid w:val="003729CC"/>
    <w:rsid w:val="00375088"/>
    <w:rsid w:val="00375894"/>
    <w:rsid w:val="003955F9"/>
    <w:rsid w:val="003C2CA3"/>
    <w:rsid w:val="003E4348"/>
    <w:rsid w:val="003F1E2D"/>
    <w:rsid w:val="00413EAE"/>
    <w:rsid w:val="00414144"/>
    <w:rsid w:val="00426029"/>
    <w:rsid w:val="004402C3"/>
    <w:rsid w:val="00466104"/>
    <w:rsid w:val="004864C1"/>
    <w:rsid w:val="004B0558"/>
    <w:rsid w:val="004C1F70"/>
    <w:rsid w:val="004C5978"/>
    <w:rsid w:val="004E37EC"/>
    <w:rsid w:val="004E6DB4"/>
    <w:rsid w:val="00513824"/>
    <w:rsid w:val="00557E5B"/>
    <w:rsid w:val="005C5EFA"/>
    <w:rsid w:val="005D36E4"/>
    <w:rsid w:val="00636B32"/>
    <w:rsid w:val="0064053D"/>
    <w:rsid w:val="00640B76"/>
    <w:rsid w:val="00650838"/>
    <w:rsid w:val="006915AD"/>
    <w:rsid w:val="006A2691"/>
    <w:rsid w:val="006A6609"/>
    <w:rsid w:val="006B1966"/>
    <w:rsid w:val="006B2A0F"/>
    <w:rsid w:val="006E2445"/>
    <w:rsid w:val="006F1F16"/>
    <w:rsid w:val="00705172"/>
    <w:rsid w:val="007070E6"/>
    <w:rsid w:val="00711446"/>
    <w:rsid w:val="007A7570"/>
    <w:rsid w:val="007D0F18"/>
    <w:rsid w:val="007E0D61"/>
    <w:rsid w:val="00802B14"/>
    <w:rsid w:val="0081441D"/>
    <w:rsid w:val="00842252"/>
    <w:rsid w:val="00847154"/>
    <w:rsid w:val="00872101"/>
    <w:rsid w:val="00897D82"/>
    <w:rsid w:val="008A67B8"/>
    <w:rsid w:val="009014C2"/>
    <w:rsid w:val="009722DA"/>
    <w:rsid w:val="0097625E"/>
    <w:rsid w:val="009865CF"/>
    <w:rsid w:val="009976EA"/>
    <w:rsid w:val="009B4DAE"/>
    <w:rsid w:val="009D40E2"/>
    <w:rsid w:val="009F0E55"/>
    <w:rsid w:val="00A13FFD"/>
    <w:rsid w:val="00A3389F"/>
    <w:rsid w:val="00A37E64"/>
    <w:rsid w:val="00A40B82"/>
    <w:rsid w:val="00A51BAF"/>
    <w:rsid w:val="00AA512B"/>
    <w:rsid w:val="00AA7F66"/>
    <w:rsid w:val="00AE0BCC"/>
    <w:rsid w:val="00AF1E1F"/>
    <w:rsid w:val="00B53C0C"/>
    <w:rsid w:val="00B66B3E"/>
    <w:rsid w:val="00B957C3"/>
    <w:rsid w:val="00B9691C"/>
    <w:rsid w:val="00BA42DA"/>
    <w:rsid w:val="00BB01B4"/>
    <w:rsid w:val="00BC5765"/>
    <w:rsid w:val="00BD5A82"/>
    <w:rsid w:val="00BE5E2F"/>
    <w:rsid w:val="00BF3A98"/>
    <w:rsid w:val="00C1036D"/>
    <w:rsid w:val="00C337A9"/>
    <w:rsid w:val="00C675F1"/>
    <w:rsid w:val="00CB309D"/>
    <w:rsid w:val="00CB4FAA"/>
    <w:rsid w:val="00CC5A26"/>
    <w:rsid w:val="00D07AD5"/>
    <w:rsid w:val="00D63A6C"/>
    <w:rsid w:val="00D80CA6"/>
    <w:rsid w:val="00DE0C0F"/>
    <w:rsid w:val="00E00605"/>
    <w:rsid w:val="00E1601E"/>
    <w:rsid w:val="00E574AC"/>
    <w:rsid w:val="00E824F9"/>
    <w:rsid w:val="00EB56EE"/>
    <w:rsid w:val="00EF752F"/>
    <w:rsid w:val="00F053F2"/>
    <w:rsid w:val="00F113A6"/>
    <w:rsid w:val="00F31283"/>
    <w:rsid w:val="00F33FC0"/>
    <w:rsid w:val="00F36BB8"/>
    <w:rsid w:val="00F72D61"/>
    <w:rsid w:val="00F91CA2"/>
    <w:rsid w:val="00FB7B64"/>
    <w:rsid w:val="00FD6CEB"/>
    <w:rsid w:val="00FF0A58"/>
    <w:rsid w:val="00FF31E1"/>
    <w:rsid w:val="00FF3E76"/>
    <w:rsid w:val="00FF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03B52"/>
  <w15:chartTrackingRefBased/>
  <w15:docId w15:val="{C6BB0630-4183-431A-A40C-6C8C75D6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80A"/>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basedOn w:val="a"/>
    <w:next w:val="a"/>
    <w:link w:val="10"/>
    <w:uiPriority w:val="9"/>
    <w:qFormat/>
    <w:rsid w:val="000D780A"/>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iPriority w:val="9"/>
    <w:unhideWhenUsed/>
    <w:qFormat/>
    <w:rsid w:val="000D780A"/>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0D780A"/>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0D780A"/>
    <w:pPr>
      <w:keepNext/>
      <w:keepLines/>
      <w:ind w:firstLineChars="0" w:firstLine="0"/>
      <w:jc w:val="left"/>
      <w:outlineLvl w:val="3"/>
    </w:pPr>
    <w:rPr>
      <w:rFonts w:asciiTheme="majorHAnsi" w:eastAsia="汉仪大宋简" w:hAnsiTheme="majorHAnsi" w:cstheme="majorBidi"/>
      <w:bCs/>
      <w:sz w:val="24"/>
      <w:szCs w:val="28"/>
    </w:rPr>
  </w:style>
  <w:style w:type="paragraph" w:styleId="5">
    <w:name w:val="heading 5"/>
    <w:basedOn w:val="a"/>
    <w:next w:val="a"/>
    <w:link w:val="50"/>
    <w:uiPriority w:val="9"/>
    <w:unhideWhenUsed/>
    <w:qFormat/>
    <w:rsid w:val="000D780A"/>
    <w:pPr>
      <w:keepNext/>
      <w:keepLines/>
      <w:outlineLvl w:val="4"/>
    </w:pPr>
    <w:rPr>
      <w:rFonts w:eastAsia="汉仪中黑简"/>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D780A"/>
    <w:rPr>
      <w:rFonts w:ascii="汉仪大宋简" w:eastAsia="汉仪大宋简" w:hAnsi="汉仪大宋简" w:cs="宋体"/>
      <w:bCs/>
      <w:color w:val="000000" w:themeColor="text1"/>
      <w:kern w:val="44"/>
      <w:sz w:val="44"/>
      <w:szCs w:val="44"/>
    </w:rPr>
  </w:style>
  <w:style w:type="character" w:customStyle="1" w:styleId="20">
    <w:name w:val="标题 2 字符"/>
    <w:basedOn w:val="a0"/>
    <w:link w:val="2"/>
    <w:uiPriority w:val="9"/>
    <w:qFormat/>
    <w:rsid w:val="000D780A"/>
    <w:rPr>
      <w:rFonts w:asciiTheme="majorHAnsi" w:eastAsia="汉仪大黑简" w:hAnsiTheme="majorHAnsi" w:cstheme="majorBidi"/>
      <w:bCs/>
      <w:color w:val="000000" w:themeColor="text1"/>
      <w:sz w:val="32"/>
      <w:szCs w:val="32"/>
    </w:rPr>
  </w:style>
  <w:style w:type="character" w:customStyle="1" w:styleId="30">
    <w:name w:val="标题 3 字符"/>
    <w:basedOn w:val="a0"/>
    <w:link w:val="3"/>
    <w:uiPriority w:val="9"/>
    <w:qFormat/>
    <w:rsid w:val="000D780A"/>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0D780A"/>
    <w:rPr>
      <w:rFonts w:asciiTheme="majorHAnsi" w:eastAsia="汉仪大宋简" w:hAnsiTheme="majorHAnsi" w:cstheme="majorBidi"/>
      <w:bCs/>
      <w:color w:val="000000" w:themeColor="text1"/>
      <w:sz w:val="24"/>
      <w:szCs w:val="28"/>
    </w:rPr>
  </w:style>
  <w:style w:type="character" w:customStyle="1" w:styleId="50">
    <w:name w:val="标题 5 字符"/>
    <w:basedOn w:val="a0"/>
    <w:link w:val="5"/>
    <w:uiPriority w:val="9"/>
    <w:qFormat/>
    <w:rsid w:val="000D780A"/>
    <w:rPr>
      <w:rFonts w:ascii="宋体" w:eastAsia="汉仪中黑简" w:hAnsi="宋体" w:cs="宋体"/>
      <w:bCs/>
      <w:color w:val="000000" w:themeColor="text1"/>
      <w:szCs w:val="21"/>
    </w:rPr>
  </w:style>
  <w:style w:type="paragraph" w:styleId="TOC7">
    <w:name w:val="toc 7"/>
    <w:basedOn w:val="a"/>
    <w:next w:val="a"/>
    <w:uiPriority w:val="39"/>
    <w:unhideWhenUsed/>
    <w:qFormat/>
    <w:rsid w:val="000D780A"/>
    <w:pPr>
      <w:ind w:left="1260"/>
    </w:pPr>
  </w:style>
  <w:style w:type="paragraph" w:styleId="a3">
    <w:name w:val="Document Map"/>
    <w:basedOn w:val="a"/>
    <w:link w:val="a4"/>
    <w:uiPriority w:val="99"/>
    <w:semiHidden/>
    <w:unhideWhenUsed/>
    <w:qFormat/>
    <w:rsid w:val="000D780A"/>
    <w:rPr>
      <w:sz w:val="24"/>
      <w:szCs w:val="24"/>
    </w:rPr>
  </w:style>
  <w:style w:type="character" w:customStyle="1" w:styleId="a4">
    <w:name w:val="文档结构图 字符"/>
    <w:basedOn w:val="a0"/>
    <w:link w:val="a3"/>
    <w:uiPriority w:val="99"/>
    <w:semiHidden/>
    <w:qFormat/>
    <w:rsid w:val="000D780A"/>
    <w:rPr>
      <w:rFonts w:ascii="宋体" w:eastAsia="汉仪书宋二简" w:hAnsi="宋体" w:cs="宋体"/>
      <w:color w:val="000000" w:themeColor="text1"/>
      <w:sz w:val="24"/>
      <w:szCs w:val="24"/>
    </w:rPr>
  </w:style>
  <w:style w:type="paragraph" w:styleId="a5">
    <w:name w:val="annotation text"/>
    <w:basedOn w:val="a"/>
    <w:link w:val="a6"/>
    <w:uiPriority w:val="99"/>
    <w:semiHidden/>
    <w:unhideWhenUsed/>
    <w:qFormat/>
    <w:rsid w:val="000D780A"/>
    <w:pPr>
      <w:jc w:val="left"/>
    </w:pPr>
  </w:style>
  <w:style w:type="character" w:customStyle="1" w:styleId="a6">
    <w:name w:val="批注文字 字符"/>
    <w:basedOn w:val="a0"/>
    <w:link w:val="a5"/>
    <w:uiPriority w:val="99"/>
    <w:semiHidden/>
    <w:qFormat/>
    <w:rsid w:val="000D780A"/>
    <w:rPr>
      <w:rFonts w:ascii="宋体" w:eastAsia="汉仪书宋二简" w:hAnsi="宋体" w:cs="宋体"/>
      <w:color w:val="000000" w:themeColor="text1"/>
      <w:szCs w:val="21"/>
    </w:rPr>
  </w:style>
  <w:style w:type="paragraph" w:styleId="TOC5">
    <w:name w:val="toc 5"/>
    <w:basedOn w:val="a"/>
    <w:next w:val="a"/>
    <w:uiPriority w:val="39"/>
    <w:unhideWhenUsed/>
    <w:qFormat/>
    <w:rsid w:val="000D780A"/>
    <w:pPr>
      <w:ind w:left="840"/>
    </w:pPr>
  </w:style>
  <w:style w:type="paragraph" w:styleId="TOC3">
    <w:name w:val="toc 3"/>
    <w:basedOn w:val="a"/>
    <w:next w:val="a"/>
    <w:uiPriority w:val="39"/>
    <w:unhideWhenUsed/>
    <w:qFormat/>
    <w:rsid w:val="000D780A"/>
    <w:pPr>
      <w:ind w:left="420"/>
    </w:pPr>
  </w:style>
  <w:style w:type="paragraph" w:styleId="a7">
    <w:name w:val="Plain Text"/>
    <w:basedOn w:val="a"/>
    <w:link w:val="a8"/>
    <w:uiPriority w:val="99"/>
    <w:unhideWhenUsed/>
    <w:qFormat/>
    <w:rsid w:val="000D780A"/>
    <w:rPr>
      <w:rFonts w:hAnsi="Courier New" w:cs="Courier New"/>
      <w:kern w:val="0"/>
      <w:sz w:val="20"/>
    </w:rPr>
  </w:style>
  <w:style w:type="character" w:customStyle="1" w:styleId="a8">
    <w:name w:val="纯文本 字符"/>
    <w:basedOn w:val="a0"/>
    <w:link w:val="a7"/>
    <w:uiPriority w:val="99"/>
    <w:qFormat/>
    <w:rsid w:val="000D780A"/>
    <w:rPr>
      <w:rFonts w:ascii="宋体" w:eastAsia="汉仪书宋二简" w:hAnsi="Courier New" w:cs="Courier New"/>
      <w:color w:val="000000" w:themeColor="text1"/>
      <w:kern w:val="0"/>
      <w:sz w:val="20"/>
      <w:szCs w:val="21"/>
    </w:rPr>
  </w:style>
  <w:style w:type="paragraph" w:styleId="TOC8">
    <w:name w:val="toc 8"/>
    <w:basedOn w:val="a"/>
    <w:next w:val="a"/>
    <w:uiPriority w:val="39"/>
    <w:unhideWhenUsed/>
    <w:qFormat/>
    <w:rsid w:val="000D780A"/>
    <w:pPr>
      <w:ind w:left="1470"/>
    </w:pPr>
  </w:style>
  <w:style w:type="paragraph" w:styleId="a9">
    <w:name w:val="endnote text"/>
    <w:basedOn w:val="a"/>
    <w:link w:val="aa"/>
    <w:uiPriority w:val="99"/>
    <w:semiHidden/>
    <w:unhideWhenUsed/>
    <w:qFormat/>
    <w:rsid w:val="000D780A"/>
    <w:pPr>
      <w:snapToGrid w:val="0"/>
      <w:jc w:val="left"/>
    </w:pPr>
  </w:style>
  <w:style w:type="character" w:customStyle="1" w:styleId="aa">
    <w:name w:val="尾注文本 字符"/>
    <w:basedOn w:val="a0"/>
    <w:link w:val="a9"/>
    <w:uiPriority w:val="99"/>
    <w:semiHidden/>
    <w:qFormat/>
    <w:rsid w:val="000D780A"/>
    <w:rPr>
      <w:rFonts w:ascii="宋体" w:eastAsia="汉仪书宋二简" w:hAnsi="宋体" w:cs="宋体"/>
      <w:color w:val="000000" w:themeColor="text1"/>
      <w:szCs w:val="21"/>
    </w:rPr>
  </w:style>
  <w:style w:type="paragraph" w:styleId="ab">
    <w:name w:val="Balloon Text"/>
    <w:basedOn w:val="a"/>
    <w:link w:val="ac"/>
    <w:uiPriority w:val="99"/>
    <w:semiHidden/>
    <w:unhideWhenUsed/>
    <w:qFormat/>
    <w:rsid w:val="000D780A"/>
    <w:rPr>
      <w:sz w:val="18"/>
      <w:szCs w:val="18"/>
    </w:rPr>
  </w:style>
  <w:style w:type="character" w:customStyle="1" w:styleId="ac">
    <w:name w:val="批注框文本 字符"/>
    <w:basedOn w:val="a0"/>
    <w:link w:val="ab"/>
    <w:uiPriority w:val="99"/>
    <w:semiHidden/>
    <w:qFormat/>
    <w:rsid w:val="000D780A"/>
    <w:rPr>
      <w:rFonts w:ascii="宋体" w:eastAsia="汉仪书宋二简" w:hAnsi="宋体" w:cs="宋体"/>
      <w:color w:val="000000" w:themeColor="text1"/>
      <w:sz w:val="18"/>
      <w:szCs w:val="18"/>
    </w:rPr>
  </w:style>
  <w:style w:type="paragraph" w:styleId="ad">
    <w:name w:val="footer"/>
    <w:basedOn w:val="a"/>
    <w:link w:val="ae"/>
    <w:uiPriority w:val="99"/>
    <w:unhideWhenUsed/>
    <w:qFormat/>
    <w:rsid w:val="000D780A"/>
    <w:pPr>
      <w:tabs>
        <w:tab w:val="clear" w:pos="420"/>
        <w:tab w:val="center" w:pos="4153"/>
        <w:tab w:val="right" w:pos="8306"/>
      </w:tabs>
      <w:snapToGrid w:val="0"/>
      <w:jc w:val="left"/>
    </w:pPr>
    <w:rPr>
      <w:sz w:val="18"/>
      <w:szCs w:val="18"/>
    </w:rPr>
  </w:style>
  <w:style w:type="character" w:customStyle="1" w:styleId="ae">
    <w:name w:val="页脚 字符"/>
    <w:basedOn w:val="a0"/>
    <w:link w:val="ad"/>
    <w:uiPriority w:val="99"/>
    <w:qFormat/>
    <w:rsid w:val="000D780A"/>
    <w:rPr>
      <w:rFonts w:ascii="宋体" w:eastAsia="汉仪书宋二简" w:hAnsi="宋体" w:cs="宋体"/>
      <w:color w:val="000000" w:themeColor="text1"/>
      <w:sz w:val="18"/>
      <w:szCs w:val="18"/>
    </w:rPr>
  </w:style>
  <w:style w:type="paragraph" w:styleId="af">
    <w:name w:val="header"/>
    <w:basedOn w:val="a"/>
    <w:link w:val="af0"/>
    <w:uiPriority w:val="99"/>
    <w:unhideWhenUsed/>
    <w:qFormat/>
    <w:rsid w:val="000D780A"/>
    <w:pPr>
      <w:pBdr>
        <w:bottom w:val="single" w:sz="6" w:space="1" w:color="auto"/>
      </w:pBdr>
      <w:tabs>
        <w:tab w:val="clear" w:pos="420"/>
        <w:tab w:val="center" w:pos="4153"/>
        <w:tab w:val="right" w:pos="8306"/>
      </w:tabs>
      <w:snapToGrid w:val="0"/>
      <w:jc w:val="center"/>
    </w:pPr>
    <w:rPr>
      <w:sz w:val="18"/>
      <w:szCs w:val="18"/>
    </w:rPr>
  </w:style>
  <w:style w:type="character" w:customStyle="1" w:styleId="af0">
    <w:name w:val="页眉 字符"/>
    <w:basedOn w:val="a0"/>
    <w:link w:val="af"/>
    <w:uiPriority w:val="99"/>
    <w:qFormat/>
    <w:rsid w:val="000D780A"/>
    <w:rPr>
      <w:rFonts w:ascii="宋体" w:eastAsia="汉仪书宋二简" w:hAnsi="宋体" w:cs="宋体"/>
      <w:color w:val="000000" w:themeColor="text1"/>
      <w:sz w:val="18"/>
      <w:szCs w:val="18"/>
    </w:rPr>
  </w:style>
  <w:style w:type="paragraph" w:styleId="TOC1">
    <w:name w:val="toc 1"/>
    <w:basedOn w:val="a"/>
    <w:next w:val="a"/>
    <w:uiPriority w:val="39"/>
    <w:unhideWhenUsed/>
    <w:qFormat/>
    <w:rsid w:val="000D780A"/>
  </w:style>
  <w:style w:type="paragraph" w:styleId="TOC4">
    <w:name w:val="toc 4"/>
    <w:basedOn w:val="a"/>
    <w:next w:val="a"/>
    <w:uiPriority w:val="39"/>
    <w:unhideWhenUsed/>
    <w:qFormat/>
    <w:rsid w:val="000D780A"/>
    <w:pPr>
      <w:ind w:left="630"/>
    </w:pPr>
  </w:style>
  <w:style w:type="paragraph" w:styleId="af1">
    <w:name w:val="footnote text"/>
    <w:basedOn w:val="a"/>
    <w:link w:val="af2"/>
    <w:semiHidden/>
    <w:unhideWhenUsed/>
    <w:qFormat/>
    <w:rsid w:val="000D780A"/>
    <w:pPr>
      <w:snapToGrid w:val="0"/>
      <w:jc w:val="left"/>
    </w:pPr>
    <w:rPr>
      <w:sz w:val="18"/>
      <w:szCs w:val="18"/>
    </w:rPr>
  </w:style>
  <w:style w:type="character" w:customStyle="1" w:styleId="af2">
    <w:name w:val="脚注文本 字符"/>
    <w:basedOn w:val="a0"/>
    <w:link w:val="af1"/>
    <w:semiHidden/>
    <w:qFormat/>
    <w:rsid w:val="000D780A"/>
    <w:rPr>
      <w:rFonts w:ascii="宋体" w:eastAsia="汉仪书宋二简" w:hAnsi="宋体" w:cs="宋体"/>
      <w:color w:val="000000" w:themeColor="text1"/>
      <w:sz w:val="18"/>
      <w:szCs w:val="18"/>
    </w:rPr>
  </w:style>
  <w:style w:type="paragraph" w:styleId="TOC6">
    <w:name w:val="toc 6"/>
    <w:basedOn w:val="a"/>
    <w:next w:val="a"/>
    <w:uiPriority w:val="39"/>
    <w:unhideWhenUsed/>
    <w:qFormat/>
    <w:rsid w:val="000D780A"/>
    <w:pPr>
      <w:ind w:left="1050"/>
    </w:pPr>
  </w:style>
  <w:style w:type="paragraph" w:styleId="TOC2">
    <w:name w:val="toc 2"/>
    <w:basedOn w:val="a"/>
    <w:next w:val="a"/>
    <w:uiPriority w:val="39"/>
    <w:unhideWhenUsed/>
    <w:qFormat/>
    <w:rsid w:val="000D780A"/>
    <w:pPr>
      <w:ind w:left="210"/>
    </w:pPr>
  </w:style>
  <w:style w:type="paragraph" w:styleId="TOC9">
    <w:name w:val="toc 9"/>
    <w:basedOn w:val="a"/>
    <w:next w:val="a"/>
    <w:uiPriority w:val="39"/>
    <w:unhideWhenUsed/>
    <w:qFormat/>
    <w:rsid w:val="000D780A"/>
    <w:pPr>
      <w:ind w:left="1680"/>
    </w:pPr>
  </w:style>
  <w:style w:type="paragraph" w:styleId="HTML">
    <w:name w:val="HTML Preformatted"/>
    <w:basedOn w:val="a"/>
    <w:link w:val="HTML0"/>
    <w:uiPriority w:val="99"/>
    <w:semiHidden/>
    <w:unhideWhenUsed/>
    <w:qFormat/>
    <w:rsid w:val="000D780A"/>
    <w:pPr>
      <w:widowControl/>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Theme="minorEastAsia" w:hAnsi="Courier New" w:cs="Courier New"/>
      <w:color w:val="auto"/>
      <w:kern w:val="0"/>
      <w:sz w:val="20"/>
      <w:szCs w:val="20"/>
    </w:rPr>
  </w:style>
  <w:style w:type="character" w:customStyle="1" w:styleId="HTML0">
    <w:name w:val="HTML 预设格式 字符"/>
    <w:basedOn w:val="a0"/>
    <w:link w:val="HTML"/>
    <w:uiPriority w:val="99"/>
    <w:semiHidden/>
    <w:qFormat/>
    <w:rsid w:val="000D780A"/>
    <w:rPr>
      <w:rFonts w:ascii="Courier New" w:hAnsi="Courier New" w:cs="Courier New"/>
      <w:kern w:val="0"/>
      <w:sz w:val="20"/>
      <w:szCs w:val="20"/>
    </w:rPr>
  </w:style>
  <w:style w:type="paragraph" w:styleId="af3">
    <w:name w:val="Normal (Web)"/>
    <w:basedOn w:val="a"/>
    <w:uiPriority w:val="99"/>
    <w:unhideWhenUsed/>
    <w:qFormat/>
    <w:rsid w:val="000D780A"/>
    <w:pPr>
      <w:widowControl/>
      <w:spacing w:before="100" w:beforeAutospacing="1" w:after="100" w:afterAutospacing="1"/>
      <w:jc w:val="left"/>
    </w:pPr>
    <w:rPr>
      <w:color w:val="auto"/>
      <w:kern w:val="0"/>
      <w:sz w:val="24"/>
      <w:szCs w:val="24"/>
    </w:rPr>
  </w:style>
  <w:style w:type="paragraph" w:styleId="af4">
    <w:name w:val="Title"/>
    <w:basedOn w:val="a"/>
    <w:next w:val="a"/>
    <w:link w:val="af5"/>
    <w:uiPriority w:val="10"/>
    <w:qFormat/>
    <w:rsid w:val="000D780A"/>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0"/>
    <w:link w:val="af4"/>
    <w:uiPriority w:val="10"/>
    <w:qFormat/>
    <w:rsid w:val="000D780A"/>
    <w:rPr>
      <w:rFonts w:asciiTheme="majorHAnsi" w:eastAsiaTheme="majorEastAsia" w:hAnsiTheme="majorHAnsi" w:cstheme="majorBidi"/>
      <w:b/>
      <w:bCs/>
      <w:color w:val="000000" w:themeColor="text1"/>
      <w:sz w:val="32"/>
      <w:szCs w:val="32"/>
    </w:rPr>
  </w:style>
  <w:style w:type="paragraph" w:styleId="af6">
    <w:name w:val="annotation subject"/>
    <w:basedOn w:val="a5"/>
    <w:next w:val="a5"/>
    <w:link w:val="af7"/>
    <w:uiPriority w:val="99"/>
    <w:semiHidden/>
    <w:unhideWhenUsed/>
    <w:qFormat/>
    <w:rsid w:val="000D780A"/>
    <w:rPr>
      <w:b/>
      <w:bCs/>
    </w:rPr>
  </w:style>
  <w:style w:type="character" w:customStyle="1" w:styleId="af7">
    <w:name w:val="批注主题 字符"/>
    <w:basedOn w:val="a6"/>
    <w:link w:val="af6"/>
    <w:uiPriority w:val="99"/>
    <w:semiHidden/>
    <w:qFormat/>
    <w:rsid w:val="000D780A"/>
    <w:rPr>
      <w:rFonts w:ascii="宋体" w:eastAsia="汉仪书宋二简" w:hAnsi="宋体" w:cs="宋体"/>
      <w:b/>
      <w:bCs/>
      <w:color w:val="000000" w:themeColor="text1"/>
      <w:szCs w:val="21"/>
    </w:rPr>
  </w:style>
  <w:style w:type="table" w:styleId="af8">
    <w:name w:val="Table Grid"/>
    <w:basedOn w:val="a1"/>
    <w:uiPriority w:val="59"/>
    <w:qFormat/>
    <w:rsid w:val="000D780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0D780A"/>
    <w:rPr>
      <w:b/>
      <w:bCs/>
    </w:rPr>
  </w:style>
  <w:style w:type="character" w:styleId="afa">
    <w:name w:val="endnote reference"/>
    <w:basedOn w:val="a0"/>
    <w:uiPriority w:val="99"/>
    <w:semiHidden/>
    <w:unhideWhenUsed/>
    <w:qFormat/>
    <w:rsid w:val="000D780A"/>
    <w:rPr>
      <w:vertAlign w:val="superscript"/>
    </w:rPr>
  </w:style>
  <w:style w:type="character" w:styleId="afb">
    <w:name w:val="page number"/>
    <w:basedOn w:val="a0"/>
    <w:uiPriority w:val="99"/>
    <w:semiHidden/>
    <w:unhideWhenUsed/>
    <w:qFormat/>
    <w:rsid w:val="000D780A"/>
  </w:style>
  <w:style w:type="character" w:styleId="afc">
    <w:name w:val="Emphasis"/>
    <w:basedOn w:val="a0"/>
    <w:uiPriority w:val="20"/>
    <w:qFormat/>
    <w:rsid w:val="000D780A"/>
    <w:rPr>
      <w:i/>
      <w:iCs/>
    </w:rPr>
  </w:style>
  <w:style w:type="character" w:styleId="afd">
    <w:name w:val="Hyperlink"/>
    <w:basedOn w:val="a0"/>
    <w:uiPriority w:val="99"/>
    <w:unhideWhenUsed/>
    <w:qFormat/>
    <w:rsid w:val="000D780A"/>
    <w:rPr>
      <w:color w:val="0563C1" w:themeColor="hyperlink"/>
      <w:u w:val="single"/>
    </w:rPr>
  </w:style>
  <w:style w:type="character" w:styleId="afe">
    <w:name w:val="annotation reference"/>
    <w:basedOn w:val="a0"/>
    <w:uiPriority w:val="99"/>
    <w:semiHidden/>
    <w:unhideWhenUsed/>
    <w:qFormat/>
    <w:rsid w:val="000D780A"/>
    <w:rPr>
      <w:sz w:val="21"/>
      <w:szCs w:val="21"/>
    </w:rPr>
  </w:style>
  <w:style w:type="character" w:styleId="aff">
    <w:name w:val="footnote reference"/>
    <w:basedOn w:val="a0"/>
    <w:semiHidden/>
    <w:unhideWhenUsed/>
    <w:qFormat/>
    <w:rsid w:val="000D780A"/>
    <w:rPr>
      <w:vertAlign w:val="superscript"/>
    </w:rPr>
  </w:style>
  <w:style w:type="paragraph" w:styleId="aff0">
    <w:name w:val="List Paragraph"/>
    <w:basedOn w:val="a"/>
    <w:uiPriority w:val="34"/>
    <w:qFormat/>
    <w:rsid w:val="000D780A"/>
    <w:pPr>
      <w:ind w:firstLine="420"/>
    </w:pPr>
  </w:style>
  <w:style w:type="table" w:customStyle="1" w:styleId="11">
    <w:name w:val="网格型1"/>
    <w:basedOn w:val="a1"/>
    <w:uiPriority w:val="59"/>
    <w:qFormat/>
    <w:rsid w:val="000D780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表格标题"/>
    <w:basedOn w:val="a"/>
    <w:qFormat/>
    <w:rsid w:val="000D780A"/>
    <w:pPr>
      <w:spacing w:beforeLines="10" w:before="10" w:afterLines="20" w:after="20" w:line="280" w:lineRule="exact"/>
      <w:jc w:val="center"/>
    </w:pPr>
    <w:rPr>
      <w:rFonts w:eastAsia="汉仪中黑简" w:hint="eastAsia"/>
      <w:color w:val="FF0000"/>
      <w:sz w:val="20"/>
    </w:rPr>
  </w:style>
  <w:style w:type="paragraph" w:customStyle="1" w:styleId="12">
    <w:name w:val="表格标题1"/>
    <w:basedOn w:val="a"/>
    <w:qFormat/>
    <w:rsid w:val="000D780A"/>
    <w:pPr>
      <w:spacing w:beforeLines="10" w:before="10" w:afterLines="20" w:after="20" w:line="280" w:lineRule="exact"/>
      <w:ind w:firstLineChars="0" w:firstLine="0"/>
      <w:jc w:val="center"/>
    </w:pPr>
    <w:rPr>
      <w:rFonts w:eastAsia="汉仪中黑简"/>
      <w:color w:val="FF0000"/>
      <w:sz w:val="20"/>
    </w:rPr>
  </w:style>
  <w:style w:type="paragraph" w:customStyle="1" w:styleId="13">
    <w:name w:val="表格正文1"/>
    <w:basedOn w:val="a"/>
    <w:qFormat/>
    <w:rsid w:val="000D780A"/>
    <w:pPr>
      <w:spacing w:beforeLines="10" w:before="10" w:afterLines="20" w:after="20" w:line="280" w:lineRule="exact"/>
      <w:ind w:firstLineChars="0" w:firstLine="0"/>
      <w:jc w:val="left"/>
    </w:pPr>
    <w:rPr>
      <w:rFonts w:ascii="汉仪书宋一简" w:eastAsia="汉仪书宋一简" w:hAnsi="汉仪书宋一简"/>
      <w:color w:val="auto"/>
      <w:sz w:val="20"/>
      <w:szCs w:val="20"/>
    </w:rPr>
  </w:style>
  <w:style w:type="paragraph" w:customStyle="1" w:styleId="aff2">
    <w:name w:val="补四级标题"/>
    <w:basedOn w:val="a"/>
    <w:qFormat/>
    <w:rsid w:val="000D780A"/>
    <w:pPr>
      <w:ind w:firstLineChars="202" w:firstLine="202"/>
    </w:pPr>
    <w:rPr>
      <w:rFonts w:ascii="汉仪中黑简" w:eastAsia="汉仪中黑简" w:hAnsi="汉仪中黑简" w:cs="汉仪中黑简"/>
      <w:bCs/>
      <w:color w:val="auto"/>
      <w:kern w:val="44"/>
      <w:szCs w:val="24"/>
    </w:rPr>
  </w:style>
  <w:style w:type="paragraph" w:customStyle="1" w:styleId="aff3">
    <w:name w:val="导图文字"/>
    <w:qFormat/>
    <w:rsid w:val="000D780A"/>
    <w:pPr>
      <w:spacing w:line="384" w:lineRule="exact"/>
    </w:pPr>
    <w:rPr>
      <w:rFonts w:ascii="汉仪书宋二简" w:eastAsia="汉仪书宋二简" w:hAnsi="汉仪书宋二简" w:cs="汉仪书宋二简" w:hint="eastAsia"/>
      <w:b/>
      <w:color w:val="000000"/>
      <w:kern w:val="0"/>
      <w:sz w:val="20"/>
      <w:szCs w:val="21"/>
    </w:rPr>
  </w:style>
  <w:style w:type="paragraph" w:customStyle="1" w:styleId="21">
    <w:name w:val="导图正文2"/>
    <w:qFormat/>
    <w:rsid w:val="000D780A"/>
    <w:pPr>
      <w:spacing w:line="384" w:lineRule="exact"/>
    </w:pPr>
    <w:rPr>
      <w:rFonts w:ascii="汉仪书宋二简" w:eastAsia="汉仪书宋二简" w:hAnsi="汉仪书宋二简" w:cs="汉仪书宋二简" w:hint="eastAsia"/>
      <w:color w:val="000000"/>
      <w:kern w:val="0"/>
      <w:sz w:val="20"/>
      <w:szCs w:val="21"/>
    </w:rPr>
  </w:style>
  <w:style w:type="paragraph" w:customStyle="1" w:styleId="14">
    <w:name w:val="修订1"/>
    <w:hidden/>
    <w:uiPriority w:val="99"/>
    <w:semiHidden/>
    <w:qFormat/>
    <w:rsid w:val="000D780A"/>
    <w:rPr>
      <w:rFonts w:ascii="宋体" w:eastAsia="汉仪书宋二简" w:hAnsi="宋体" w:cs="宋体"/>
      <w:color w:val="000000" w:themeColor="text1"/>
      <w:szCs w:val="21"/>
    </w:rPr>
  </w:style>
  <w:style w:type="character" w:customStyle="1" w:styleId="apple-converted-space">
    <w:name w:val="apple-converted-space"/>
    <w:basedOn w:val="a0"/>
    <w:qFormat/>
    <w:rsid w:val="000D780A"/>
  </w:style>
  <w:style w:type="table" w:customStyle="1" w:styleId="110">
    <w:name w:val="网格型11"/>
    <w:basedOn w:val="a1"/>
    <w:uiPriority w:val="59"/>
    <w:qFormat/>
    <w:rsid w:val="000D780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0D780A"/>
    <w:pPr>
      <w:widowControl/>
      <w:tabs>
        <w:tab w:val="clear" w:pos="420"/>
      </w:tabs>
      <w:spacing w:before="480" w:line="276" w:lineRule="auto"/>
      <w:jc w:val="left"/>
      <w:outlineLvl w:val="9"/>
    </w:pPr>
    <w:rPr>
      <w:rFonts w:asciiTheme="majorHAnsi" w:eastAsiaTheme="majorEastAsia" w:hAnsiTheme="majorHAnsi" w:cstheme="majorBidi"/>
      <w:b/>
      <w:color w:val="2F5496" w:themeColor="accent1" w:themeShade="BF"/>
      <w:kern w:val="0"/>
      <w:sz w:val="28"/>
      <w:szCs w:val="28"/>
    </w:rPr>
  </w:style>
  <w:style w:type="table" w:customStyle="1" w:styleId="120">
    <w:name w:val="网格型12"/>
    <w:basedOn w:val="a1"/>
    <w:uiPriority w:val="59"/>
    <w:qFormat/>
    <w:rsid w:val="000D780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0D780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0D780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rsid w:val="000D780A"/>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0D780A"/>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0D780A"/>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0D780A"/>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rsid w:val="000D780A"/>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3396</Words>
  <Characters>3397</Characters>
  <Application>Microsoft Office Word</Application>
  <DocSecurity>0</DocSecurity>
  <Lines>161</Lines>
  <Paragraphs>138</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102</cp:revision>
  <dcterms:created xsi:type="dcterms:W3CDTF">2023-04-28T12:51:00Z</dcterms:created>
  <dcterms:modified xsi:type="dcterms:W3CDTF">2025-04-15T14:35:00Z</dcterms:modified>
</cp:coreProperties>
</file>