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exact"/>
        <w:rPr>
          <w:rFonts w:hint="eastAsia" w:ascii="宋体" w:hAnsi="宋体" w:eastAsia="宋体"/>
          <w:b/>
          <w:bCs w:val="0"/>
          <w:sz w:val="21"/>
          <w:szCs w:val="21"/>
        </w:rPr>
      </w:pPr>
      <w:bookmarkStart w:id="0" w:name="_Toc64384696"/>
      <w:bookmarkStart w:id="1" w:name="_Toc126331789"/>
      <w:bookmarkStart w:id="2" w:name="_Toc510879051"/>
      <w:bookmarkStart w:id="3" w:name="_Toc4844123"/>
      <w:bookmarkStart w:id="4" w:name="_Toc126331796"/>
      <w:bookmarkStart w:id="5" w:name="_Toc64384703"/>
      <w:bookmarkStart w:id="6" w:name="_Toc510879074"/>
      <w:bookmarkStart w:id="7" w:name="_Toc126331800"/>
      <w:r>
        <w:rPr>
          <w:rFonts w:hint="eastAsia" w:ascii="宋体" w:hAnsi="宋体" w:eastAsia="宋体"/>
          <w:b/>
          <w:bCs w:val="0"/>
          <w:color w:val="auto"/>
          <w:sz w:val="22"/>
          <w:szCs w:val="22"/>
        </w:rPr>
        <w:t>考点27  附带民事诉讼的调解与审判</w:t>
      </w:r>
      <w:bookmarkEnd w:id="0"/>
      <w:bookmarkEnd w:id="1"/>
      <w:bookmarkEnd w:id="2"/>
      <w:bookmarkEnd w:id="3"/>
      <w:r>
        <w:rPr>
          <w:rFonts w:hint="eastAsia" w:ascii="宋体" w:hAnsi="宋体" w:eastAsia="宋体"/>
          <w:b/>
          <w:bCs w:val="0"/>
          <w:color w:val="auto"/>
          <w:sz w:val="22"/>
          <w:szCs w:val="22"/>
        </w:rPr>
        <w:t>（08</w:t>
      </w:r>
      <w:r>
        <w:rPr>
          <w:rFonts w:ascii="宋体" w:hAnsi="宋体" w:eastAsia="宋体"/>
          <w:b/>
          <w:bCs w:val="0"/>
          <w:color w:val="auto"/>
          <w:sz w:val="22"/>
          <w:szCs w:val="22"/>
        </w:rPr>
        <w:t>:</w:t>
      </w:r>
      <w:r>
        <w:rPr>
          <w:rFonts w:hint="eastAsia" w:ascii="宋体" w:hAnsi="宋体" w:eastAsia="宋体"/>
          <w:b/>
          <w:bCs w:val="0"/>
          <w:color w:val="auto"/>
          <w:sz w:val="22"/>
          <w:szCs w:val="22"/>
        </w:rPr>
        <w:t>30</w:t>
      </w:r>
      <w:r>
        <w:rPr>
          <w:rFonts w:ascii="宋体" w:hAnsi="宋体" w:eastAsia="宋体"/>
          <w:b/>
          <w:bCs w:val="0"/>
          <w:color w:val="auto"/>
          <w:sz w:val="22"/>
          <w:szCs w:val="22"/>
        </w:rPr>
        <w:t>:00-</w:t>
      </w:r>
      <w:r>
        <w:rPr>
          <w:rFonts w:hint="eastAsia" w:ascii="宋体" w:hAnsi="宋体" w:eastAsia="宋体"/>
          <w:b/>
          <w:bCs w:val="0"/>
          <w:color w:val="auto"/>
          <w:sz w:val="22"/>
          <w:szCs w:val="22"/>
        </w:rPr>
        <w:t>09</w:t>
      </w:r>
      <w:r>
        <w:rPr>
          <w:rFonts w:ascii="宋体" w:hAnsi="宋体" w:eastAsia="宋体"/>
          <w:b/>
          <w:bCs w:val="0"/>
          <w:color w:val="auto"/>
          <w:sz w:val="22"/>
          <w:szCs w:val="22"/>
        </w:rPr>
        <w:t>:</w:t>
      </w:r>
      <w:r>
        <w:rPr>
          <w:rFonts w:hint="eastAsia" w:ascii="宋体" w:hAnsi="宋体" w:eastAsia="宋体"/>
          <w:b/>
          <w:bCs w:val="0"/>
          <w:color w:val="auto"/>
          <w:sz w:val="22"/>
          <w:szCs w:val="22"/>
        </w:rPr>
        <w:t>02</w:t>
      </w:r>
      <w:r>
        <w:rPr>
          <w:rFonts w:ascii="宋体" w:hAnsi="宋体" w:eastAsia="宋体"/>
          <w:b/>
          <w:bCs w:val="0"/>
          <w:color w:val="auto"/>
          <w:sz w:val="22"/>
          <w:szCs w:val="22"/>
        </w:rPr>
        <w:t>:00）</w:t>
      </w:r>
    </w:p>
    <w:p>
      <w:pPr>
        <w:pStyle w:val="4"/>
        <w:spacing w:line="240" w:lineRule="exact"/>
        <w:ind w:firstLine="420" w:firstLineChars="200"/>
        <w:rPr>
          <w:rFonts w:hint="eastAsia" w:eastAsia="宋体"/>
          <w:sz w:val="21"/>
        </w:rPr>
      </w:pPr>
      <w:bookmarkStart w:id="8" w:name="_Toc510879052"/>
      <w:r>
        <w:rPr>
          <w:rFonts w:hint="eastAsia" w:eastAsia="宋体"/>
          <w:sz w:val="21"/>
        </w:rPr>
        <w:t>一、附带民事诉讼的调解</w:t>
      </w:r>
      <w:bookmarkEnd w:id="8"/>
    </w:p>
    <w:p>
      <w:pPr>
        <w:spacing w:line="240" w:lineRule="exact"/>
        <w:ind w:firstLine="420"/>
        <w:rPr>
          <w:rFonts w:hint="eastAsia" w:eastAsia="宋体" w:cs="仿宋_GB2312"/>
          <w:bCs/>
        </w:rPr>
      </w:pPr>
      <w:r>
        <w:rPr>
          <w:rFonts w:hint="eastAsia" w:eastAsia="宋体" w:cs="仿宋_GB2312"/>
          <w:bCs/>
        </w:rPr>
        <w:t>审前——</w:t>
      </w:r>
      <w:r>
        <w:rPr>
          <w:rFonts w:eastAsia="宋体" w:cs="仿宋_GB2312"/>
          <w:bCs/>
        </w:rPr>
        <w:t>达成协议并全部履行</w:t>
      </w:r>
      <w:r>
        <w:rPr>
          <w:rFonts w:hint="eastAsia" w:eastAsia="宋体" w:cs="仿宋_GB2312"/>
          <w:bCs/>
        </w:rPr>
        <w:t>，</w:t>
      </w:r>
      <w:r>
        <w:rPr>
          <w:rFonts w:eastAsia="宋体" w:cs="仿宋_GB2312"/>
          <w:bCs/>
        </w:rPr>
        <w:t>又提起附带民事诉讼的，不予受理。（有证据证明调解违反自愿、合法原则的除外）</w:t>
      </w:r>
    </w:p>
    <w:p>
      <w:pPr>
        <w:spacing w:line="240" w:lineRule="exact"/>
        <w:ind w:firstLine="420"/>
        <w:rPr>
          <w:rFonts w:hint="eastAsia" w:eastAsia="宋体"/>
        </w:rPr>
      </w:pPr>
      <w:r>
        <w:rPr>
          <w:rFonts w:hint="eastAsia" w:eastAsia="宋体"/>
        </w:rPr>
        <w:t>一审——达成协议，</w:t>
      </w:r>
      <w:r>
        <w:rPr>
          <w:rFonts w:eastAsia="宋体"/>
        </w:rPr>
        <w:t>制作调解书，双方签收后生效</w:t>
      </w:r>
      <w:r>
        <w:rPr>
          <w:rFonts w:hint="eastAsia" w:eastAsia="宋体"/>
        </w:rPr>
        <w:t>；达成协议并即时履行完毕，可不制作调解书，但应制作笔录，各方签名或盖章后生效；未达成协议或调解书签收前当事人反悔，附带民事诉讼应当同刑事诉讼一并判决</w:t>
      </w:r>
    </w:p>
    <w:p>
      <w:pPr>
        <w:spacing w:line="240" w:lineRule="exact"/>
        <w:ind w:firstLine="420"/>
        <w:rPr>
          <w:rFonts w:hint="eastAsia" w:eastAsia="宋体" w:cs="仿宋_GB2312"/>
          <w:bCs/>
        </w:rPr>
      </w:pPr>
      <w:r>
        <w:rPr>
          <w:rFonts w:hint="eastAsia" w:eastAsia="宋体" w:cs="仿宋_GB2312"/>
          <w:bCs/>
        </w:rPr>
        <w:t>二审——</w:t>
      </w:r>
      <w:r>
        <w:rPr>
          <w:rFonts w:eastAsia="宋体" w:cs="仿宋_GB2312"/>
          <w:bCs/>
        </w:rPr>
        <w:t>调解不成</w:t>
      </w:r>
      <w:r>
        <w:rPr>
          <w:rFonts w:hint="eastAsia" w:eastAsia="宋体" w:cs="仿宋_GB2312"/>
          <w:bCs/>
        </w:rPr>
        <w:t>，</w:t>
      </w:r>
      <w:r>
        <w:rPr>
          <w:rFonts w:eastAsia="宋体" w:cs="仿宋_GB2312"/>
          <w:bCs/>
        </w:rPr>
        <w:t>告知当事人可</w:t>
      </w:r>
      <w:r>
        <w:rPr>
          <w:rFonts w:eastAsia="宋体" w:cs="仿宋_GB2312"/>
          <w:bCs/>
          <w:color w:val="FF0000"/>
        </w:rPr>
        <w:t>在刑事裁判生效后另行提起民事诉讼</w:t>
      </w:r>
    </w:p>
    <w:p>
      <w:pPr>
        <w:pStyle w:val="4"/>
        <w:spacing w:line="240" w:lineRule="exact"/>
        <w:ind w:firstLine="420" w:firstLineChars="200"/>
        <w:rPr>
          <w:rFonts w:hint="eastAsia" w:eastAsia="宋体"/>
          <w:sz w:val="21"/>
        </w:rPr>
      </w:pPr>
      <w:bookmarkStart w:id="9" w:name="_Toc510879053"/>
      <w:r>
        <w:rPr>
          <w:rFonts w:hint="eastAsia" w:eastAsia="宋体"/>
          <w:sz w:val="21"/>
        </w:rPr>
        <w:t>二、附带民事诉讼的审判</w:t>
      </w:r>
      <w:bookmarkEnd w:id="9"/>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（一）审判组织</w:t>
      </w:r>
    </w:p>
    <w:p>
      <w:pPr>
        <w:pStyle w:val="12"/>
        <w:spacing w:line="240" w:lineRule="exact"/>
        <w:ind w:firstLine="420"/>
        <w:rPr>
          <w:rFonts w:hint="eastAsia" w:hAnsi="宋体" w:eastAsia="宋体"/>
          <w:sz w:val="21"/>
        </w:rPr>
      </w:pPr>
      <w:r>
        <w:rPr>
          <w:rFonts w:hAnsi="宋体" w:eastAsia="宋体"/>
          <w:sz w:val="21"/>
        </w:rPr>
        <w:t>附带民事诉讼应当</w:t>
      </w:r>
      <w:r>
        <w:rPr>
          <w:rFonts w:hAnsi="宋体" w:eastAsia="宋体"/>
          <w:color w:val="FF0000"/>
          <w:sz w:val="21"/>
        </w:rPr>
        <w:t>同刑事案件一并审判</w:t>
      </w:r>
      <w:r>
        <w:rPr>
          <w:rFonts w:hAnsi="宋体" w:eastAsia="宋体"/>
          <w:sz w:val="21"/>
        </w:rPr>
        <w:t>，只有为了防止刑事案件审判的过分迟延，才可以</w:t>
      </w:r>
      <w:r>
        <w:rPr>
          <w:rFonts w:hAnsi="宋体" w:eastAsia="宋体"/>
          <w:color w:val="FF0000"/>
          <w:sz w:val="21"/>
        </w:rPr>
        <w:t>在刑事案件审判后，由同一审判组织继续审理</w:t>
      </w:r>
      <w:r>
        <w:rPr>
          <w:rFonts w:hAnsi="宋体" w:eastAsia="宋体"/>
          <w:sz w:val="21"/>
        </w:rPr>
        <w:t>附带民事诉讼；同一审判组织的成员确实不能继续参与审判的，</w:t>
      </w:r>
      <w:r>
        <w:rPr>
          <w:rFonts w:hAnsi="宋体" w:eastAsia="宋体"/>
          <w:color w:val="FF0000"/>
          <w:sz w:val="21"/>
        </w:rPr>
        <w:t>可以更换</w:t>
      </w:r>
      <w:r>
        <w:rPr>
          <w:rFonts w:hAnsi="宋体" w:eastAsia="宋体"/>
          <w:sz w:val="21"/>
        </w:rPr>
        <w:t>。</w:t>
      </w:r>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（二）当事人拒不到庭的处理</w:t>
      </w:r>
    </w:p>
    <w:p>
      <w:pPr>
        <w:spacing w:line="240" w:lineRule="exact"/>
        <w:ind w:firstLine="420"/>
        <w:rPr>
          <w:rFonts w:hint="eastAsia" w:eastAsia="宋体"/>
        </w:rPr>
      </w:pPr>
      <w:r>
        <w:rPr>
          <w:rFonts w:hint="eastAsia" w:eastAsia="宋体"/>
        </w:rPr>
        <w:t>附带民事诉讼原告人无正当理由拒不到庭，</w:t>
      </w:r>
      <w:r>
        <w:rPr>
          <w:rFonts w:hint="eastAsia" w:eastAsia="宋体"/>
          <w:b/>
          <w:bCs/>
        </w:rPr>
        <w:t>应当</w:t>
      </w:r>
      <w:r>
        <w:rPr>
          <w:rFonts w:hint="eastAsia" w:eastAsia="宋体"/>
        </w:rPr>
        <w:t>按撤诉处理</w:t>
      </w:r>
    </w:p>
    <w:p>
      <w:pPr>
        <w:spacing w:line="240" w:lineRule="exact"/>
        <w:ind w:firstLine="420"/>
        <w:rPr>
          <w:rFonts w:hint="eastAsia" w:eastAsia="宋体" w:cs="仿宋_GB2312"/>
          <w:bCs/>
        </w:rPr>
      </w:pPr>
      <w:r>
        <w:rPr>
          <w:rFonts w:hint="eastAsia" w:eastAsia="宋体" w:cs="仿宋_GB2312"/>
          <w:bCs/>
        </w:rPr>
        <w:t>刑事被告人以外的附带民事诉讼被告人经传唤无正当理由拒不到庭或未经法庭许可中途退庭，附带民事部分可以缺席判决</w:t>
      </w:r>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（三）判决</w:t>
      </w:r>
    </w:p>
    <w:p>
      <w:pPr>
        <w:spacing w:line="240" w:lineRule="exact"/>
        <w:ind w:firstLine="420"/>
        <w:rPr>
          <w:rFonts w:hint="eastAsia" w:eastAsia="宋体"/>
        </w:rPr>
      </w:pPr>
      <w:r>
        <w:rPr>
          <w:rFonts w:hint="eastAsia" w:eastAsia="宋体"/>
          <w:color w:val="FF0000"/>
        </w:rPr>
        <w:t>犯罪行为造成被害人人身损害的，应当赔偿医疗费、护理费、交通费等为治疗和康复支付的合理费用，以及因误工减少的收入。造成被害人残疾的，还应当赔偿残疾生活辅助具费等费用；造成被害人死亡的，还应当赔偿丧葬费等费用</w:t>
      </w:r>
      <w:r>
        <w:rPr>
          <w:rFonts w:hint="eastAsia" w:eastAsia="宋体"/>
        </w:rPr>
        <w:t>。</w:t>
      </w:r>
    </w:p>
    <w:p>
      <w:pPr>
        <w:spacing w:line="240" w:lineRule="exact"/>
        <w:ind w:firstLine="420"/>
        <w:rPr>
          <w:rFonts w:hint="eastAsia" w:eastAsia="宋体"/>
        </w:rPr>
      </w:pPr>
      <w:r>
        <w:rPr>
          <w:rFonts w:hint="eastAsia" w:eastAsia="宋体"/>
        </w:rPr>
        <w:t>除驾驶机动车致人伤亡或者造成公私财产重大损失的案件外，</w:t>
      </w:r>
      <w:r>
        <w:rPr>
          <w:rFonts w:hint="eastAsia" w:eastAsia="宋体"/>
          <w:color w:val="FF0000"/>
        </w:rPr>
        <w:t>“两金”（死亡赔偿金、残疾赔偿金）不在附带民事诉讼的判赔范围</w:t>
      </w:r>
      <w:r>
        <w:rPr>
          <w:rFonts w:hint="eastAsia" w:eastAsia="宋体"/>
        </w:rPr>
        <w:t>，但调解、和解的，赔偿范围、数额不受限制。</w:t>
      </w:r>
    </w:p>
    <w:p>
      <w:pPr>
        <w:spacing w:line="240" w:lineRule="exact"/>
        <w:ind w:firstLine="420"/>
        <w:rPr>
          <w:rFonts w:hint="eastAsia" w:eastAsia="宋体"/>
          <w:color w:val="FF0000"/>
        </w:rPr>
      </w:pPr>
      <w:r>
        <w:rPr>
          <w:rFonts w:hint="eastAsia" w:eastAsia="宋体"/>
        </w:rPr>
        <w:t>人民检察院提起附带民事诉讼的，人民法院经审理，认为附带民事诉讼被告人依法应当承担赔偿责任的，应当判令附带民事诉讼被告人直接向遭受损失的单位作出赔偿；遭受损失的单位已经终止，有权利义务继受人的，应当判令其向继受人作出赔偿；</w:t>
      </w:r>
      <w:r>
        <w:rPr>
          <w:rFonts w:hint="eastAsia" w:eastAsia="宋体"/>
          <w:color w:val="FF0000"/>
        </w:rPr>
        <w:t>没有权利义务继受人的，应当判令其向人民检察院交付赔偿款，由人民检察院上缴国库。</w:t>
      </w:r>
    </w:p>
    <w:p>
      <w:pPr>
        <w:spacing w:line="240" w:lineRule="exact"/>
        <w:ind w:firstLine="420"/>
        <w:rPr>
          <w:rFonts w:eastAsia="宋体"/>
          <w:color w:val="auto"/>
        </w:rPr>
      </w:pPr>
      <w:r>
        <w:rPr>
          <w:rFonts w:hint="eastAsia" w:eastAsia="宋体"/>
        </w:rPr>
        <w:t>刑事附带民事诉讼案件，只有附带民事诉讼当事人及其法定代理人上诉的，第一审刑事部分的判决在上诉期满后即发生法律效力。应当送监执行的第一审刑事被告人是第二审附带民事诉讼被告人的，在第二审附带民事诉讼案件审结前，</w:t>
      </w:r>
      <w:r>
        <w:rPr>
          <w:rFonts w:hint="eastAsia" w:eastAsia="宋体"/>
          <w:color w:val="FF0000"/>
        </w:rPr>
        <w:t>可以暂缓送监执行。</w:t>
      </w:r>
      <w:r>
        <w:rPr>
          <w:rFonts w:hint="eastAsia" w:eastAsia="宋体"/>
          <w:color w:val="auto"/>
        </w:rPr>
        <w:t>（《法院解释》408条）</w:t>
      </w:r>
    </w:p>
    <w:p>
      <w:pPr>
        <w:spacing w:line="240" w:lineRule="exact"/>
        <w:ind w:firstLine="420"/>
        <w:rPr>
          <w:rFonts w:eastAsia="宋体"/>
          <w:color w:val="FF0000"/>
        </w:rPr>
      </w:pPr>
      <w:r>
        <w:rPr>
          <w:rFonts w:hint="eastAsia" w:eastAsia="宋体"/>
          <w:color w:val="auto"/>
        </w:rPr>
        <w:t>【</w:t>
      </w:r>
      <w:r>
        <w:rPr>
          <w:rFonts w:hint="eastAsia" w:eastAsia="宋体"/>
          <w:color w:val="FF0000"/>
        </w:rPr>
        <w:t>注意对比，暂缓送监执行的情况：</w:t>
      </w:r>
      <w:r>
        <w:rPr>
          <w:rFonts w:hint="eastAsia" w:eastAsia="宋体"/>
          <w:color w:val="auto"/>
        </w:rPr>
        <w:t>】同案审理的案件中，部分被告人被判处死刑，对未被判处死刑的同案被告人需要羁押执行刑罚的，应当根据前条规定及时交付执行。但是，该同案被告人参与实施有关死刑之罪的，应当在复核讯问被判处死刑的被告人后交付执行。（《法院解释》512条）</w:t>
      </w:r>
    </w:p>
    <w:p>
      <w:pPr>
        <w:spacing w:line="240" w:lineRule="exact"/>
        <w:ind w:firstLine="420"/>
        <w:rPr>
          <w:rFonts w:hint="eastAsia" w:eastAsia="宋体"/>
          <w:color w:val="auto"/>
        </w:rPr>
      </w:pPr>
      <w:r>
        <w:rPr>
          <w:rFonts w:hint="eastAsia" w:eastAsia="宋体"/>
          <w:color w:val="auto"/>
        </w:rPr>
        <w:t>刑事附带民事诉讼案件，只有附带民事诉讼当事人及其法定代理人上诉的，第一审刑事部分的判决在上诉期满后即发生法律效力。应当送监执行的第一审刑事被告人是第二审附带民事诉讼被告人的，在第二审附带民事诉讼案件审结前，可以暂缓送监执行。</w:t>
      </w:r>
    </w:p>
    <w:p>
      <w:pPr>
        <w:pStyle w:val="2"/>
        <w:spacing w:before="0" w:line="240" w:lineRule="exact"/>
        <w:rPr>
          <w:rFonts w:hint="eastAsia" w:ascii="宋体" w:hAnsi="宋体" w:eastAsia="宋体"/>
          <w:b/>
          <w:bCs w:val="0"/>
          <w:color w:val="auto"/>
          <w:sz w:val="21"/>
          <w:szCs w:val="21"/>
        </w:rPr>
      </w:pPr>
      <w:bookmarkStart w:id="10" w:name="_Toc4844124"/>
      <w:bookmarkStart w:id="11" w:name="_Toc64384697"/>
      <w:bookmarkStart w:id="12" w:name="_Toc126331790"/>
      <w:r>
        <w:rPr>
          <w:rFonts w:hint="eastAsia" w:ascii="宋体" w:hAnsi="宋体" w:eastAsia="宋体"/>
          <w:b/>
          <w:bCs w:val="0"/>
          <w:color w:val="auto"/>
          <w:sz w:val="21"/>
          <w:szCs w:val="21"/>
        </w:rPr>
        <w:t>考点28</w:t>
      </w:r>
      <w:r>
        <w:rPr>
          <w:rFonts w:ascii="宋体" w:hAnsi="宋体" w:eastAsia="宋体"/>
          <w:b/>
          <w:bCs w:val="0"/>
          <w:color w:val="auto"/>
          <w:sz w:val="21"/>
          <w:szCs w:val="21"/>
        </w:rPr>
        <w:t xml:space="preserve">  </w:t>
      </w:r>
      <w:r>
        <w:rPr>
          <w:rFonts w:hint="eastAsia" w:ascii="宋体" w:hAnsi="宋体" w:eastAsia="宋体"/>
          <w:b/>
          <w:bCs w:val="0"/>
          <w:color w:val="auto"/>
          <w:sz w:val="21"/>
          <w:szCs w:val="21"/>
        </w:rPr>
        <w:t>立案</w:t>
      </w:r>
      <w:bookmarkEnd w:id="10"/>
      <w:bookmarkEnd w:id="11"/>
      <w:bookmarkEnd w:id="12"/>
      <w:r>
        <w:rPr>
          <w:rFonts w:hint="eastAsia" w:ascii="宋体" w:hAnsi="宋体" w:eastAsia="宋体"/>
          <w:b/>
          <w:bCs w:val="0"/>
          <w:color w:val="auto"/>
          <w:sz w:val="21"/>
          <w:szCs w:val="21"/>
        </w:rPr>
        <w:t>（</w:t>
      </w:r>
      <w:r>
        <w:rPr>
          <w:rFonts w:hint="eastAsia" w:ascii="宋体" w:hAnsi="宋体" w:eastAsia="宋体"/>
          <w:b/>
          <w:bCs w:val="0"/>
          <w:color w:val="auto"/>
          <w:sz w:val="22"/>
          <w:szCs w:val="22"/>
        </w:rPr>
        <w:t>09</w:t>
      </w:r>
      <w:r>
        <w:rPr>
          <w:rFonts w:ascii="宋体" w:hAnsi="宋体" w:eastAsia="宋体"/>
          <w:b/>
          <w:bCs w:val="0"/>
          <w:color w:val="auto"/>
          <w:sz w:val="22"/>
          <w:szCs w:val="22"/>
        </w:rPr>
        <w:t>:</w:t>
      </w:r>
      <w:r>
        <w:rPr>
          <w:rFonts w:hint="eastAsia" w:ascii="宋体" w:hAnsi="宋体" w:eastAsia="宋体"/>
          <w:b/>
          <w:bCs w:val="0"/>
          <w:color w:val="auto"/>
          <w:sz w:val="22"/>
          <w:szCs w:val="22"/>
        </w:rPr>
        <w:t>02</w:t>
      </w:r>
      <w:r>
        <w:rPr>
          <w:rFonts w:ascii="宋体" w:hAnsi="宋体" w:eastAsia="宋体"/>
          <w:b/>
          <w:bCs w:val="0"/>
          <w:color w:val="auto"/>
          <w:sz w:val="21"/>
          <w:szCs w:val="21"/>
        </w:rPr>
        <w:t>:00-</w:t>
      </w:r>
      <w:r>
        <w:rPr>
          <w:rFonts w:hint="eastAsia" w:ascii="宋体" w:hAnsi="宋体" w:eastAsia="宋体"/>
          <w:b/>
          <w:bCs w:val="0"/>
          <w:color w:val="auto"/>
          <w:sz w:val="21"/>
          <w:szCs w:val="21"/>
        </w:rPr>
        <w:t>09</w:t>
      </w:r>
      <w:r>
        <w:rPr>
          <w:rFonts w:ascii="宋体" w:hAnsi="宋体" w:eastAsia="宋体"/>
          <w:b/>
          <w:bCs w:val="0"/>
          <w:color w:val="auto"/>
          <w:sz w:val="21"/>
          <w:szCs w:val="21"/>
        </w:rPr>
        <w:t>:</w:t>
      </w:r>
      <w:r>
        <w:rPr>
          <w:rFonts w:hint="eastAsia" w:ascii="宋体" w:hAnsi="宋体" w:eastAsia="宋体"/>
          <w:b/>
          <w:bCs w:val="0"/>
          <w:color w:val="auto"/>
          <w:sz w:val="21"/>
          <w:szCs w:val="21"/>
        </w:rPr>
        <w:t>20</w:t>
      </w:r>
      <w:r>
        <w:rPr>
          <w:rFonts w:ascii="宋体" w:hAnsi="宋体" w:eastAsia="宋体"/>
          <w:b/>
          <w:bCs w:val="0"/>
          <w:color w:val="auto"/>
          <w:sz w:val="21"/>
          <w:szCs w:val="21"/>
        </w:rPr>
        <w:t>:00）</w:t>
      </w:r>
    </w:p>
    <w:p>
      <w:pPr>
        <w:pStyle w:val="4"/>
        <w:spacing w:line="240" w:lineRule="exact"/>
        <w:ind w:firstLine="420" w:firstLineChars="200"/>
        <w:rPr>
          <w:rFonts w:hint="eastAsia" w:eastAsia="宋体"/>
          <w:sz w:val="21"/>
        </w:rPr>
      </w:pPr>
      <w:r>
        <w:rPr>
          <w:rFonts w:hint="eastAsia" w:eastAsia="宋体"/>
          <w:sz w:val="21"/>
        </w:rPr>
        <w:t>一、立案的材料来源</w:t>
      </w:r>
    </w:p>
    <w:p>
      <w:pPr>
        <w:spacing w:line="240" w:lineRule="exact"/>
        <w:ind w:firstLine="420"/>
        <w:rPr>
          <w:rFonts w:hint="eastAsia" w:eastAsia="宋体"/>
        </w:rPr>
      </w:pPr>
      <w:r>
        <w:rPr>
          <w:rFonts w:hint="eastAsia" w:eastAsia="宋体"/>
        </w:rPr>
        <w:t>报案：所有单位和个人，包含被害人，有犯罪事实发生；举报：被害人以外的人，犯罪事实及嫌疑人；控告：只能是被害人，犯罪事实及嫌疑人</w:t>
      </w:r>
    </w:p>
    <w:p>
      <w:pPr>
        <w:spacing w:line="240" w:lineRule="exact"/>
        <w:ind w:firstLine="420"/>
        <w:rPr>
          <w:rFonts w:hint="eastAsia" w:eastAsia="宋体"/>
        </w:rPr>
      </w:pPr>
      <w:r>
        <w:rPr>
          <w:rFonts w:hint="eastAsia" w:eastAsia="宋体"/>
        </w:rPr>
        <w:t>二、立案的程序</w:t>
      </w:r>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（一）受理立案材料</w:t>
      </w:r>
    </w:p>
    <w:p>
      <w:pPr>
        <w:spacing w:line="240" w:lineRule="exact"/>
        <w:ind w:firstLine="420"/>
        <w:rPr>
          <w:rFonts w:hint="eastAsia" w:eastAsia="宋体"/>
        </w:rPr>
      </w:pPr>
      <w:r>
        <w:rPr>
          <w:rFonts w:hint="eastAsia" w:eastAsia="宋体"/>
        </w:rPr>
        <w:t>公检法对于报案、举报、控告和自首，</w:t>
      </w:r>
      <w:r>
        <w:rPr>
          <w:rFonts w:hint="eastAsia" w:eastAsia="宋体"/>
          <w:color w:val="FF0000"/>
        </w:rPr>
        <w:t>首先都应当接受</w:t>
      </w:r>
      <w:r>
        <w:rPr>
          <w:rFonts w:hint="eastAsia" w:eastAsia="宋体"/>
        </w:rPr>
        <w:t>（不分立案管辖），对不属于自己管辖的，</w:t>
      </w:r>
      <w:r>
        <w:rPr>
          <w:rFonts w:hint="eastAsia" w:eastAsia="宋体"/>
          <w:color w:val="FF0000"/>
        </w:rPr>
        <w:t>应当移送主管机关（情况紧急，必须采取紧急措施的，应当先采取紧急措施再移送）</w:t>
      </w:r>
      <w:r>
        <w:rPr>
          <w:rFonts w:hint="eastAsia" w:eastAsia="宋体"/>
        </w:rPr>
        <w:t>，并通知</w:t>
      </w:r>
      <w:bookmarkStart w:id="13" w:name="_Hlk535686844"/>
      <w:r>
        <w:rPr>
          <w:rFonts w:hint="eastAsia" w:eastAsia="宋体"/>
        </w:rPr>
        <w:t>报案人、举报人、控告人</w:t>
      </w:r>
      <w:bookmarkEnd w:id="13"/>
      <w:r>
        <w:rPr>
          <w:rFonts w:hint="eastAsia" w:eastAsia="宋体"/>
        </w:rPr>
        <w:t>。</w:t>
      </w:r>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（二）审查立案材料</w:t>
      </w:r>
    </w:p>
    <w:p>
      <w:pPr>
        <w:spacing w:line="240" w:lineRule="exact"/>
        <w:ind w:firstLine="420"/>
        <w:rPr>
          <w:rFonts w:hint="eastAsia" w:eastAsia="宋体"/>
        </w:rPr>
      </w:pPr>
      <w:r>
        <w:rPr>
          <w:rFonts w:hint="eastAsia" w:eastAsia="宋体"/>
        </w:rPr>
        <w:t>在立案之前对立案材料审查过程中，</w:t>
      </w:r>
      <w:r>
        <w:rPr>
          <w:rFonts w:hint="eastAsia" w:eastAsia="宋体"/>
          <w:color w:val="FF0000"/>
        </w:rPr>
        <w:t>初查只能用任意性措施</w:t>
      </w:r>
      <w:r>
        <w:rPr>
          <w:rFonts w:hint="eastAsia" w:eastAsia="宋体"/>
        </w:rPr>
        <w:t>（不具有强制性，不得限制被调查对象人身、财产权利的措施，如询问、勘验检查、鉴定等），</w:t>
      </w:r>
      <w:r>
        <w:rPr>
          <w:rFonts w:hint="eastAsia" w:eastAsia="宋体"/>
          <w:color w:val="FF0000"/>
        </w:rPr>
        <w:t>不得使用带有强制性的措施</w:t>
      </w:r>
      <w:r>
        <w:rPr>
          <w:rFonts w:hint="eastAsia" w:eastAsia="宋体"/>
        </w:rPr>
        <w:t>，比如查封、扣押、搜查、冻结以及技术侦查措施。</w:t>
      </w:r>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（三）审查后的处理</w:t>
      </w:r>
    </w:p>
    <w:p>
      <w:pPr>
        <w:spacing w:line="240" w:lineRule="exact"/>
        <w:ind w:firstLine="420"/>
        <w:rPr>
          <w:rFonts w:hint="eastAsia" w:eastAsia="宋体"/>
        </w:rPr>
      </w:pPr>
      <w:r>
        <w:rPr>
          <w:rFonts w:hint="eastAsia" w:eastAsia="宋体"/>
        </w:rPr>
        <w:t>无论是否立案，必须书面决定。</w:t>
      </w:r>
    </w:p>
    <w:p>
      <w:pPr>
        <w:spacing w:line="240" w:lineRule="exact"/>
        <w:ind w:firstLine="420"/>
        <w:rPr>
          <w:rFonts w:hint="eastAsia" w:eastAsia="宋体"/>
          <w:color w:val="auto"/>
        </w:rPr>
      </w:pPr>
      <w:r>
        <w:rPr>
          <w:rFonts w:hint="eastAsia" w:eastAsia="宋体"/>
          <w:color w:val="auto"/>
        </w:rPr>
        <w:t>对于有控告人的，</w:t>
      </w:r>
      <w:r>
        <w:rPr>
          <w:rFonts w:hint="eastAsia" w:eastAsia="宋体"/>
          <w:color w:val="FF0000"/>
        </w:rPr>
        <w:t>应当将不立案的决定告知控告人。控告人如果不服，可以申请复议。对于复议决定不服的，还可以向上一级公安机关申请复核。</w:t>
      </w:r>
      <w:r>
        <w:rPr>
          <w:rFonts w:hint="eastAsia" w:eastAsia="宋体"/>
          <w:color w:val="auto"/>
        </w:rPr>
        <w:t>控告人也可以申请检察院进行立案监督，还可以提起自诉。</w:t>
      </w:r>
    </w:p>
    <w:p>
      <w:pPr>
        <w:spacing w:line="240" w:lineRule="exact"/>
        <w:ind w:firstLine="420"/>
        <w:rPr>
          <w:rFonts w:hint="eastAsia" w:eastAsia="宋体"/>
          <w:color w:val="FF0000"/>
        </w:rPr>
      </w:pPr>
      <w:r>
        <w:rPr>
          <w:rFonts w:hint="eastAsia" w:eastAsia="宋体"/>
          <w:color w:val="FF0000"/>
        </w:rPr>
        <w:t>移送案件的行政执法机关对不予立案决定不服的，可以在收到不予立案通知书后三日以内向作出决定的公安机关申请</w:t>
      </w:r>
      <w:r>
        <w:rPr>
          <w:rFonts w:hint="eastAsia" w:eastAsia="宋体"/>
          <w:b/>
          <w:bCs/>
          <w:color w:val="FF0000"/>
        </w:rPr>
        <w:t>复议</w:t>
      </w:r>
      <w:r>
        <w:rPr>
          <w:rFonts w:hint="eastAsia" w:eastAsia="宋体"/>
          <w:color w:val="FF0000"/>
        </w:rPr>
        <w:t>；公安机关应当在收到行政执法机关的复议申请后三日以内作出决定，并书面通知移送案件的行政执法机关。</w:t>
      </w:r>
    </w:p>
    <w:p>
      <w:pPr>
        <w:spacing w:line="240" w:lineRule="exact"/>
        <w:ind w:firstLine="420"/>
        <w:rPr>
          <w:rFonts w:hint="eastAsia" w:eastAsia="宋体"/>
          <w:color w:val="FF0000"/>
        </w:rPr>
      </w:pPr>
      <w:r>
        <w:rPr>
          <w:rFonts w:hint="eastAsia" w:eastAsia="宋体"/>
        </w:rPr>
        <w:t>三、立案监督</w:t>
      </w:r>
    </w:p>
    <w:p>
      <w:pPr>
        <w:pStyle w:val="5"/>
        <w:spacing w:line="240" w:lineRule="exact"/>
        <w:ind w:firstLine="252" w:firstLineChars="120"/>
        <w:rPr>
          <w:rFonts w:hint="eastAsia" w:ascii="宋体" w:hAnsi="宋体" w:eastAsia="宋体"/>
          <w:sz w:val="21"/>
          <w:szCs w:val="21"/>
        </w:rPr>
      </w:pPr>
      <w:bookmarkStart w:id="14" w:name="_Toc510879055"/>
      <w:r>
        <w:rPr>
          <w:rFonts w:hint="eastAsia" w:ascii="宋体" w:hAnsi="宋体" w:eastAsia="宋体"/>
          <w:sz w:val="21"/>
          <w:szCs w:val="21"/>
        </w:rPr>
        <w:t>（一）部门分工</w:t>
      </w:r>
      <w:bookmarkEnd w:id="14"/>
    </w:p>
    <w:p>
      <w:pPr>
        <w:spacing w:line="240" w:lineRule="exact"/>
        <w:ind w:firstLine="420"/>
        <w:rPr>
          <w:rFonts w:hint="eastAsia" w:eastAsia="宋体"/>
        </w:rPr>
      </w:pPr>
      <w:r>
        <w:rPr>
          <w:rFonts w:hint="eastAsia" w:eastAsia="宋体"/>
        </w:rPr>
        <w:t>公安机关应当立案而不立案或者不应当立案而立案的</w:t>
      </w:r>
      <w:r>
        <w:rPr>
          <w:rFonts w:hint="eastAsia" w:eastAsia="宋体"/>
          <w:color w:val="FF0000"/>
        </w:rPr>
        <w:t>控告、申诉应</w:t>
      </w:r>
      <w:r>
        <w:rPr>
          <w:rFonts w:hint="eastAsia" w:eastAsia="宋体"/>
        </w:rPr>
        <w:t>由人民检察院的</w:t>
      </w:r>
      <w:r>
        <w:rPr>
          <w:rFonts w:hint="eastAsia" w:eastAsia="宋体"/>
          <w:color w:val="FF0000"/>
        </w:rPr>
        <w:t>控告检察部门受理</w:t>
      </w:r>
      <w:r>
        <w:rPr>
          <w:rFonts w:hint="eastAsia" w:eastAsia="宋体"/>
        </w:rPr>
        <w:t>，经审查认为需要公安机关说明不立案或者立案理由的，应当及时</w:t>
      </w:r>
      <w:r>
        <w:rPr>
          <w:rFonts w:hint="eastAsia" w:eastAsia="宋体"/>
          <w:color w:val="FF0000"/>
        </w:rPr>
        <w:t>将案件移送负责捕诉的部门办理</w:t>
      </w:r>
      <w:r>
        <w:rPr>
          <w:rFonts w:hint="eastAsia" w:eastAsia="宋体"/>
        </w:rPr>
        <w:t>。</w:t>
      </w:r>
    </w:p>
    <w:p>
      <w:pPr>
        <w:pStyle w:val="5"/>
        <w:spacing w:line="240" w:lineRule="exact"/>
        <w:ind w:firstLine="252" w:firstLineChars="120"/>
        <w:rPr>
          <w:rFonts w:hint="eastAsia" w:ascii="宋体" w:hAnsi="宋体" w:eastAsia="宋体"/>
          <w:sz w:val="21"/>
          <w:szCs w:val="21"/>
        </w:rPr>
      </w:pPr>
      <w:bookmarkStart w:id="15" w:name="_Toc510879056"/>
      <w:r>
        <w:rPr>
          <w:rFonts w:hint="eastAsia" w:ascii="宋体" w:hAnsi="宋体" w:eastAsia="宋体"/>
          <w:sz w:val="21"/>
          <w:szCs w:val="21"/>
        </w:rPr>
        <w:t>（二）立案监督的程序</w:t>
      </w:r>
      <w:bookmarkEnd w:id="15"/>
    </w:p>
    <w:p>
      <w:pPr>
        <w:spacing w:line="240" w:lineRule="exact"/>
        <w:ind w:firstLine="420"/>
        <w:rPr>
          <w:rFonts w:hint="eastAsia" w:eastAsia="宋体"/>
        </w:rPr>
      </w:pPr>
      <w:r>
        <w:rPr>
          <w:rFonts w:hint="eastAsia" w:eastAsia="宋体"/>
          <w:color w:val="FF0000"/>
        </w:rPr>
        <w:t>人民检察院认为公安机关不立案理由不能成立的，应当通知公安机关立案，公安机关接到通知后应当立案。</w:t>
      </w:r>
    </w:p>
    <w:p>
      <w:pPr>
        <w:pStyle w:val="2"/>
        <w:spacing w:before="0" w:line="240" w:lineRule="exact"/>
        <w:rPr>
          <w:rFonts w:hint="eastAsia" w:ascii="宋体" w:hAnsi="宋体" w:eastAsia="宋体"/>
          <w:b/>
          <w:bCs w:val="0"/>
          <w:sz w:val="21"/>
          <w:szCs w:val="21"/>
        </w:rPr>
      </w:pPr>
      <w:bookmarkStart w:id="16" w:name="_Toc4844125"/>
      <w:bookmarkStart w:id="17" w:name="_Toc64384698"/>
      <w:bookmarkStart w:id="18" w:name="_Toc126331791"/>
      <w:r>
        <w:rPr>
          <w:rFonts w:hint="eastAsia" w:ascii="宋体" w:hAnsi="宋体" w:eastAsia="宋体"/>
          <w:b/>
          <w:bCs w:val="0"/>
          <w:color w:val="auto"/>
          <w:sz w:val="21"/>
          <w:szCs w:val="21"/>
        </w:rPr>
        <w:t>考点29</w:t>
      </w:r>
      <w:r>
        <w:rPr>
          <w:rFonts w:ascii="宋体" w:hAnsi="宋体" w:eastAsia="宋体"/>
          <w:b/>
          <w:bCs w:val="0"/>
          <w:color w:val="auto"/>
          <w:sz w:val="21"/>
          <w:szCs w:val="21"/>
        </w:rPr>
        <w:t xml:space="preserve">  </w:t>
      </w:r>
      <w:r>
        <w:rPr>
          <w:rFonts w:hint="eastAsia" w:ascii="宋体" w:hAnsi="宋体" w:eastAsia="宋体"/>
          <w:b/>
          <w:bCs w:val="0"/>
          <w:color w:val="auto"/>
          <w:sz w:val="21"/>
          <w:szCs w:val="21"/>
        </w:rPr>
        <w:t>讯问犯罪嫌疑人</w:t>
      </w:r>
      <w:bookmarkEnd w:id="16"/>
      <w:bookmarkEnd w:id="17"/>
      <w:bookmarkEnd w:id="18"/>
      <w:r>
        <w:rPr>
          <w:rFonts w:hint="eastAsia" w:ascii="宋体" w:hAnsi="宋体" w:eastAsia="宋体"/>
          <w:b/>
          <w:bCs w:val="0"/>
          <w:color w:val="auto"/>
          <w:sz w:val="21"/>
          <w:szCs w:val="21"/>
        </w:rPr>
        <w:t>（09</w:t>
      </w:r>
      <w:r>
        <w:rPr>
          <w:rFonts w:ascii="宋体" w:hAnsi="宋体" w:eastAsia="宋体"/>
          <w:b/>
          <w:bCs w:val="0"/>
          <w:color w:val="auto"/>
          <w:sz w:val="21"/>
          <w:szCs w:val="21"/>
        </w:rPr>
        <w:t>:</w:t>
      </w:r>
      <w:r>
        <w:rPr>
          <w:rFonts w:hint="eastAsia" w:ascii="宋体" w:hAnsi="宋体" w:eastAsia="宋体"/>
          <w:b/>
          <w:bCs w:val="0"/>
          <w:color w:val="auto"/>
          <w:sz w:val="21"/>
          <w:szCs w:val="21"/>
        </w:rPr>
        <w:t>20</w:t>
      </w:r>
      <w:r>
        <w:rPr>
          <w:rFonts w:ascii="宋体" w:hAnsi="宋体" w:eastAsia="宋体"/>
          <w:b/>
          <w:bCs w:val="0"/>
          <w:color w:val="auto"/>
          <w:sz w:val="21"/>
          <w:szCs w:val="21"/>
        </w:rPr>
        <w:t>:00-</w:t>
      </w:r>
      <w:r>
        <w:rPr>
          <w:rFonts w:hint="eastAsia" w:ascii="宋体" w:hAnsi="宋体" w:eastAsia="宋体"/>
          <w:b/>
          <w:bCs w:val="0"/>
          <w:color w:val="auto"/>
          <w:sz w:val="21"/>
          <w:szCs w:val="21"/>
        </w:rPr>
        <w:t>09</w:t>
      </w:r>
      <w:r>
        <w:rPr>
          <w:rFonts w:ascii="宋体" w:hAnsi="宋体" w:eastAsia="宋体"/>
          <w:b/>
          <w:bCs w:val="0"/>
          <w:color w:val="auto"/>
          <w:sz w:val="21"/>
          <w:szCs w:val="21"/>
        </w:rPr>
        <w:t>:</w:t>
      </w:r>
      <w:r>
        <w:rPr>
          <w:rFonts w:hint="eastAsia" w:ascii="宋体" w:hAnsi="宋体" w:eastAsia="宋体"/>
          <w:b/>
          <w:bCs w:val="0"/>
          <w:color w:val="auto"/>
          <w:sz w:val="21"/>
          <w:szCs w:val="21"/>
        </w:rPr>
        <w:t>31</w:t>
      </w:r>
      <w:r>
        <w:rPr>
          <w:rFonts w:ascii="宋体" w:hAnsi="宋体" w:eastAsia="宋体"/>
          <w:b/>
          <w:bCs w:val="0"/>
          <w:color w:val="auto"/>
          <w:sz w:val="21"/>
          <w:szCs w:val="21"/>
        </w:rPr>
        <w:t>:00）</w:t>
      </w:r>
    </w:p>
    <w:p>
      <w:pPr>
        <w:pStyle w:val="4"/>
        <w:spacing w:line="240" w:lineRule="exact"/>
        <w:ind w:firstLine="420" w:firstLineChars="200"/>
        <w:rPr>
          <w:rFonts w:hint="eastAsia" w:eastAsia="宋体"/>
          <w:sz w:val="21"/>
        </w:rPr>
      </w:pPr>
      <w:bookmarkStart w:id="19" w:name="_Toc510879059"/>
      <w:r>
        <w:rPr>
          <w:rFonts w:hint="eastAsia" w:eastAsia="宋体"/>
          <w:sz w:val="21"/>
        </w:rPr>
        <w:t>一、讯问主体、地点与期间</w:t>
      </w:r>
      <w:bookmarkEnd w:id="19"/>
    </w:p>
    <w:p>
      <w:pPr>
        <w:spacing w:line="240" w:lineRule="exact"/>
        <w:ind w:firstLine="420"/>
        <w:rPr>
          <w:rFonts w:hint="eastAsia" w:eastAsia="宋体"/>
        </w:rPr>
      </w:pPr>
      <w:r>
        <w:rPr>
          <w:rFonts w:hint="eastAsia" w:eastAsia="宋体"/>
        </w:rPr>
        <w:t>送交看守所羁押后讯问地点为</w:t>
      </w:r>
      <w:r>
        <w:rPr>
          <w:rFonts w:eastAsia="宋体"/>
        </w:rPr>
        <w:t>看守所内</w:t>
      </w:r>
      <w:r>
        <w:rPr>
          <w:rFonts w:hint="eastAsia" w:eastAsia="宋体"/>
        </w:rPr>
        <w:t>。一般情况下</w:t>
      </w:r>
      <w:r>
        <w:rPr>
          <w:rFonts w:eastAsia="宋体"/>
        </w:rPr>
        <w:t>不得超过十二小时</w:t>
      </w:r>
      <w:r>
        <w:rPr>
          <w:rFonts w:hint="eastAsia" w:eastAsia="宋体"/>
        </w:rPr>
        <w:t>；案情特别重大、复杂，需要拘留、逮捕的，</w:t>
      </w:r>
      <w:r>
        <w:rPr>
          <w:rFonts w:eastAsia="宋体"/>
        </w:rPr>
        <w:t>不得超过二十四小时</w:t>
      </w:r>
      <w:r>
        <w:rPr>
          <w:rFonts w:hint="eastAsia" w:eastAsia="宋体"/>
        </w:rPr>
        <w:t>。</w:t>
      </w:r>
      <w:bookmarkStart w:id="20" w:name="_Toc510879060"/>
    </w:p>
    <w:p>
      <w:pPr>
        <w:spacing w:line="240" w:lineRule="exact"/>
        <w:ind w:firstLine="420"/>
        <w:rPr>
          <w:rFonts w:hint="eastAsia" w:eastAsia="宋体"/>
        </w:rPr>
      </w:pPr>
      <w:r>
        <w:rPr>
          <w:rFonts w:hint="eastAsia" w:eastAsia="宋体"/>
        </w:rPr>
        <w:t>二、讯问程序</w:t>
      </w:r>
      <w:bookmarkEnd w:id="20"/>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（一）制作讯问笔录和书写供词</w:t>
      </w:r>
    </w:p>
    <w:p>
      <w:pPr>
        <w:pStyle w:val="12"/>
        <w:spacing w:line="240" w:lineRule="exact"/>
        <w:ind w:firstLine="420"/>
        <w:rPr>
          <w:rFonts w:hint="eastAsia" w:hAnsi="宋体" w:eastAsia="宋体" w:cs="宋体"/>
          <w:sz w:val="21"/>
        </w:rPr>
      </w:pPr>
      <w:r>
        <w:rPr>
          <w:rFonts w:hAnsi="宋体" w:eastAsia="宋体" w:cs="宋体"/>
          <w:color w:val="FF0000"/>
          <w:sz w:val="21"/>
        </w:rPr>
        <w:t>犯罪嫌疑人请求自行书写供述的，应当准许。必要的时候，侦查人员也可以要犯罪嫌疑人亲笔书写供词</w:t>
      </w:r>
      <w:r>
        <w:rPr>
          <w:rFonts w:hAnsi="宋体" w:eastAsia="宋体" w:cs="宋体"/>
          <w:sz w:val="21"/>
        </w:rPr>
        <w:t>。</w:t>
      </w:r>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（二）讯问时录音录像制度</w:t>
      </w:r>
    </w:p>
    <w:p>
      <w:pPr>
        <w:pStyle w:val="12"/>
        <w:spacing w:line="240" w:lineRule="exact"/>
        <w:ind w:firstLine="420"/>
        <w:rPr>
          <w:rFonts w:hint="eastAsia" w:hAnsi="宋体" w:eastAsia="宋体" w:cs="宋体"/>
          <w:sz w:val="21"/>
        </w:rPr>
      </w:pPr>
      <w:r>
        <w:rPr>
          <w:rFonts w:hint="eastAsia" w:hAnsi="宋体" w:eastAsia="宋体" w:cs="宋体"/>
          <w:sz w:val="21"/>
        </w:rPr>
        <w:t>讯问犯罪嫌疑人，在文字记录的同时，可以对讯问过程进行录音录像。</w:t>
      </w:r>
      <w:r>
        <w:rPr>
          <w:rFonts w:hint="eastAsia" w:hAnsi="宋体" w:eastAsia="宋体" w:cs="宋体"/>
          <w:color w:val="FF0000"/>
          <w:sz w:val="21"/>
        </w:rPr>
        <w:t>对于可能判处无期徒刑、死刑的案件或者其他重大犯罪案件，应当对讯问过程进行录音录像</w:t>
      </w:r>
      <w:r>
        <w:rPr>
          <w:rFonts w:hint="eastAsia" w:hAnsi="宋体" w:eastAsia="宋体" w:cs="宋体"/>
          <w:sz w:val="21"/>
        </w:rPr>
        <w:t>。</w:t>
      </w:r>
    </w:p>
    <w:p>
      <w:pPr>
        <w:pStyle w:val="12"/>
        <w:spacing w:line="240" w:lineRule="exact"/>
        <w:ind w:firstLine="420"/>
        <w:rPr>
          <w:rFonts w:hint="eastAsia" w:hAnsi="宋体" w:eastAsia="宋体" w:cs="宋体"/>
          <w:sz w:val="21"/>
        </w:rPr>
      </w:pPr>
      <w:r>
        <w:rPr>
          <w:rFonts w:hint="eastAsia" w:hAnsi="宋体" w:eastAsia="宋体" w:cs="宋体"/>
          <w:sz w:val="21"/>
        </w:rPr>
        <w:t>对讯问过程录音录像的，</w:t>
      </w:r>
      <w:r>
        <w:rPr>
          <w:rFonts w:hint="eastAsia" w:hAnsi="宋体" w:eastAsia="宋体" w:cs="宋体"/>
          <w:color w:val="FF0000"/>
          <w:sz w:val="21"/>
        </w:rPr>
        <w:t>应当对每一次讯问全程不间断进行，保持完整性。不得选择性地录制，不得剪接、删改</w:t>
      </w:r>
      <w:r>
        <w:rPr>
          <w:rFonts w:hint="eastAsia" w:hAnsi="宋体" w:eastAsia="宋体" w:cs="宋体"/>
          <w:sz w:val="21"/>
        </w:rPr>
        <w:t>。</w:t>
      </w:r>
    </w:p>
    <w:p>
      <w:pPr>
        <w:pStyle w:val="2"/>
        <w:spacing w:before="0" w:line="240" w:lineRule="exact"/>
        <w:rPr>
          <w:rFonts w:hint="eastAsia" w:ascii="宋体" w:hAnsi="宋体" w:eastAsia="宋体"/>
          <w:b/>
          <w:bCs w:val="0"/>
          <w:color w:val="auto"/>
          <w:sz w:val="21"/>
          <w:szCs w:val="21"/>
        </w:rPr>
      </w:pPr>
      <w:bookmarkStart w:id="21" w:name="_Toc510879061"/>
      <w:bookmarkStart w:id="22" w:name="_Toc64384699"/>
      <w:bookmarkStart w:id="23" w:name="_Toc4844126"/>
      <w:bookmarkStart w:id="24" w:name="_Toc126331792"/>
      <w:r>
        <w:rPr>
          <w:rFonts w:hint="eastAsia" w:ascii="宋体" w:hAnsi="宋体" w:eastAsia="宋体"/>
          <w:b/>
          <w:bCs w:val="0"/>
          <w:color w:val="auto"/>
          <w:sz w:val="21"/>
          <w:szCs w:val="21"/>
        </w:rPr>
        <w:t>考点30  询问证人、被害人的程序和方式</w:t>
      </w:r>
      <w:bookmarkEnd w:id="21"/>
      <w:bookmarkEnd w:id="22"/>
      <w:bookmarkEnd w:id="23"/>
      <w:bookmarkEnd w:id="24"/>
      <w:r>
        <w:rPr>
          <w:rFonts w:hint="eastAsia" w:ascii="宋体" w:hAnsi="宋体" w:eastAsia="宋体"/>
          <w:b/>
          <w:bCs w:val="0"/>
          <w:color w:val="auto"/>
          <w:sz w:val="21"/>
          <w:szCs w:val="21"/>
        </w:rPr>
        <w:t>（09</w:t>
      </w:r>
      <w:r>
        <w:rPr>
          <w:rFonts w:ascii="宋体" w:hAnsi="宋体" w:eastAsia="宋体"/>
          <w:b/>
          <w:bCs w:val="0"/>
          <w:color w:val="auto"/>
          <w:sz w:val="21"/>
          <w:szCs w:val="21"/>
        </w:rPr>
        <w:t>:</w:t>
      </w:r>
      <w:r>
        <w:rPr>
          <w:rFonts w:hint="eastAsia" w:ascii="宋体" w:hAnsi="宋体" w:eastAsia="宋体"/>
          <w:b/>
          <w:bCs w:val="0"/>
          <w:color w:val="auto"/>
          <w:sz w:val="21"/>
          <w:szCs w:val="21"/>
        </w:rPr>
        <w:t>40</w:t>
      </w:r>
      <w:r>
        <w:rPr>
          <w:rFonts w:ascii="宋体" w:hAnsi="宋体" w:eastAsia="宋体"/>
          <w:b/>
          <w:bCs w:val="0"/>
          <w:color w:val="auto"/>
          <w:sz w:val="21"/>
          <w:szCs w:val="21"/>
        </w:rPr>
        <w:t>:00-</w:t>
      </w:r>
      <w:r>
        <w:rPr>
          <w:rFonts w:hint="eastAsia" w:ascii="宋体" w:hAnsi="宋体" w:eastAsia="宋体"/>
          <w:b/>
          <w:bCs w:val="0"/>
          <w:color w:val="auto"/>
          <w:sz w:val="21"/>
          <w:szCs w:val="21"/>
        </w:rPr>
        <w:t>09</w:t>
      </w:r>
      <w:r>
        <w:rPr>
          <w:rFonts w:ascii="宋体" w:hAnsi="宋体" w:eastAsia="宋体"/>
          <w:b/>
          <w:bCs w:val="0"/>
          <w:color w:val="auto"/>
          <w:sz w:val="21"/>
          <w:szCs w:val="21"/>
        </w:rPr>
        <w:t>:</w:t>
      </w:r>
      <w:r>
        <w:rPr>
          <w:rFonts w:hint="eastAsia" w:ascii="宋体" w:hAnsi="宋体" w:eastAsia="宋体"/>
          <w:b/>
          <w:bCs w:val="0"/>
          <w:color w:val="auto"/>
          <w:sz w:val="21"/>
          <w:szCs w:val="21"/>
        </w:rPr>
        <w:t>47</w:t>
      </w:r>
      <w:r>
        <w:rPr>
          <w:rFonts w:ascii="宋体" w:hAnsi="宋体" w:eastAsia="宋体"/>
          <w:b/>
          <w:bCs w:val="0"/>
          <w:color w:val="auto"/>
          <w:sz w:val="21"/>
          <w:szCs w:val="21"/>
        </w:rPr>
        <w:t>:00）</w:t>
      </w:r>
    </w:p>
    <w:p>
      <w:pPr>
        <w:pStyle w:val="4"/>
        <w:spacing w:line="240" w:lineRule="exact"/>
        <w:ind w:firstLine="420" w:firstLineChars="200"/>
        <w:rPr>
          <w:rFonts w:hint="eastAsia" w:eastAsia="宋体"/>
          <w:sz w:val="21"/>
        </w:rPr>
      </w:pPr>
      <w:r>
        <w:rPr>
          <w:rFonts w:hint="eastAsia" w:eastAsia="宋体"/>
          <w:sz w:val="21"/>
        </w:rPr>
        <w:t>一、询问的地点</w:t>
      </w:r>
    </w:p>
    <w:p>
      <w:pPr>
        <w:spacing w:line="240" w:lineRule="exact"/>
        <w:ind w:firstLine="420"/>
        <w:rPr>
          <w:rFonts w:hint="eastAsia" w:eastAsia="宋体"/>
          <w:kern w:val="0"/>
        </w:rPr>
      </w:pPr>
      <w:r>
        <w:rPr>
          <w:rFonts w:hint="eastAsia" w:eastAsia="宋体"/>
          <w:kern w:val="0"/>
        </w:rPr>
        <w:t>询问证人、被害人，</w:t>
      </w:r>
      <w:r>
        <w:rPr>
          <w:rFonts w:hint="eastAsia" w:eastAsia="宋体"/>
          <w:color w:val="FF0000"/>
          <w:kern w:val="0"/>
        </w:rPr>
        <w:t>可以在现场进行</w:t>
      </w:r>
      <w:r>
        <w:rPr>
          <w:rFonts w:hint="eastAsia" w:eastAsia="宋体"/>
          <w:kern w:val="0"/>
        </w:rPr>
        <w:t>，也可以到证人、被害人</w:t>
      </w:r>
      <w:r>
        <w:rPr>
          <w:rFonts w:hint="eastAsia" w:eastAsia="宋体"/>
          <w:color w:val="FF0000"/>
          <w:kern w:val="0"/>
        </w:rPr>
        <w:t>所在单位、住处</w:t>
      </w:r>
      <w:r>
        <w:rPr>
          <w:rFonts w:hint="eastAsia" w:eastAsia="宋体"/>
          <w:kern w:val="0"/>
        </w:rPr>
        <w:t>或者证人、被害人</w:t>
      </w:r>
      <w:r>
        <w:rPr>
          <w:rFonts w:hint="eastAsia" w:eastAsia="宋体"/>
          <w:color w:val="FF0000"/>
          <w:kern w:val="0"/>
        </w:rPr>
        <w:t>提出的地点</w:t>
      </w:r>
      <w:r>
        <w:rPr>
          <w:rFonts w:hint="eastAsia" w:eastAsia="宋体"/>
          <w:kern w:val="0"/>
        </w:rPr>
        <w:t>进行。在必要的时候，可以书面、电话或者当场通知证人、被害人到</w:t>
      </w:r>
      <w:r>
        <w:rPr>
          <w:rFonts w:hint="eastAsia" w:eastAsia="宋体"/>
          <w:color w:val="FF0000"/>
          <w:kern w:val="0"/>
        </w:rPr>
        <w:t>公安机关</w:t>
      </w:r>
      <w:r>
        <w:rPr>
          <w:rFonts w:hint="eastAsia" w:eastAsia="宋体"/>
          <w:kern w:val="0"/>
        </w:rPr>
        <w:t>提供证言。</w:t>
      </w:r>
    </w:p>
    <w:p>
      <w:pPr>
        <w:spacing w:line="240" w:lineRule="exact"/>
        <w:ind w:firstLine="420"/>
        <w:rPr>
          <w:rFonts w:hint="eastAsia" w:eastAsia="宋体"/>
          <w:kern w:val="0"/>
        </w:rPr>
      </w:pPr>
      <w:r>
        <w:rPr>
          <w:rFonts w:hint="eastAsia" w:eastAsia="宋体"/>
        </w:rPr>
        <w:t>二、询问证人和讯问犯罪嫌疑人的区别</w:t>
      </w:r>
    </w:p>
    <w:p>
      <w:pPr>
        <w:spacing w:line="240" w:lineRule="exact"/>
        <w:ind w:firstLine="420"/>
        <w:rPr>
          <w:rFonts w:hint="eastAsia" w:eastAsia="宋体"/>
          <w:bCs/>
        </w:rPr>
      </w:pPr>
      <w:r>
        <w:rPr>
          <w:rFonts w:hint="eastAsia" w:eastAsia="宋体"/>
          <w:bCs/>
        </w:rPr>
        <w:t>第一，对犯罪嫌疑人的讯问适用</w:t>
      </w:r>
      <w:r>
        <w:rPr>
          <w:rFonts w:hint="eastAsia" w:eastAsia="宋体"/>
          <w:bCs/>
          <w:color w:val="FF0000"/>
        </w:rPr>
        <w:t>传唤</w:t>
      </w:r>
      <w:r>
        <w:rPr>
          <w:rFonts w:hint="eastAsia" w:eastAsia="宋体"/>
          <w:bCs/>
        </w:rPr>
        <w:t>，对证人的询问适用</w:t>
      </w:r>
      <w:r>
        <w:rPr>
          <w:rFonts w:hint="eastAsia" w:eastAsia="宋体"/>
          <w:bCs/>
          <w:color w:val="FF0000"/>
        </w:rPr>
        <w:t>通知</w:t>
      </w:r>
      <w:r>
        <w:rPr>
          <w:rFonts w:hint="eastAsia" w:eastAsia="宋体"/>
          <w:bCs/>
        </w:rPr>
        <w:t>。</w:t>
      </w:r>
    </w:p>
    <w:p>
      <w:pPr>
        <w:spacing w:line="240" w:lineRule="exact"/>
        <w:ind w:firstLine="420"/>
        <w:rPr>
          <w:rFonts w:hint="eastAsia" w:eastAsia="宋体"/>
          <w:bCs/>
        </w:rPr>
      </w:pPr>
      <w:r>
        <w:rPr>
          <w:rFonts w:hint="eastAsia" w:eastAsia="宋体"/>
          <w:bCs/>
        </w:rPr>
        <w:t>第二，对犯罪嫌疑人可以在犯罪嫌疑人所在市县内的指定地点进行讯问，对证人则不可以。</w:t>
      </w:r>
      <w:r>
        <w:rPr>
          <w:rFonts w:hint="eastAsia" w:eastAsia="宋体"/>
          <w:bCs/>
          <w:color w:val="FF0000"/>
        </w:rPr>
        <w:t>对证人可以在其自己提出的地点进行询问，但不能为其指定地点</w:t>
      </w:r>
      <w:r>
        <w:rPr>
          <w:rFonts w:hint="eastAsia" w:eastAsia="宋体"/>
          <w:bCs/>
        </w:rPr>
        <w:t>。</w:t>
      </w:r>
    </w:p>
    <w:p>
      <w:pPr>
        <w:spacing w:line="240" w:lineRule="exact"/>
        <w:ind w:firstLine="420"/>
        <w:rPr>
          <w:rFonts w:hint="eastAsia" w:eastAsia="宋体"/>
          <w:bCs/>
        </w:rPr>
      </w:pPr>
      <w:r>
        <w:rPr>
          <w:rFonts w:hint="eastAsia" w:eastAsia="宋体"/>
          <w:bCs/>
        </w:rPr>
        <w:t>第三，只有在</w:t>
      </w:r>
      <w:r>
        <w:rPr>
          <w:rFonts w:hint="eastAsia" w:eastAsia="宋体"/>
          <w:bCs/>
          <w:color w:val="FF0000"/>
        </w:rPr>
        <w:t>必要的时候</w:t>
      </w:r>
      <w:r>
        <w:rPr>
          <w:rFonts w:hint="eastAsia" w:eastAsia="宋体"/>
          <w:bCs/>
        </w:rPr>
        <w:t>，才可以通知证人到人民检察院或公安机关提供证言。</w:t>
      </w:r>
    </w:p>
    <w:p>
      <w:pPr>
        <w:spacing w:line="240" w:lineRule="exact"/>
        <w:ind w:firstLine="422"/>
        <w:rPr>
          <w:rFonts w:hint="eastAsia" w:eastAsia="宋体"/>
          <w:b/>
          <w:color w:val="FF0000"/>
        </w:rPr>
      </w:pPr>
      <w:r>
        <w:rPr>
          <w:rFonts w:hint="eastAsia" w:eastAsia="宋体"/>
          <w:b/>
          <w:color w:val="FF0000"/>
        </w:rPr>
        <w:t>四、远程询（讯）问</w:t>
      </w:r>
    </w:p>
    <w:p>
      <w:pPr>
        <w:spacing w:line="240" w:lineRule="exact"/>
        <w:ind w:firstLine="420"/>
        <w:rPr>
          <w:rFonts w:hint="eastAsia" w:eastAsia="宋体"/>
          <w:bCs/>
        </w:rPr>
      </w:pPr>
      <w:r>
        <w:rPr>
          <w:rFonts w:hint="eastAsia" w:eastAsia="宋体"/>
          <w:bCs/>
        </w:rPr>
        <w:t>根据《关于办理信息网络犯罪案件适用刑事诉讼程序若干问题的意见》第</w:t>
      </w:r>
      <w:r>
        <w:rPr>
          <w:rFonts w:eastAsia="宋体"/>
          <w:bCs/>
        </w:rPr>
        <w:t>15条规定，询（讯）问异地证人、被害人以及与案件有关联的犯罪嫌疑人的，可以由办案地公安机关通过远程网络视频等方式进行并制作笔录。远程询（讯）问的，应当对询（讯）问过程同步录音录像，并随案移送。</w:t>
      </w:r>
    </w:p>
    <w:p>
      <w:pPr>
        <w:pStyle w:val="2"/>
        <w:spacing w:before="0" w:line="240" w:lineRule="exact"/>
        <w:rPr>
          <w:rFonts w:hint="eastAsia" w:ascii="宋体" w:hAnsi="宋体" w:eastAsia="宋体"/>
          <w:b/>
          <w:bCs w:val="0"/>
          <w:color w:val="auto"/>
          <w:sz w:val="21"/>
          <w:szCs w:val="21"/>
        </w:rPr>
      </w:pPr>
      <w:bookmarkStart w:id="25" w:name="_Toc510879062"/>
      <w:bookmarkStart w:id="26" w:name="_Toc64384700"/>
      <w:bookmarkStart w:id="27" w:name="_Toc4844127"/>
      <w:bookmarkStart w:id="28" w:name="_Toc126331793"/>
      <w:r>
        <w:rPr>
          <w:rFonts w:hint="eastAsia" w:ascii="宋体" w:hAnsi="宋体" w:eastAsia="宋体"/>
          <w:b/>
          <w:bCs w:val="0"/>
          <w:color w:val="auto"/>
          <w:sz w:val="21"/>
          <w:szCs w:val="21"/>
        </w:rPr>
        <w:t>考点31  勘验、检查的程序</w:t>
      </w:r>
      <w:bookmarkEnd w:id="25"/>
      <w:bookmarkEnd w:id="26"/>
      <w:bookmarkEnd w:id="27"/>
      <w:bookmarkEnd w:id="28"/>
      <w:r>
        <w:rPr>
          <w:rFonts w:hint="eastAsia" w:ascii="宋体" w:hAnsi="宋体" w:eastAsia="宋体"/>
          <w:b/>
          <w:bCs w:val="0"/>
          <w:color w:val="auto"/>
          <w:sz w:val="21"/>
          <w:szCs w:val="21"/>
        </w:rPr>
        <w:t>（09</w:t>
      </w:r>
      <w:r>
        <w:rPr>
          <w:rFonts w:ascii="宋体" w:hAnsi="宋体" w:eastAsia="宋体"/>
          <w:b/>
          <w:bCs w:val="0"/>
          <w:color w:val="auto"/>
          <w:sz w:val="21"/>
          <w:szCs w:val="21"/>
        </w:rPr>
        <w:t>:</w:t>
      </w:r>
      <w:r>
        <w:rPr>
          <w:rFonts w:hint="eastAsia" w:ascii="宋体" w:hAnsi="宋体" w:eastAsia="宋体"/>
          <w:b/>
          <w:bCs w:val="0"/>
          <w:color w:val="auto"/>
          <w:sz w:val="21"/>
          <w:szCs w:val="21"/>
        </w:rPr>
        <w:t>47</w:t>
      </w:r>
      <w:r>
        <w:rPr>
          <w:rFonts w:ascii="宋体" w:hAnsi="宋体" w:eastAsia="宋体"/>
          <w:b/>
          <w:bCs w:val="0"/>
          <w:color w:val="auto"/>
          <w:sz w:val="21"/>
          <w:szCs w:val="21"/>
        </w:rPr>
        <w:t>:00-</w:t>
      </w:r>
      <w:r>
        <w:rPr>
          <w:rFonts w:hint="eastAsia" w:ascii="宋体" w:hAnsi="宋体" w:eastAsia="宋体"/>
          <w:b/>
          <w:bCs w:val="0"/>
          <w:color w:val="auto"/>
          <w:sz w:val="21"/>
          <w:szCs w:val="21"/>
        </w:rPr>
        <w:t>09</w:t>
      </w:r>
      <w:r>
        <w:rPr>
          <w:rFonts w:ascii="宋体" w:hAnsi="宋体" w:eastAsia="宋体"/>
          <w:b/>
          <w:bCs w:val="0"/>
          <w:color w:val="auto"/>
          <w:sz w:val="21"/>
          <w:szCs w:val="21"/>
        </w:rPr>
        <w:t>:</w:t>
      </w:r>
      <w:r>
        <w:rPr>
          <w:rFonts w:hint="eastAsia" w:ascii="宋体" w:hAnsi="宋体" w:eastAsia="宋体"/>
          <w:b/>
          <w:bCs w:val="0"/>
          <w:color w:val="auto"/>
          <w:sz w:val="21"/>
          <w:szCs w:val="21"/>
        </w:rPr>
        <w:t>55</w:t>
      </w:r>
      <w:r>
        <w:rPr>
          <w:rFonts w:ascii="宋体" w:hAnsi="宋体" w:eastAsia="宋体"/>
          <w:b/>
          <w:bCs w:val="0"/>
          <w:color w:val="auto"/>
          <w:sz w:val="21"/>
          <w:szCs w:val="21"/>
        </w:rPr>
        <w:t>:00）</w:t>
      </w:r>
    </w:p>
    <w:p>
      <w:pPr>
        <w:pStyle w:val="4"/>
        <w:spacing w:line="240" w:lineRule="exact"/>
        <w:ind w:firstLine="420" w:firstLineChars="200"/>
        <w:rPr>
          <w:rFonts w:hint="eastAsia" w:eastAsia="宋体"/>
          <w:sz w:val="21"/>
        </w:rPr>
      </w:pPr>
      <w:bookmarkStart w:id="29" w:name="_Toc510879063"/>
      <w:r>
        <w:rPr>
          <w:rFonts w:hint="eastAsia" w:eastAsia="宋体"/>
          <w:sz w:val="21"/>
        </w:rPr>
        <w:t>一、勘验、检查</w:t>
      </w:r>
      <w:bookmarkEnd w:id="29"/>
    </w:p>
    <w:p>
      <w:pPr>
        <w:pStyle w:val="5"/>
        <w:spacing w:line="240" w:lineRule="exact"/>
        <w:ind w:firstLine="420" w:firstLineChars="200"/>
        <w:rPr>
          <w:rFonts w:hint="eastAsia" w:ascii="宋体" w:hAnsi="宋体" w:eastAsia="宋体"/>
          <w:sz w:val="21"/>
          <w:szCs w:val="21"/>
        </w:rPr>
      </w:pPr>
      <w:r>
        <w:rPr>
          <w:rFonts w:hint="eastAsia" w:ascii="宋体" w:hAnsi="宋体" w:eastAsia="宋体"/>
          <w:sz w:val="21"/>
          <w:szCs w:val="21"/>
        </w:rPr>
        <w:t>（一）参加人员</w:t>
      </w:r>
    </w:p>
    <w:p>
      <w:pPr>
        <w:spacing w:line="240" w:lineRule="exact"/>
        <w:ind w:firstLine="420"/>
        <w:rPr>
          <w:rFonts w:hint="eastAsia" w:eastAsia="宋体"/>
          <w:kern w:val="0"/>
        </w:rPr>
      </w:pPr>
      <w:r>
        <w:rPr>
          <w:rFonts w:hint="eastAsia" w:eastAsia="宋体"/>
          <w:kern w:val="0"/>
        </w:rPr>
        <w:t>侦查人员对于</w:t>
      </w:r>
      <w:r>
        <w:rPr>
          <w:rFonts w:hint="eastAsia" w:eastAsia="宋体"/>
          <w:color w:val="FF0000"/>
          <w:kern w:val="0"/>
        </w:rPr>
        <w:t>与犯罪有关的场所、物品、人身、尸体</w:t>
      </w:r>
      <w:r>
        <w:rPr>
          <w:rFonts w:hint="eastAsia" w:eastAsia="宋体"/>
          <w:kern w:val="0"/>
        </w:rPr>
        <w:t>应当进行勘验或者检查。在必要的时候，可以指派或者聘请具有专门知识的人，在侦查人员的主持下进行勘验、检查。”</w:t>
      </w:r>
    </w:p>
    <w:p>
      <w:pPr>
        <w:spacing w:line="240" w:lineRule="exact"/>
        <w:ind w:firstLine="420"/>
        <w:rPr>
          <w:rFonts w:hint="eastAsia" w:eastAsia="宋体"/>
          <w:kern w:val="0"/>
        </w:rPr>
      </w:pPr>
      <w:r>
        <w:rPr>
          <w:rFonts w:hint="eastAsia" w:eastAsia="宋体"/>
          <w:kern w:val="0"/>
        </w:rPr>
        <w:t>公安机关对案件现场</w:t>
      </w:r>
      <w:r>
        <w:rPr>
          <w:rFonts w:hint="eastAsia" w:eastAsia="宋体"/>
          <w:color w:val="FF0000"/>
          <w:kern w:val="0"/>
        </w:rPr>
        <w:t>进行勘查不得少于二人</w:t>
      </w:r>
      <w:r>
        <w:rPr>
          <w:rFonts w:hint="eastAsia" w:eastAsia="宋体"/>
          <w:kern w:val="0"/>
        </w:rPr>
        <w:t>。勘查现场时，</w:t>
      </w:r>
      <w:r>
        <w:rPr>
          <w:rFonts w:hint="eastAsia" w:eastAsia="宋体"/>
          <w:color w:val="FF0000"/>
          <w:kern w:val="0"/>
        </w:rPr>
        <w:t>应当邀请与案件无关的公民作为见证人</w:t>
      </w:r>
      <w:r>
        <w:rPr>
          <w:rFonts w:hint="eastAsia" w:eastAsia="宋体"/>
          <w:kern w:val="0"/>
        </w:rPr>
        <w:t>。</w:t>
      </w:r>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（二）程序</w:t>
      </w:r>
    </w:p>
    <w:p>
      <w:pPr>
        <w:tabs>
          <w:tab w:val="clear" w:pos="420"/>
        </w:tabs>
        <w:spacing w:line="240" w:lineRule="exact"/>
        <w:ind w:firstLine="420"/>
        <w:jc w:val="left"/>
        <w:rPr>
          <w:rFonts w:hint="eastAsia" w:eastAsia="宋体" w:cs="汉仪中黑简"/>
          <w:bCs/>
          <w:kern w:val="44"/>
        </w:rPr>
      </w:pPr>
      <w:r>
        <w:rPr>
          <w:rFonts w:hint="eastAsia" w:eastAsia="宋体" w:cs="汉仪中黑简"/>
          <w:bCs/>
          <w:kern w:val="44"/>
        </w:rPr>
        <w:t>1</w:t>
      </w:r>
      <w:r>
        <w:rPr>
          <w:rFonts w:eastAsia="宋体" w:cs="汉仪中黑简"/>
          <w:bCs/>
          <w:kern w:val="44"/>
        </w:rPr>
        <w:t>.</w:t>
      </w:r>
      <w:r>
        <w:rPr>
          <w:rFonts w:hint="eastAsia" w:eastAsia="宋体" w:cs="汉仪中黑简"/>
          <w:bCs/>
          <w:kern w:val="44"/>
        </w:rPr>
        <w:t>人身检查的条件和程序</w:t>
      </w:r>
    </w:p>
    <w:p>
      <w:pPr>
        <w:spacing w:line="240" w:lineRule="exact"/>
        <w:ind w:firstLine="420"/>
        <w:rPr>
          <w:rFonts w:hint="eastAsia" w:eastAsia="宋体"/>
          <w:kern w:val="0"/>
        </w:rPr>
      </w:pPr>
      <w:r>
        <w:rPr>
          <w:rFonts w:hint="eastAsia" w:eastAsia="宋体"/>
          <w:color w:val="FF0000"/>
          <w:kern w:val="0"/>
        </w:rPr>
        <w:t>犯罪嫌疑人如果拒绝检查，侦查人员认为必要的时候，经办案部门负责人批准，可以强制检查、提取、采集</w:t>
      </w:r>
      <w:r>
        <w:rPr>
          <w:rFonts w:hint="eastAsia" w:eastAsia="宋体"/>
          <w:kern w:val="0"/>
        </w:rPr>
        <w:t>。检查妇女的身体，应当由女工作人员或者医师进行。</w:t>
      </w:r>
    </w:p>
    <w:p>
      <w:pPr>
        <w:tabs>
          <w:tab w:val="clear" w:pos="420"/>
        </w:tabs>
        <w:spacing w:line="240" w:lineRule="exact"/>
        <w:ind w:firstLine="420"/>
        <w:jc w:val="left"/>
        <w:rPr>
          <w:rFonts w:hint="eastAsia" w:eastAsia="宋体" w:cs="汉仪中黑简"/>
          <w:bCs/>
          <w:kern w:val="44"/>
        </w:rPr>
      </w:pPr>
      <w:r>
        <w:rPr>
          <w:rFonts w:eastAsia="宋体" w:cs="汉仪中黑简"/>
          <w:bCs/>
          <w:kern w:val="44"/>
        </w:rPr>
        <w:t>2</w:t>
      </w:r>
      <w:r>
        <w:rPr>
          <w:rFonts w:hint="eastAsia" w:eastAsia="宋体" w:cs="汉仪中黑简"/>
          <w:bCs/>
          <w:kern w:val="44"/>
        </w:rPr>
        <w:t>．制作笔录</w:t>
      </w:r>
    </w:p>
    <w:p>
      <w:pPr>
        <w:spacing w:line="240" w:lineRule="exact"/>
        <w:ind w:firstLine="420"/>
        <w:rPr>
          <w:rFonts w:hint="eastAsia" w:eastAsia="宋体"/>
          <w:kern w:val="0"/>
        </w:rPr>
      </w:pPr>
      <w:r>
        <w:rPr>
          <w:rFonts w:hint="eastAsia" w:eastAsia="宋体"/>
          <w:kern w:val="0"/>
        </w:rPr>
        <w:t>勘查现场，应当拍摄现场照片、绘制现场图，制作笔录，由参加勘查的人和见证人签名。</w:t>
      </w:r>
      <w:r>
        <w:rPr>
          <w:rFonts w:hint="eastAsia" w:eastAsia="宋体"/>
          <w:color w:val="FF0000"/>
          <w:kern w:val="0"/>
        </w:rPr>
        <w:t>对重大案件的现场，应当录像</w:t>
      </w:r>
      <w:r>
        <w:rPr>
          <w:rFonts w:hint="eastAsia" w:eastAsia="宋体"/>
          <w:kern w:val="0"/>
        </w:rPr>
        <w:t>。</w:t>
      </w:r>
      <w:bookmarkStart w:id="30" w:name="_Toc510879064"/>
    </w:p>
    <w:p>
      <w:pPr>
        <w:spacing w:line="240" w:lineRule="exact"/>
        <w:ind w:firstLine="420"/>
        <w:rPr>
          <w:rFonts w:hint="eastAsia" w:eastAsia="宋体"/>
          <w:kern w:val="0"/>
        </w:rPr>
      </w:pPr>
      <w:r>
        <w:rPr>
          <w:rFonts w:hint="eastAsia" w:eastAsia="宋体"/>
        </w:rPr>
        <w:t>二、侦查实验</w:t>
      </w:r>
      <w:bookmarkEnd w:id="30"/>
    </w:p>
    <w:p>
      <w:pPr>
        <w:spacing w:line="240" w:lineRule="exact"/>
        <w:ind w:firstLine="420"/>
        <w:rPr>
          <w:rFonts w:hint="eastAsia" w:eastAsia="宋体"/>
          <w:kern w:val="0"/>
        </w:rPr>
      </w:pPr>
      <w:r>
        <w:rPr>
          <w:rFonts w:hint="eastAsia" w:eastAsia="宋体"/>
          <w:kern w:val="0"/>
        </w:rPr>
        <w:t>为了查明案情，在必要的时候，经</w:t>
      </w:r>
      <w:r>
        <w:rPr>
          <w:rFonts w:hint="eastAsia" w:eastAsia="宋体"/>
          <w:color w:val="FF0000"/>
          <w:kern w:val="0"/>
        </w:rPr>
        <w:t>县级以上公安机关负责人批准</w:t>
      </w:r>
      <w:r>
        <w:rPr>
          <w:rFonts w:hint="eastAsia" w:eastAsia="宋体"/>
          <w:kern w:val="0"/>
        </w:rPr>
        <w:t>，可以进行侦查实验。进行侦查实验，</w:t>
      </w:r>
      <w:r>
        <w:rPr>
          <w:rFonts w:hint="eastAsia" w:eastAsia="宋体"/>
          <w:color w:val="FF0000"/>
          <w:kern w:val="0"/>
        </w:rPr>
        <w:t>应当全程录音录像</w:t>
      </w:r>
      <w:r>
        <w:rPr>
          <w:rFonts w:hint="eastAsia" w:eastAsia="宋体"/>
          <w:kern w:val="0"/>
        </w:rPr>
        <w:t>，并制作侦查实验笔录，由参加实验的人签名。</w:t>
      </w:r>
    </w:p>
    <w:p>
      <w:pPr>
        <w:pStyle w:val="2"/>
        <w:spacing w:before="0" w:line="240" w:lineRule="exact"/>
        <w:rPr>
          <w:rFonts w:hint="eastAsia" w:ascii="宋体" w:hAnsi="宋体" w:eastAsia="宋体"/>
          <w:b/>
          <w:bCs w:val="0"/>
          <w:color w:val="auto"/>
          <w:sz w:val="21"/>
          <w:szCs w:val="21"/>
        </w:rPr>
      </w:pPr>
      <w:bookmarkStart w:id="31" w:name="_Toc4844128"/>
      <w:bookmarkStart w:id="32" w:name="_Toc510879065"/>
      <w:bookmarkStart w:id="33" w:name="_Toc64384701"/>
      <w:bookmarkStart w:id="34" w:name="_Toc126331794"/>
      <w:r>
        <w:rPr>
          <w:rFonts w:hint="eastAsia" w:ascii="宋体" w:hAnsi="宋体" w:eastAsia="宋体"/>
          <w:b/>
          <w:bCs w:val="0"/>
          <w:color w:val="auto"/>
          <w:sz w:val="21"/>
          <w:szCs w:val="21"/>
        </w:rPr>
        <w:t>考点32  辨认的程序</w:t>
      </w:r>
      <w:bookmarkEnd w:id="31"/>
      <w:bookmarkEnd w:id="32"/>
      <w:bookmarkEnd w:id="33"/>
      <w:bookmarkEnd w:id="34"/>
      <w:r>
        <w:rPr>
          <w:rFonts w:hint="eastAsia" w:ascii="宋体" w:hAnsi="宋体" w:eastAsia="宋体"/>
          <w:b/>
          <w:bCs w:val="0"/>
          <w:color w:val="auto"/>
          <w:sz w:val="21"/>
          <w:szCs w:val="21"/>
        </w:rPr>
        <w:t>（09</w:t>
      </w:r>
      <w:r>
        <w:rPr>
          <w:rFonts w:ascii="宋体" w:hAnsi="宋体" w:eastAsia="宋体"/>
          <w:b/>
          <w:bCs w:val="0"/>
          <w:color w:val="auto"/>
          <w:sz w:val="21"/>
          <w:szCs w:val="21"/>
        </w:rPr>
        <w:t>:</w:t>
      </w:r>
      <w:r>
        <w:rPr>
          <w:rFonts w:hint="eastAsia" w:ascii="宋体" w:hAnsi="宋体" w:eastAsia="宋体"/>
          <w:b/>
          <w:bCs w:val="0"/>
          <w:color w:val="auto"/>
          <w:sz w:val="21"/>
          <w:szCs w:val="21"/>
        </w:rPr>
        <w:t>55</w:t>
      </w:r>
      <w:r>
        <w:rPr>
          <w:rFonts w:ascii="宋体" w:hAnsi="宋体" w:eastAsia="宋体"/>
          <w:b/>
          <w:bCs w:val="0"/>
          <w:color w:val="auto"/>
          <w:sz w:val="21"/>
          <w:szCs w:val="21"/>
        </w:rPr>
        <w:t>:00-</w:t>
      </w:r>
      <w:r>
        <w:rPr>
          <w:rFonts w:hint="eastAsia" w:ascii="宋体" w:hAnsi="宋体" w:eastAsia="宋体"/>
          <w:b/>
          <w:bCs w:val="0"/>
          <w:color w:val="auto"/>
          <w:sz w:val="21"/>
          <w:szCs w:val="21"/>
        </w:rPr>
        <w:t>10</w:t>
      </w:r>
      <w:r>
        <w:rPr>
          <w:rFonts w:ascii="宋体" w:hAnsi="宋体" w:eastAsia="宋体"/>
          <w:b/>
          <w:bCs w:val="0"/>
          <w:color w:val="auto"/>
          <w:sz w:val="21"/>
          <w:szCs w:val="21"/>
        </w:rPr>
        <w:t>:</w:t>
      </w:r>
      <w:r>
        <w:rPr>
          <w:rFonts w:hint="eastAsia" w:ascii="宋体" w:hAnsi="宋体" w:eastAsia="宋体"/>
          <w:b/>
          <w:bCs w:val="0"/>
          <w:color w:val="auto"/>
          <w:sz w:val="21"/>
          <w:szCs w:val="21"/>
        </w:rPr>
        <w:t>04</w:t>
      </w:r>
      <w:r>
        <w:rPr>
          <w:rFonts w:ascii="宋体" w:hAnsi="宋体" w:eastAsia="宋体"/>
          <w:b/>
          <w:bCs w:val="0"/>
          <w:color w:val="auto"/>
          <w:sz w:val="21"/>
          <w:szCs w:val="21"/>
        </w:rPr>
        <w:t>:00）</w:t>
      </w:r>
      <w:r>
        <w:rPr>
          <w:rFonts w:hint="eastAsia" w:ascii="宋体" w:hAnsi="宋体" w:eastAsia="宋体"/>
          <w:b/>
          <w:bCs w:val="0"/>
          <w:color w:val="auto"/>
          <w:sz w:val="21"/>
          <w:szCs w:val="21"/>
        </w:rPr>
        <w:t>【结合对辨认笔录的审查一并掌握】</w:t>
      </w:r>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（一）个别辨认</w:t>
      </w:r>
    </w:p>
    <w:p>
      <w:pPr>
        <w:pStyle w:val="12"/>
        <w:spacing w:line="240" w:lineRule="exact"/>
        <w:ind w:firstLine="420"/>
        <w:rPr>
          <w:rFonts w:hint="eastAsia" w:hAnsi="宋体" w:eastAsia="宋体" w:cs="宋体"/>
          <w:sz w:val="21"/>
        </w:rPr>
      </w:pPr>
      <w:r>
        <w:rPr>
          <w:rFonts w:hint="eastAsia" w:hAnsi="宋体" w:eastAsia="宋体" w:cs="宋体"/>
          <w:sz w:val="21"/>
        </w:rPr>
        <w:t>辨认应当在侦查人员的主持下进行。主持辨认的侦查人员不得少于二人。</w:t>
      </w:r>
      <w:r>
        <w:rPr>
          <w:rFonts w:hint="eastAsia" w:hAnsi="宋体" w:eastAsia="宋体" w:cs="宋体"/>
          <w:color w:val="FF0000"/>
          <w:sz w:val="21"/>
        </w:rPr>
        <w:t>几名辨认人对同一辨认对象进行辨认时，应当由辨认人个别进行</w:t>
      </w:r>
      <w:r>
        <w:rPr>
          <w:rFonts w:hint="eastAsia" w:hAnsi="宋体" w:eastAsia="宋体" w:cs="宋体"/>
          <w:sz w:val="21"/>
        </w:rPr>
        <w:t>。</w:t>
      </w:r>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（二）混杂辨认</w:t>
      </w:r>
    </w:p>
    <w:p>
      <w:pPr>
        <w:spacing w:line="240" w:lineRule="exact"/>
        <w:ind w:firstLine="420"/>
        <w:rPr>
          <w:rFonts w:hint="eastAsia"/>
        </w:rPr>
      </w:pPr>
      <w:r>
        <w:rPr>
          <w:rFonts w:hint="eastAsia" w:eastAsia="宋体"/>
        </w:rPr>
        <w:t>犯罪嫌疑人：不得少于七人；犯罪嫌疑人照片：不得少于十份照片；物品：同类物品不得少于五件</w:t>
      </w:r>
      <w:r>
        <w:rPr>
          <w:rFonts w:hint="eastAsia" w:eastAsia="宋体"/>
          <w:color w:val="FF0000"/>
        </w:rPr>
        <w:t>（公安：同类物品的照片不得少于十件；检察：物品的照片不得少于5张）</w:t>
      </w:r>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（三）对辨认人的保护</w:t>
      </w:r>
    </w:p>
    <w:p>
      <w:pPr>
        <w:pStyle w:val="12"/>
        <w:spacing w:line="240" w:lineRule="exact"/>
        <w:ind w:firstLine="420"/>
        <w:rPr>
          <w:rFonts w:hint="eastAsia" w:hAnsi="宋体" w:eastAsia="宋体" w:cs="宋体"/>
          <w:sz w:val="21"/>
        </w:rPr>
      </w:pPr>
      <w:r>
        <w:rPr>
          <w:rFonts w:hint="eastAsia" w:hAnsi="宋体" w:eastAsia="宋体" w:cs="宋体"/>
          <w:color w:val="FF0000"/>
          <w:sz w:val="21"/>
        </w:rPr>
        <w:t>对犯罪嫌疑人的辨认</w:t>
      </w:r>
      <w:r>
        <w:rPr>
          <w:rFonts w:hint="eastAsia" w:hAnsi="宋体" w:eastAsia="宋体" w:cs="宋体"/>
          <w:sz w:val="21"/>
        </w:rPr>
        <w:t>，</w:t>
      </w:r>
      <w:r>
        <w:rPr>
          <w:rFonts w:hint="eastAsia" w:hAnsi="宋体" w:eastAsia="宋体" w:cs="宋体"/>
          <w:color w:val="FF0000"/>
          <w:sz w:val="21"/>
        </w:rPr>
        <w:t>辨认人不愿意公开进行时</w:t>
      </w:r>
      <w:r>
        <w:rPr>
          <w:rFonts w:hint="eastAsia" w:hAnsi="宋体" w:eastAsia="宋体" w:cs="宋体"/>
          <w:sz w:val="21"/>
        </w:rPr>
        <w:t>，可以在</w:t>
      </w:r>
      <w:r>
        <w:rPr>
          <w:rFonts w:hint="eastAsia" w:hAnsi="宋体" w:eastAsia="宋体" w:cs="宋体"/>
          <w:color w:val="FF0000"/>
          <w:sz w:val="21"/>
        </w:rPr>
        <w:t>不暴露辨认人</w:t>
      </w:r>
      <w:r>
        <w:rPr>
          <w:rFonts w:hint="eastAsia" w:hAnsi="宋体" w:eastAsia="宋体" w:cs="宋体"/>
          <w:sz w:val="21"/>
        </w:rPr>
        <w:t>的情况下进行，并应当为其</w:t>
      </w:r>
      <w:r>
        <w:rPr>
          <w:rFonts w:hint="eastAsia" w:hAnsi="宋体" w:eastAsia="宋体" w:cs="宋体"/>
          <w:color w:val="FF0000"/>
          <w:sz w:val="21"/>
        </w:rPr>
        <w:t>保守秘密</w:t>
      </w:r>
      <w:r>
        <w:rPr>
          <w:rFonts w:hint="eastAsia" w:hAnsi="宋体" w:eastAsia="宋体" w:cs="宋体"/>
          <w:sz w:val="21"/>
        </w:rPr>
        <w:t>。</w:t>
      </w:r>
    </w:p>
    <w:p>
      <w:pPr>
        <w:pStyle w:val="2"/>
        <w:spacing w:before="0" w:line="240" w:lineRule="exact"/>
        <w:rPr>
          <w:rFonts w:hint="eastAsia" w:ascii="宋体" w:hAnsi="宋体" w:eastAsia="宋体"/>
          <w:b/>
          <w:bCs w:val="0"/>
          <w:color w:val="FF0000"/>
          <w:sz w:val="21"/>
          <w:szCs w:val="21"/>
        </w:rPr>
      </w:pPr>
      <w:bookmarkStart w:id="35" w:name="_Toc510879068"/>
      <w:bookmarkStart w:id="36" w:name="_Toc64384702"/>
      <w:bookmarkStart w:id="37" w:name="_Toc4844129"/>
      <w:bookmarkStart w:id="38" w:name="_Toc126331795"/>
      <w:r>
        <w:rPr>
          <w:rFonts w:hint="eastAsia" w:ascii="宋体" w:hAnsi="宋体" w:eastAsia="宋体"/>
          <w:b/>
          <w:bCs w:val="0"/>
          <w:color w:val="FF0000"/>
          <w:sz w:val="21"/>
          <w:szCs w:val="21"/>
        </w:rPr>
        <w:t>考点33  技术侦查</w:t>
      </w:r>
      <w:bookmarkEnd w:id="35"/>
      <w:bookmarkEnd w:id="36"/>
      <w:bookmarkEnd w:id="37"/>
      <w:bookmarkEnd w:id="38"/>
      <w:r>
        <w:rPr>
          <w:rFonts w:hint="eastAsia" w:ascii="宋体" w:hAnsi="宋体" w:eastAsia="宋体"/>
          <w:b/>
          <w:bCs w:val="0"/>
          <w:color w:val="FF0000"/>
          <w:sz w:val="21"/>
          <w:szCs w:val="21"/>
        </w:rPr>
        <w:t>（10</w:t>
      </w:r>
      <w:r>
        <w:rPr>
          <w:rFonts w:ascii="宋体" w:hAnsi="宋体" w:eastAsia="宋体"/>
          <w:b/>
          <w:bCs w:val="0"/>
          <w:color w:val="FF0000"/>
          <w:sz w:val="21"/>
          <w:szCs w:val="21"/>
        </w:rPr>
        <w:t>:</w:t>
      </w:r>
      <w:r>
        <w:rPr>
          <w:rFonts w:hint="eastAsia" w:ascii="宋体" w:hAnsi="宋体" w:eastAsia="宋体"/>
          <w:b/>
          <w:bCs w:val="0"/>
          <w:color w:val="FF0000"/>
          <w:sz w:val="21"/>
          <w:szCs w:val="21"/>
        </w:rPr>
        <w:t>04</w:t>
      </w:r>
      <w:r>
        <w:rPr>
          <w:rFonts w:ascii="宋体" w:hAnsi="宋体" w:eastAsia="宋体"/>
          <w:b/>
          <w:bCs w:val="0"/>
          <w:color w:val="FF0000"/>
          <w:sz w:val="21"/>
          <w:szCs w:val="21"/>
        </w:rPr>
        <w:t>:00-</w:t>
      </w:r>
      <w:r>
        <w:rPr>
          <w:rFonts w:hint="eastAsia" w:ascii="宋体" w:hAnsi="宋体" w:eastAsia="宋体"/>
          <w:b/>
          <w:bCs w:val="0"/>
          <w:color w:val="FF0000"/>
          <w:sz w:val="21"/>
          <w:szCs w:val="21"/>
        </w:rPr>
        <w:t>10</w:t>
      </w:r>
      <w:r>
        <w:rPr>
          <w:rFonts w:ascii="宋体" w:hAnsi="宋体" w:eastAsia="宋体"/>
          <w:b/>
          <w:bCs w:val="0"/>
          <w:color w:val="FF0000"/>
          <w:sz w:val="21"/>
          <w:szCs w:val="21"/>
        </w:rPr>
        <w:t>:</w:t>
      </w:r>
      <w:r>
        <w:rPr>
          <w:rFonts w:hint="eastAsia" w:ascii="宋体" w:hAnsi="宋体" w:eastAsia="宋体"/>
          <w:b/>
          <w:bCs w:val="0"/>
          <w:color w:val="FF0000"/>
          <w:sz w:val="21"/>
          <w:szCs w:val="21"/>
        </w:rPr>
        <w:t>20</w:t>
      </w:r>
      <w:r>
        <w:rPr>
          <w:rFonts w:ascii="宋体" w:hAnsi="宋体" w:eastAsia="宋体"/>
          <w:b/>
          <w:bCs w:val="0"/>
          <w:color w:val="FF0000"/>
          <w:sz w:val="21"/>
          <w:szCs w:val="21"/>
        </w:rPr>
        <w:t>:00）</w:t>
      </w:r>
      <w:r>
        <w:rPr>
          <w:rFonts w:hint="eastAsia" w:ascii="宋体" w:hAnsi="宋体" w:eastAsia="宋体"/>
          <w:b/>
          <w:bCs w:val="0"/>
          <w:color w:val="FF0000"/>
          <w:sz w:val="21"/>
          <w:szCs w:val="21"/>
        </w:rPr>
        <w:t>【重点】</w:t>
      </w:r>
    </w:p>
    <w:p>
      <w:pPr>
        <w:pStyle w:val="4"/>
        <w:spacing w:line="240" w:lineRule="exact"/>
        <w:ind w:firstLine="420" w:firstLineChars="200"/>
        <w:rPr>
          <w:rFonts w:hint="eastAsia" w:eastAsia="宋体"/>
          <w:sz w:val="21"/>
        </w:rPr>
      </w:pPr>
      <w:bookmarkStart w:id="39" w:name="_Toc510879069"/>
      <w:r>
        <w:rPr>
          <w:rFonts w:hint="eastAsia" w:eastAsia="宋体"/>
          <w:sz w:val="21"/>
        </w:rPr>
        <w:t>一、技术侦查及秘密侦查的措施</w:t>
      </w:r>
      <w:bookmarkEnd w:id="39"/>
    </w:p>
    <w:p>
      <w:pPr>
        <w:spacing w:line="240" w:lineRule="exact"/>
        <w:ind w:firstLine="420"/>
        <w:rPr>
          <w:rFonts w:hint="eastAsia" w:eastAsia="宋体" w:cs="仿宋_GB2312"/>
        </w:rPr>
      </w:pPr>
      <w:r>
        <w:rPr>
          <w:rFonts w:hint="eastAsia" w:eastAsia="宋体" w:cs="仿宋_GB2312"/>
        </w:rPr>
        <w:t>技术侦查措施是指由设区的</w:t>
      </w:r>
      <w:r>
        <w:rPr>
          <w:rFonts w:hint="eastAsia" w:eastAsia="宋体" w:cs="仿宋_GB2312"/>
          <w:color w:val="FF0000"/>
        </w:rPr>
        <w:t>市一级以上公安机关</w:t>
      </w:r>
      <w:r>
        <w:rPr>
          <w:rFonts w:hint="eastAsia" w:eastAsia="宋体" w:cs="仿宋_GB2312"/>
        </w:rPr>
        <w:t>负责技术侦查的部门实施的</w:t>
      </w:r>
      <w:r>
        <w:rPr>
          <w:rFonts w:hint="eastAsia" w:eastAsia="宋体" w:cs="仿宋_GB2312"/>
          <w:color w:val="FF0000"/>
        </w:rPr>
        <w:t>记录监控、行踪监控、通信监控、场所监控</w:t>
      </w:r>
      <w:r>
        <w:rPr>
          <w:rFonts w:hint="eastAsia" w:eastAsia="宋体" w:cs="仿宋_GB2312"/>
        </w:rPr>
        <w:t>等措施。</w:t>
      </w:r>
    </w:p>
    <w:p>
      <w:pPr>
        <w:spacing w:line="240" w:lineRule="exact"/>
        <w:ind w:firstLine="420"/>
        <w:rPr>
          <w:rFonts w:hint="eastAsia" w:eastAsia="宋体" w:cs="仿宋_GB2312"/>
        </w:rPr>
      </w:pPr>
      <w:r>
        <w:rPr>
          <w:rFonts w:hint="eastAsia" w:eastAsia="宋体"/>
          <w:kern w:val="0"/>
        </w:rPr>
        <w:t>为了查明案情，在必要的时候，经</w:t>
      </w:r>
      <w:r>
        <w:rPr>
          <w:rFonts w:hint="eastAsia" w:eastAsia="宋体"/>
          <w:color w:val="FF0000"/>
          <w:kern w:val="0"/>
        </w:rPr>
        <w:t>县级以上公安机关负责人</w:t>
      </w:r>
      <w:r>
        <w:rPr>
          <w:rFonts w:hint="eastAsia" w:eastAsia="宋体"/>
          <w:kern w:val="0"/>
        </w:rPr>
        <w:t>决定，可以</w:t>
      </w:r>
      <w:r>
        <w:rPr>
          <w:rFonts w:hint="eastAsia" w:eastAsia="宋体"/>
          <w:color w:val="FF0000"/>
          <w:kern w:val="0"/>
        </w:rPr>
        <w:t>由有关人员隐匿其身份实施侦查</w:t>
      </w:r>
      <w:r>
        <w:rPr>
          <w:rFonts w:hint="eastAsia" w:eastAsia="宋体"/>
          <w:kern w:val="0"/>
        </w:rPr>
        <w:t>。对涉及给付毒品等违禁品或者财物的犯罪活动，公安机关根据侦查犯罪的需要，可以实施</w:t>
      </w:r>
      <w:r>
        <w:rPr>
          <w:rFonts w:hint="eastAsia" w:eastAsia="宋体"/>
          <w:color w:val="FF0000"/>
          <w:kern w:val="0"/>
        </w:rPr>
        <w:t>控制下交付</w:t>
      </w:r>
      <w:r>
        <w:rPr>
          <w:rFonts w:hint="eastAsia" w:eastAsia="宋体"/>
          <w:kern w:val="0"/>
        </w:rPr>
        <w:t>。</w:t>
      </w:r>
      <w:r>
        <w:rPr>
          <w:rFonts w:hint="eastAsia" w:eastAsia="宋体"/>
          <w:color w:val="FF0000"/>
          <w:kern w:val="0"/>
        </w:rPr>
        <w:t>控制下交付</w:t>
      </w:r>
      <w:r>
        <w:rPr>
          <w:rFonts w:hint="eastAsia" w:eastAsia="宋体"/>
          <w:kern w:val="0"/>
        </w:rPr>
        <w:t>适用于</w:t>
      </w:r>
      <w:r>
        <w:rPr>
          <w:rFonts w:hint="eastAsia" w:eastAsia="宋体"/>
          <w:color w:val="FF0000"/>
          <w:kern w:val="0"/>
        </w:rPr>
        <w:t>给付毒品等违禁品或者财物的犯罪活动</w:t>
      </w:r>
      <w:r>
        <w:rPr>
          <w:rFonts w:hint="eastAsia" w:eastAsia="宋体"/>
          <w:kern w:val="0"/>
        </w:rPr>
        <w:t>。</w:t>
      </w:r>
      <w:bookmarkStart w:id="40" w:name="_Toc510879070"/>
    </w:p>
    <w:p>
      <w:pPr>
        <w:spacing w:line="240" w:lineRule="exact"/>
        <w:ind w:firstLine="420"/>
        <w:rPr>
          <w:rFonts w:hint="eastAsia" w:eastAsia="宋体"/>
          <w:kern w:val="0"/>
        </w:rPr>
      </w:pPr>
      <w:r>
        <w:rPr>
          <w:rFonts w:hint="eastAsia" w:eastAsia="宋体"/>
        </w:rPr>
        <w:t>二、技术侦查的适用对象</w:t>
      </w:r>
      <w:bookmarkEnd w:id="40"/>
    </w:p>
    <w:p>
      <w:pPr>
        <w:spacing w:line="240" w:lineRule="exact"/>
        <w:ind w:firstLine="420"/>
        <w:rPr>
          <w:rFonts w:hint="eastAsia" w:eastAsia="宋体"/>
          <w:kern w:val="0"/>
        </w:rPr>
      </w:pPr>
      <w:r>
        <w:rPr>
          <w:rFonts w:hint="eastAsia" w:eastAsia="宋体"/>
          <w:kern w:val="0"/>
        </w:rPr>
        <w:t>技术侦查措施的适用对象是</w:t>
      </w:r>
      <w:r>
        <w:rPr>
          <w:rFonts w:hint="eastAsia" w:eastAsia="宋体"/>
          <w:color w:val="FF0000"/>
          <w:kern w:val="0"/>
        </w:rPr>
        <w:t>犯罪嫌疑人、被告人</w:t>
      </w:r>
      <w:r>
        <w:rPr>
          <w:rFonts w:hint="eastAsia" w:eastAsia="宋体"/>
          <w:kern w:val="0"/>
        </w:rPr>
        <w:t>以及</w:t>
      </w:r>
      <w:r>
        <w:rPr>
          <w:rFonts w:hint="eastAsia" w:eastAsia="宋体"/>
          <w:color w:val="FF0000"/>
          <w:kern w:val="0"/>
        </w:rPr>
        <w:t>与犯罪活动直接关联的人员</w:t>
      </w:r>
      <w:r>
        <w:rPr>
          <w:rFonts w:hint="eastAsia" w:eastAsia="宋体"/>
          <w:kern w:val="0"/>
        </w:rPr>
        <w:t>。</w:t>
      </w:r>
      <w:bookmarkStart w:id="41" w:name="_Toc510879071"/>
    </w:p>
    <w:p>
      <w:pPr>
        <w:spacing w:line="240" w:lineRule="exact"/>
        <w:ind w:firstLine="420"/>
        <w:rPr>
          <w:rFonts w:hint="eastAsia" w:eastAsia="宋体"/>
          <w:kern w:val="0"/>
        </w:rPr>
      </w:pPr>
      <w:r>
        <w:rPr>
          <w:rFonts w:hint="eastAsia" w:eastAsia="宋体"/>
        </w:rPr>
        <w:t>三、技术侦查的适用范围</w:t>
      </w:r>
      <w:bookmarkEnd w:id="41"/>
    </w:p>
    <w:p>
      <w:pPr>
        <w:pStyle w:val="12"/>
        <w:spacing w:line="240" w:lineRule="exact"/>
        <w:ind w:firstLine="420"/>
        <w:rPr>
          <w:rFonts w:hint="eastAsia" w:hAnsi="宋体" w:eastAsia="宋体" w:cs="宋体"/>
          <w:sz w:val="21"/>
        </w:rPr>
      </w:pPr>
      <w:r>
        <w:rPr>
          <w:rFonts w:hint="eastAsia" w:hAnsi="宋体" w:eastAsia="宋体" w:cs="宋体"/>
          <w:sz w:val="21"/>
        </w:rPr>
        <w:t>公安机关在立案后，对于</w:t>
      </w:r>
      <w:r>
        <w:rPr>
          <w:rFonts w:hint="eastAsia" w:hAnsi="宋体" w:eastAsia="宋体" w:cs="宋体"/>
          <w:color w:val="FF0000"/>
          <w:sz w:val="21"/>
        </w:rPr>
        <w:t>危害国家安全犯罪、恐怖活动犯罪、黑社会性质的组织犯罪、重大毒品犯罪或者其他严重危害社会的犯罪案件</w:t>
      </w:r>
      <w:r>
        <w:rPr>
          <w:rFonts w:hint="eastAsia" w:hAnsi="宋体" w:eastAsia="宋体" w:cs="宋体"/>
          <w:sz w:val="21"/>
        </w:rPr>
        <w:t>，根据侦查犯罪的需要，经过严格的批准手续，可以采取技术侦查措施。</w:t>
      </w:r>
      <w:r>
        <w:rPr>
          <w:rFonts w:hint="eastAsia" w:hAnsi="宋体" w:eastAsia="宋体" w:cs="宋体"/>
          <w:color w:val="FF0000"/>
          <w:sz w:val="21"/>
        </w:rPr>
        <w:t>追捕被通缉或者批准、决定逮捕的在逃的犯罪嫌疑人、被告人，经过批准，可以采取追捕所必需的技术侦查措施</w:t>
      </w:r>
      <w:r>
        <w:rPr>
          <w:rFonts w:hint="eastAsia" w:hAnsi="宋体" w:eastAsia="宋体" w:cs="宋体"/>
          <w:sz w:val="21"/>
        </w:rPr>
        <w:t>。</w:t>
      </w:r>
    </w:p>
    <w:p>
      <w:pPr>
        <w:pStyle w:val="12"/>
        <w:spacing w:line="240" w:lineRule="exact"/>
        <w:ind w:firstLine="420"/>
        <w:rPr>
          <w:rFonts w:hint="eastAsia" w:hAnsi="宋体" w:eastAsia="宋体"/>
          <w:sz w:val="21"/>
        </w:rPr>
      </w:pPr>
      <w:bookmarkStart w:id="42" w:name="_Toc510879072"/>
      <w:r>
        <w:rPr>
          <w:rFonts w:hint="eastAsia" w:eastAsia="宋体"/>
          <w:sz w:val="21"/>
        </w:rPr>
        <w:t>四、技术侦查的程序</w:t>
      </w:r>
      <w:bookmarkEnd w:id="42"/>
    </w:p>
    <w:p>
      <w:pPr>
        <w:pStyle w:val="12"/>
        <w:spacing w:line="240" w:lineRule="exact"/>
        <w:ind w:firstLine="420"/>
        <w:rPr>
          <w:rFonts w:hint="eastAsia" w:hAnsi="宋体" w:eastAsia="宋体" w:cs="宋体"/>
          <w:sz w:val="21"/>
        </w:rPr>
      </w:pPr>
      <w:r>
        <w:rPr>
          <w:rFonts w:hAnsi="宋体" w:eastAsia="宋体" w:cs="宋体"/>
          <w:sz w:val="21"/>
        </w:rPr>
        <w:t>批准决定应当根据侦查犯罪的需要，确定采取技术侦查措施的种类和适用对象。采取技术侦查措施，</w:t>
      </w:r>
      <w:r>
        <w:rPr>
          <w:rFonts w:hAnsi="宋体" w:eastAsia="宋体" w:cs="宋体"/>
          <w:color w:val="FF0000"/>
          <w:sz w:val="21"/>
        </w:rPr>
        <w:t>必须严格按照批准的措施种类、适用对象和期限执行</w:t>
      </w:r>
      <w:r>
        <w:rPr>
          <w:rFonts w:hAnsi="宋体" w:eastAsia="宋体" w:cs="宋体"/>
          <w:sz w:val="21"/>
        </w:rPr>
        <w:t>。</w:t>
      </w:r>
    </w:p>
    <w:p>
      <w:pPr>
        <w:pStyle w:val="12"/>
        <w:spacing w:line="240" w:lineRule="exact"/>
        <w:ind w:firstLine="420"/>
        <w:rPr>
          <w:rFonts w:hint="eastAsia" w:hAnsi="宋体" w:eastAsia="宋体" w:cs="宋体"/>
          <w:sz w:val="21"/>
        </w:rPr>
      </w:pPr>
      <w:r>
        <w:rPr>
          <w:rFonts w:hAnsi="宋体" w:eastAsia="宋体" w:cs="宋体"/>
          <w:color w:val="FF0000"/>
          <w:sz w:val="21"/>
        </w:rPr>
        <w:t>批准决定自签发之日起三个月以内有效</w:t>
      </w:r>
      <w:r>
        <w:rPr>
          <w:rFonts w:hAnsi="宋体" w:eastAsia="宋体" w:cs="宋体"/>
          <w:sz w:val="21"/>
        </w:rPr>
        <w:t>。对于不需要继续采取技术侦查措施的，应当及时解除；</w:t>
      </w:r>
      <w:r>
        <w:rPr>
          <w:rFonts w:hAnsi="宋体" w:eastAsia="宋体" w:cs="宋体"/>
          <w:color w:val="FF0000"/>
          <w:sz w:val="21"/>
        </w:rPr>
        <w:t>对于复杂、疑难案件，期限届满仍有必要继续采取技术侦查措施的，经过批准，有效期可以延长，每次不得超过三个月。</w:t>
      </w:r>
    </w:p>
    <w:p>
      <w:pPr>
        <w:pStyle w:val="12"/>
        <w:spacing w:line="240" w:lineRule="exact"/>
        <w:ind w:firstLine="420"/>
        <w:rPr>
          <w:rFonts w:hint="eastAsia" w:hAnsi="宋体" w:eastAsia="宋体" w:cs="宋体"/>
          <w:sz w:val="21"/>
        </w:rPr>
      </w:pPr>
      <w:r>
        <w:rPr>
          <w:rFonts w:hAnsi="宋体" w:eastAsia="宋体" w:cs="宋体"/>
          <w:sz w:val="21"/>
        </w:rPr>
        <w:t>侦查人员对采取技术侦查措施过程中知悉的国家秘密、商业秘密和个人隐私，应当</w:t>
      </w:r>
      <w:r>
        <w:rPr>
          <w:rFonts w:hAnsi="宋体" w:eastAsia="宋体" w:cs="宋体"/>
          <w:color w:val="FF0000"/>
          <w:sz w:val="21"/>
        </w:rPr>
        <w:t>保密</w:t>
      </w:r>
      <w:r>
        <w:rPr>
          <w:rFonts w:hAnsi="宋体" w:eastAsia="宋体" w:cs="宋体"/>
          <w:sz w:val="21"/>
        </w:rPr>
        <w:t>；对采取技术侦查措施获取的与案件无关的材料，必须</w:t>
      </w:r>
      <w:r>
        <w:rPr>
          <w:rFonts w:hAnsi="宋体" w:eastAsia="宋体" w:cs="宋体"/>
          <w:color w:val="FF0000"/>
          <w:sz w:val="21"/>
        </w:rPr>
        <w:t>及时销毁</w:t>
      </w:r>
      <w:r>
        <w:rPr>
          <w:rFonts w:hAnsi="宋体" w:eastAsia="宋体" w:cs="宋体"/>
          <w:sz w:val="21"/>
        </w:rPr>
        <w:t>。采取技术侦查措施获取的材料，</w:t>
      </w:r>
      <w:r>
        <w:rPr>
          <w:rFonts w:hAnsi="宋体" w:eastAsia="宋体" w:cs="宋体"/>
          <w:color w:val="FF0000"/>
          <w:sz w:val="21"/>
        </w:rPr>
        <w:t>只能用于对犯罪的侦查、起诉和审判，不得用于其他用途</w:t>
      </w:r>
      <w:r>
        <w:rPr>
          <w:rFonts w:hAnsi="宋体" w:eastAsia="宋体" w:cs="宋体"/>
          <w:sz w:val="21"/>
        </w:rPr>
        <w:t>。公安机关依法采取技术侦查措施，有关单位和个人应当配合，并对有关情况予以保密。</w:t>
      </w:r>
      <w:bookmarkStart w:id="43" w:name="_Toc510879073"/>
      <w:bookmarkEnd w:id="43"/>
    </w:p>
    <w:p>
      <w:pPr>
        <w:pStyle w:val="2"/>
        <w:spacing w:before="0" w:line="240" w:lineRule="exact"/>
        <w:rPr>
          <w:rFonts w:hint="eastAsia" w:ascii="宋体" w:hAnsi="宋体" w:eastAsia="宋体"/>
          <w:b/>
          <w:bCs w:val="0"/>
          <w:color w:val="auto"/>
          <w:sz w:val="21"/>
          <w:szCs w:val="21"/>
        </w:rPr>
      </w:pPr>
      <w:r>
        <w:rPr>
          <w:rFonts w:hint="eastAsia" w:ascii="宋体" w:hAnsi="宋体" w:eastAsia="宋体"/>
          <w:b/>
          <w:bCs w:val="0"/>
          <w:color w:val="auto"/>
          <w:sz w:val="21"/>
          <w:szCs w:val="21"/>
        </w:rPr>
        <w:t xml:space="preserve">考点34  </w:t>
      </w:r>
      <w:bookmarkEnd w:id="4"/>
      <w:bookmarkEnd w:id="5"/>
      <w:r>
        <w:rPr>
          <w:rFonts w:hint="eastAsia" w:ascii="宋体" w:hAnsi="宋体" w:eastAsia="宋体"/>
          <w:b/>
          <w:bCs w:val="0"/>
          <w:color w:val="auto"/>
          <w:sz w:val="21"/>
          <w:szCs w:val="21"/>
        </w:rPr>
        <w:t>其他侦查行为（10</w:t>
      </w:r>
      <w:r>
        <w:rPr>
          <w:rFonts w:ascii="宋体" w:hAnsi="宋体" w:eastAsia="宋体"/>
          <w:b/>
          <w:bCs w:val="0"/>
          <w:color w:val="auto"/>
          <w:sz w:val="21"/>
          <w:szCs w:val="21"/>
        </w:rPr>
        <w:t>:</w:t>
      </w:r>
      <w:r>
        <w:rPr>
          <w:rFonts w:hint="eastAsia" w:ascii="宋体" w:hAnsi="宋体" w:eastAsia="宋体"/>
          <w:b/>
          <w:bCs w:val="0"/>
          <w:color w:val="auto"/>
          <w:sz w:val="21"/>
          <w:szCs w:val="21"/>
        </w:rPr>
        <w:t>20</w:t>
      </w:r>
      <w:r>
        <w:rPr>
          <w:rFonts w:ascii="宋体" w:hAnsi="宋体" w:eastAsia="宋体"/>
          <w:b/>
          <w:bCs w:val="0"/>
          <w:color w:val="auto"/>
          <w:sz w:val="21"/>
          <w:szCs w:val="21"/>
        </w:rPr>
        <w:t>:00-</w:t>
      </w:r>
      <w:r>
        <w:rPr>
          <w:rFonts w:hint="eastAsia" w:ascii="宋体" w:hAnsi="宋体" w:eastAsia="宋体"/>
          <w:b/>
          <w:bCs w:val="0"/>
          <w:color w:val="auto"/>
          <w:sz w:val="21"/>
          <w:szCs w:val="21"/>
        </w:rPr>
        <w:t>10</w:t>
      </w:r>
      <w:r>
        <w:rPr>
          <w:rFonts w:ascii="宋体" w:hAnsi="宋体" w:eastAsia="宋体"/>
          <w:b/>
          <w:bCs w:val="0"/>
          <w:color w:val="auto"/>
          <w:sz w:val="21"/>
          <w:szCs w:val="21"/>
        </w:rPr>
        <w:t>:</w:t>
      </w:r>
      <w:r>
        <w:rPr>
          <w:rFonts w:hint="eastAsia" w:ascii="宋体" w:hAnsi="宋体" w:eastAsia="宋体"/>
          <w:b/>
          <w:bCs w:val="0"/>
          <w:color w:val="auto"/>
          <w:sz w:val="21"/>
          <w:szCs w:val="21"/>
        </w:rPr>
        <w:t>36</w:t>
      </w:r>
      <w:r>
        <w:rPr>
          <w:rFonts w:ascii="宋体" w:hAnsi="宋体" w:eastAsia="宋体"/>
          <w:b/>
          <w:bCs w:val="0"/>
          <w:color w:val="auto"/>
          <w:sz w:val="21"/>
          <w:szCs w:val="21"/>
        </w:rPr>
        <w:t>:00）</w:t>
      </w:r>
    </w:p>
    <w:p>
      <w:pPr>
        <w:pStyle w:val="4"/>
        <w:spacing w:line="240" w:lineRule="exact"/>
        <w:ind w:firstLine="420" w:firstLineChars="200"/>
        <w:rPr>
          <w:rFonts w:hint="eastAsia" w:eastAsia="宋体"/>
          <w:sz w:val="21"/>
        </w:rPr>
      </w:pPr>
      <w:r>
        <w:rPr>
          <w:rFonts w:hint="eastAsia" w:eastAsia="宋体"/>
          <w:sz w:val="21"/>
        </w:rPr>
        <w:t>一、搜查</w:t>
      </w:r>
    </w:p>
    <w:p>
      <w:pPr>
        <w:pStyle w:val="4"/>
        <w:spacing w:line="240" w:lineRule="exact"/>
        <w:ind w:firstLine="420" w:firstLineChars="200"/>
        <w:rPr>
          <w:rFonts w:hint="eastAsia" w:eastAsia="宋体"/>
          <w:sz w:val="21"/>
        </w:rPr>
      </w:pPr>
      <w:r>
        <w:rPr>
          <w:rFonts w:hint="eastAsia" w:eastAsia="宋体"/>
          <w:sz w:val="21"/>
        </w:rPr>
        <w:t>（一）搜查的范围和对象</w:t>
      </w:r>
    </w:p>
    <w:p>
      <w:pPr>
        <w:spacing w:line="240" w:lineRule="exact"/>
        <w:ind w:firstLine="420"/>
        <w:rPr>
          <w:rFonts w:hint="eastAsia" w:eastAsia="宋体"/>
          <w:kern w:val="0"/>
        </w:rPr>
      </w:pPr>
      <w:r>
        <w:rPr>
          <w:rFonts w:hint="eastAsia" w:eastAsia="宋体"/>
          <w:kern w:val="0"/>
        </w:rPr>
        <w:t>经县级以上公安机关负责人批准，侦查人员可以</w:t>
      </w:r>
      <w:r>
        <w:rPr>
          <w:rFonts w:hint="eastAsia" w:eastAsia="宋体"/>
          <w:color w:val="FF0000"/>
          <w:kern w:val="0"/>
        </w:rPr>
        <w:t>对犯罪嫌疑人以及可能隐藏罪犯或者犯罪证据的人的身体、物品、住处和其他有关的地方</w:t>
      </w:r>
      <w:r>
        <w:rPr>
          <w:rFonts w:hint="eastAsia" w:eastAsia="宋体"/>
          <w:kern w:val="0"/>
        </w:rPr>
        <w:t>进行搜查。</w:t>
      </w:r>
    </w:p>
    <w:p>
      <w:pPr>
        <w:spacing w:line="240" w:lineRule="exact"/>
        <w:ind w:firstLine="420"/>
        <w:rPr>
          <w:rFonts w:hint="eastAsia" w:eastAsia="宋体"/>
          <w:kern w:val="0"/>
        </w:rPr>
      </w:pPr>
      <w:r>
        <w:rPr>
          <w:rFonts w:hint="eastAsia" w:eastAsia="宋体"/>
        </w:rPr>
        <w:t>（二）紧急情况下的“无证搜查”</w:t>
      </w:r>
    </w:p>
    <w:p>
      <w:pPr>
        <w:spacing w:line="240" w:lineRule="exact"/>
        <w:ind w:firstLine="420"/>
        <w:rPr>
          <w:rFonts w:hint="eastAsia" w:eastAsia="宋体"/>
          <w:kern w:val="0"/>
        </w:rPr>
      </w:pPr>
      <w:r>
        <w:rPr>
          <w:rFonts w:hint="eastAsia" w:eastAsia="宋体"/>
          <w:color w:val="FF0000"/>
          <w:kern w:val="0"/>
        </w:rPr>
        <w:t>执行拘留、逮捕</w:t>
      </w:r>
      <w:r>
        <w:rPr>
          <w:rFonts w:hint="eastAsia" w:eastAsia="宋体"/>
          <w:kern w:val="0"/>
        </w:rPr>
        <w:t>的时候，遇有下列</w:t>
      </w:r>
      <w:r>
        <w:rPr>
          <w:rFonts w:hint="eastAsia" w:eastAsia="宋体"/>
          <w:color w:val="FF0000"/>
          <w:kern w:val="0"/>
        </w:rPr>
        <w:t>紧急情况</w:t>
      </w:r>
      <w:r>
        <w:rPr>
          <w:rFonts w:hint="eastAsia" w:eastAsia="宋体"/>
          <w:kern w:val="0"/>
        </w:rPr>
        <w:t>之一的，不用搜查证也可以进行搜查：（一）可能随身携带凶器的；（二）可能隐藏爆炸、剧毒等危险物品的；（三）可能隐匿、毁弃、转移犯罪证据的；（四）可能隐匿其他犯罪嫌疑人的；（五）其他突然发生的紧急情况。</w:t>
      </w:r>
    </w:p>
    <w:p>
      <w:pPr>
        <w:spacing w:line="240" w:lineRule="exact"/>
        <w:ind w:firstLine="420"/>
        <w:rPr>
          <w:rFonts w:hint="eastAsia" w:eastAsia="宋体"/>
          <w:kern w:val="0"/>
        </w:rPr>
      </w:pPr>
      <w:r>
        <w:rPr>
          <w:rFonts w:hint="eastAsia" w:eastAsia="宋体"/>
        </w:rPr>
        <w:t>（三）搜查的程序</w:t>
      </w:r>
    </w:p>
    <w:p>
      <w:pPr>
        <w:spacing w:line="240" w:lineRule="exact"/>
        <w:ind w:firstLine="420"/>
        <w:rPr>
          <w:rFonts w:hint="eastAsia" w:eastAsia="宋体"/>
          <w:kern w:val="0"/>
        </w:rPr>
      </w:pPr>
      <w:r>
        <w:rPr>
          <w:rFonts w:hint="eastAsia" w:eastAsia="宋体"/>
          <w:kern w:val="0"/>
        </w:rPr>
        <w:t>1.进行搜查时，应当有</w:t>
      </w:r>
      <w:r>
        <w:rPr>
          <w:rFonts w:hint="eastAsia" w:eastAsia="宋体"/>
          <w:color w:val="FF0000"/>
          <w:kern w:val="0"/>
        </w:rPr>
        <w:t>被搜查人或者他的家属、邻居或者其他见证人</w:t>
      </w:r>
      <w:r>
        <w:rPr>
          <w:rFonts w:hint="eastAsia" w:eastAsia="宋体"/>
          <w:kern w:val="0"/>
        </w:rPr>
        <w:t>在场。</w:t>
      </w:r>
    </w:p>
    <w:p>
      <w:pPr>
        <w:spacing w:line="240" w:lineRule="exact"/>
        <w:ind w:firstLine="420"/>
        <w:rPr>
          <w:rFonts w:hint="eastAsia" w:eastAsia="宋体"/>
          <w:kern w:val="0"/>
        </w:rPr>
      </w:pPr>
      <w:r>
        <w:rPr>
          <w:rFonts w:hint="eastAsia" w:eastAsia="宋体"/>
          <w:kern w:val="0"/>
        </w:rPr>
        <w:t>2.搜查的情况应当制作笔录，由</w:t>
      </w:r>
      <w:r>
        <w:rPr>
          <w:rFonts w:hint="eastAsia" w:eastAsia="宋体"/>
          <w:color w:val="FF0000"/>
          <w:kern w:val="0"/>
        </w:rPr>
        <w:t>侦查人员和被搜查人或者他的家属，邻居或者其他见证人签名</w:t>
      </w:r>
      <w:r>
        <w:rPr>
          <w:rFonts w:hint="eastAsia" w:eastAsia="宋体"/>
          <w:kern w:val="0"/>
        </w:rPr>
        <w:t>。如果被搜查人拒绝签名，或者被搜查人在逃，他的家属拒绝签名或者不在场的，侦查人员应当在笔录中注明。</w:t>
      </w:r>
    </w:p>
    <w:p>
      <w:pPr>
        <w:spacing w:line="240" w:lineRule="exact"/>
        <w:ind w:firstLine="420"/>
        <w:rPr>
          <w:rFonts w:hint="eastAsia" w:eastAsia="宋体"/>
          <w:kern w:val="0"/>
        </w:rPr>
      </w:pPr>
      <w:r>
        <w:rPr>
          <w:rFonts w:hint="eastAsia" w:eastAsia="宋体"/>
          <w:kern w:val="0"/>
        </w:rPr>
        <w:t>3.搜查妇女的身体，应当由女工作人员进行。</w:t>
      </w:r>
    </w:p>
    <w:p>
      <w:pPr>
        <w:pStyle w:val="2"/>
        <w:spacing w:before="0" w:line="240" w:lineRule="exact"/>
        <w:ind w:firstLine="420" w:firstLineChars="200"/>
        <w:jc w:val="both"/>
        <w:rPr>
          <w:rFonts w:hint="eastAsia" w:ascii="宋体" w:hAnsi="宋体" w:eastAsia="宋体"/>
          <w:sz w:val="21"/>
          <w:szCs w:val="21"/>
        </w:rPr>
      </w:pPr>
      <w:bookmarkStart w:id="44" w:name="_Toc64384704"/>
      <w:bookmarkStart w:id="45" w:name="_Toc126331797"/>
      <w:r>
        <w:rPr>
          <w:rFonts w:hint="eastAsia" w:ascii="宋体" w:hAnsi="宋体" w:eastAsia="宋体"/>
          <w:color w:val="auto"/>
          <w:sz w:val="21"/>
          <w:szCs w:val="21"/>
        </w:rPr>
        <w:t>二、查封、扣押、查询和冻结</w:t>
      </w:r>
      <w:bookmarkEnd w:id="44"/>
      <w:bookmarkEnd w:id="45"/>
    </w:p>
    <w:p>
      <w:pPr>
        <w:pStyle w:val="4"/>
        <w:spacing w:line="240" w:lineRule="exact"/>
        <w:ind w:firstLine="420" w:firstLineChars="200"/>
        <w:rPr>
          <w:rFonts w:hint="eastAsia" w:eastAsia="宋体"/>
          <w:sz w:val="21"/>
        </w:rPr>
      </w:pPr>
      <w:r>
        <w:rPr>
          <w:rFonts w:hint="eastAsia" w:eastAsia="宋体"/>
          <w:sz w:val="21"/>
        </w:rPr>
        <w:t>（一）查封和扣押</w:t>
      </w:r>
    </w:p>
    <w:p>
      <w:pPr>
        <w:spacing w:line="240" w:lineRule="exact"/>
        <w:ind w:firstLine="420"/>
        <w:rPr>
          <w:rFonts w:hint="eastAsia" w:eastAsia="宋体"/>
          <w:kern w:val="0"/>
        </w:rPr>
      </w:pPr>
      <w:r>
        <w:rPr>
          <w:rFonts w:hint="eastAsia" w:eastAsia="宋体"/>
          <w:kern w:val="0"/>
        </w:rPr>
        <w:t>1.扣押犯罪嫌疑人的邮件、电子邮件、电报：应当经</w:t>
      </w:r>
      <w:r>
        <w:rPr>
          <w:rFonts w:hint="eastAsia" w:eastAsia="宋体"/>
          <w:color w:val="FF0000"/>
          <w:kern w:val="0"/>
        </w:rPr>
        <w:t>县级以上公安机关负责人批准</w:t>
      </w:r>
      <w:r>
        <w:rPr>
          <w:rFonts w:hint="eastAsia" w:eastAsia="宋体"/>
          <w:kern w:val="0"/>
        </w:rPr>
        <w:t>，制作扣押邮件、电报通知书，通知邮电部门或者网络服务单位检交扣押。</w:t>
      </w:r>
    </w:p>
    <w:p>
      <w:pPr>
        <w:spacing w:line="240" w:lineRule="exact"/>
        <w:ind w:firstLine="420"/>
        <w:rPr>
          <w:rFonts w:hint="eastAsia" w:eastAsia="宋体"/>
          <w:kern w:val="0"/>
        </w:rPr>
      </w:pPr>
      <w:r>
        <w:rPr>
          <w:rFonts w:hint="eastAsia" w:eastAsia="宋体"/>
          <w:kern w:val="0"/>
        </w:rPr>
        <w:t>2.返还被害人：</w:t>
      </w:r>
      <w:r>
        <w:rPr>
          <w:rFonts w:hint="eastAsia" w:eastAsia="宋体"/>
          <w:b/>
          <w:bCs/>
          <w:kern w:val="0"/>
        </w:rPr>
        <w:t>原则上判决生效后，由法院依据生效文书返还赃款赃物，但在侦查阶段满足一定条件后，可以先行返还：</w:t>
      </w:r>
      <w:r>
        <w:rPr>
          <w:rFonts w:hint="eastAsia" w:eastAsia="宋体"/>
          <w:color w:val="FF0000"/>
          <w:kern w:val="0"/>
        </w:rPr>
        <w:t>有关犯罪事实查证属实后，对于有证据证明权属明确且无争议的被害人合法财产及其孳息，且返还不损害其他被害人或者利害关系人的利益，不影响案件正常办理的</w:t>
      </w:r>
      <w:r>
        <w:rPr>
          <w:rFonts w:hint="eastAsia" w:eastAsia="宋体"/>
          <w:kern w:val="0"/>
        </w:rPr>
        <w:t>。</w:t>
      </w:r>
    </w:p>
    <w:p>
      <w:pPr>
        <w:spacing w:line="240" w:lineRule="exact"/>
        <w:ind w:firstLine="420"/>
        <w:rPr>
          <w:rFonts w:hint="eastAsia" w:eastAsia="宋体"/>
          <w:kern w:val="0"/>
        </w:rPr>
      </w:pPr>
      <w:r>
        <w:rPr>
          <w:rFonts w:hint="eastAsia" w:eastAsia="宋体"/>
          <w:kern w:val="0"/>
          <w:highlight w:val="yellow"/>
        </w:rPr>
        <w:t>3.财物保管：</w:t>
      </w:r>
      <w:r>
        <w:rPr>
          <w:rFonts w:hint="eastAsia" w:eastAsia="宋体"/>
          <w:kern w:val="0"/>
        </w:rPr>
        <w:t>县级以上公安机关应当指定一个内设部门作为涉案财物管理部门，负责对</w:t>
      </w:r>
      <w:r>
        <w:rPr>
          <w:rFonts w:hint="eastAsia" w:eastAsia="宋体"/>
          <w:color w:val="FF0000"/>
          <w:kern w:val="0"/>
        </w:rPr>
        <w:t>涉案财物实行统一管理</w:t>
      </w:r>
      <w:r>
        <w:rPr>
          <w:rFonts w:hint="eastAsia" w:eastAsia="宋体"/>
          <w:kern w:val="0"/>
        </w:rPr>
        <w:t>，并设立或者指定专门保管场所，对涉案财物进行集中保管。</w:t>
      </w:r>
    </w:p>
    <w:p>
      <w:pPr>
        <w:spacing w:line="240" w:lineRule="exact"/>
        <w:ind w:firstLine="420"/>
        <w:rPr>
          <w:rFonts w:hint="eastAsia" w:eastAsia="宋体"/>
          <w:kern w:val="0"/>
        </w:rPr>
      </w:pPr>
      <w:r>
        <w:rPr>
          <w:rFonts w:hint="eastAsia" w:eastAsia="宋体"/>
        </w:rPr>
        <w:t>（二）查询和冻结</w:t>
      </w:r>
    </w:p>
    <w:p>
      <w:pPr>
        <w:spacing w:line="240" w:lineRule="exact"/>
        <w:ind w:firstLine="420"/>
        <w:rPr>
          <w:rFonts w:hint="eastAsia" w:eastAsia="宋体"/>
          <w:kern w:val="0"/>
        </w:rPr>
      </w:pPr>
      <w:r>
        <w:rPr>
          <w:rFonts w:hint="eastAsia" w:eastAsia="宋体"/>
          <w:color w:val="FF0000"/>
          <w:kern w:val="0"/>
        </w:rPr>
        <w:t>不得重复冻结，但可以轮候冻结</w:t>
      </w:r>
      <w:r>
        <w:rPr>
          <w:rFonts w:hint="eastAsia" w:eastAsia="宋体"/>
          <w:kern w:val="0"/>
        </w:rPr>
        <w:t>。</w:t>
      </w:r>
    </w:p>
    <w:p>
      <w:pPr>
        <w:pStyle w:val="2"/>
        <w:spacing w:before="0" w:line="240" w:lineRule="exact"/>
        <w:ind w:firstLine="420" w:firstLineChars="200"/>
        <w:jc w:val="both"/>
        <w:rPr>
          <w:rFonts w:hint="eastAsia" w:ascii="宋体" w:hAnsi="宋体" w:eastAsia="宋体"/>
          <w:bCs w:val="0"/>
          <w:color w:val="auto"/>
          <w:sz w:val="21"/>
          <w:szCs w:val="21"/>
        </w:rPr>
      </w:pPr>
      <w:bookmarkStart w:id="46" w:name="_Toc64384705"/>
      <w:bookmarkStart w:id="47" w:name="_Toc126331798"/>
      <w:r>
        <w:rPr>
          <w:rFonts w:hint="eastAsia" w:ascii="宋体" w:hAnsi="宋体" w:eastAsia="宋体"/>
          <w:bCs w:val="0"/>
          <w:color w:val="auto"/>
          <w:sz w:val="21"/>
          <w:szCs w:val="21"/>
        </w:rPr>
        <w:t>三、通缉</w:t>
      </w:r>
      <w:bookmarkEnd w:id="46"/>
      <w:bookmarkEnd w:id="47"/>
    </w:p>
    <w:p>
      <w:pPr>
        <w:pStyle w:val="4"/>
        <w:spacing w:line="240" w:lineRule="exact"/>
        <w:ind w:firstLine="420" w:firstLineChars="200"/>
        <w:rPr>
          <w:rFonts w:hint="eastAsia" w:eastAsia="宋体"/>
          <w:sz w:val="21"/>
        </w:rPr>
      </w:pPr>
      <w:r>
        <w:rPr>
          <w:rFonts w:hint="eastAsia" w:eastAsia="宋体"/>
          <w:sz w:val="21"/>
        </w:rPr>
        <w:t>（一）通缉的对象</w:t>
      </w:r>
    </w:p>
    <w:p>
      <w:pPr>
        <w:spacing w:line="240" w:lineRule="exact"/>
        <w:ind w:firstLine="420"/>
        <w:rPr>
          <w:rFonts w:hint="eastAsia" w:eastAsia="宋体"/>
          <w:color w:val="FF0000"/>
        </w:rPr>
      </w:pPr>
      <w:r>
        <w:rPr>
          <w:rFonts w:hint="eastAsia" w:eastAsia="宋体"/>
          <w:color w:val="FF0000"/>
        </w:rPr>
        <w:t>注意：必须满足逮捕的条件。</w:t>
      </w:r>
    </w:p>
    <w:p>
      <w:pPr>
        <w:pStyle w:val="4"/>
        <w:spacing w:line="240" w:lineRule="exact"/>
        <w:ind w:firstLine="420" w:firstLineChars="200"/>
        <w:rPr>
          <w:rFonts w:hint="eastAsia" w:eastAsia="宋体"/>
          <w:sz w:val="21"/>
        </w:rPr>
      </w:pPr>
      <w:r>
        <w:rPr>
          <w:rFonts w:hint="eastAsia" w:eastAsia="宋体"/>
          <w:sz w:val="21"/>
        </w:rPr>
        <w:t>（二）通缉的决定</w:t>
      </w:r>
    </w:p>
    <w:p>
      <w:pPr>
        <w:spacing w:line="240" w:lineRule="exact"/>
        <w:ind w:firstLine="420"/>
        <w:rPr>
          <w:rFonts w:hint="eastAsia" w:eastAsia="宋体"/>
        </w:rPr>
      </w:pPr>
      <w:r>
        <w:rPr>
          <w:rFonts w:hint="eastAsia" w:eastAsia="宋体"/>
          <w:color w:val="FF0000"/>
        </w:rPr>
        <w:t>公、检及监察机关</w:t>
      </w:r>
      <w:r>
        <w:rPr>
          <w:rFonts w:hint="eastAsia" w:eastAsia="宋体"/>
        </w:rPr>
        <w:t>都可以作出通缉的决定。</w:t>
      </w:r>
    </w:p>
    <w:p>
      <w:pPr>
        <w:pStyle w:val="4"/>
        <w:spacing w:line="240" w:lineRule="exact"/>
        <w:ind w:firstLine="420" w:firstLineChars="200"/>
        <w:rPr>
          <w:rFonts w:hint="eastAsia" w:eastAsia="宋体"/>
          <w:sz w:val="21"/>
        </w:rPr>
      </w:pPr>
      <w:r>
        <w:rPr>
          <w:rFonts w:hint="eastAsia" w:eastAsia="宋体"/>
          <w:sz w:val="21"/>
        </w:rPr>
        <w:t>（三）通缉令的发布</w:t>
      </w:r>
    </w:p>
    <w:p>
      <w:pPr>
        <w:spacing w:line="240" w:lineRule="exact"/>
        <w:ind w:firstLine="420"/>
        <w:rPr>
          <w:rFonts w:hint="eastAsia" w:eastAsia="宋体"/>
        </w:rPr>
      </w:pPr>
      <w:r>
        <w:rPr>
          <w:rFonts w:hint="eastAsia" w:eastAsia="宋体"/>
          <w:color w:val="FF0000"/>
        </w:rPr>
        <w:t>只能由公安机关发布</w:t>
      </w:r>
      <w:r>
        <w:rPr>
          <w:rFonts w:hint="eastAsia" w:eastAsia="宋体"/>
        </w:rPr>
        <w:t>。县级以上公安机关在</w:t>
      </w:r>
      <w:r>
        <w:rPr>
          <w:rFonts w:hint="eastAsia" w:eastAsia="宋体"/>
          <w:color w:val="FF0000"/>
        </w:rPr>
        <w:t>自己管辖的地区内</w:t>
      </w:r>
      <w:r>
        <w:rPr>
          <w:rFonts w:hint="eastAsia" w:eastAsia="宋体"/>
        </w:rPr>
        <w:t>，可以直接发布通缉令；超出自己管辖的地区，应当报请有权决定的上级公安机关发布。</w:t>
      </w:r>
    </w:p>
    <w:p>
      <w:pPr>
        <w:pStyle w:val="2"/>
        <w:spacing w:before="0" w:line="240" w:lineRule="exact"/>
        <w:rPr>
          <w:rFonts w:hint="eastAsia" w:ascii="宋体" w:hAnsi="宋体" w:eastAsia="宋体"/>
          <w:b/>
          <w:bCs w:val="0"/>
          <w:color w:val="auto"/>
          <w:sz w:val="21"/>
          <w:szCs w:val="21"/>
        </w:rPr>
      </w:pPr>
      <w:bookmarkStart w:id="48" w:name="_Toc4844130"/>
      <w:bookmarkStart w:id="49" w:name="_Toc64384706"/>
      <w:bookmarkStart w:id="50" w:name="_Toc126331799"/>
      <w:r>
        <w:rPr>
          <w:rFonts w:hint="eastAsia" w:ascii="宋体" w:hAnsi="宋体" w:eastAsia="宋体"/>
          <w:b/>
          <w:bCs w:val="0"/>
          <w:color w:val="auto"/>
          <w:sz w:val="21"/>
          <w:szCs w:val="21"/>
        </w:rPr>
        <w:t xml:space="preserve">考点35 </w:t>
      </w:r>
      <w:r>
        <w:rPr>
          <w:rFonts w:ascii="宋体" w:hAnsi="宋体" w:eastAsia="宋体"/>
          <w:b/>
          <w:bCs w:val="0"/>
          <w:color w:val="auto"/>
          <w:sz w:val="21"/>
          <w:szCs w:val="21"/>
        </w:rPr>
        <w:t xml:space="preserve"> </w:t>
      </w:r>
      <w:r>
        <w:rPr>
          <w:rFonts w:hint="eastAsia" w:ascii="宋体" w:hAnsi="宋体" w:eastAsia="宋体"/>
          <w:b/>
          <w:bCs w:val="0"/>
          <w:color w:val="auto"/>
          <w:sz w:val="21"/>
          <w:szCs w:val="21"/>
        </w:rPr>
        <w:t>补充侦查</w:t>
      </w:r>
      <w:bookmarkEnd w:id="6"/>
      <w:bookmarkEnd w:id="48"/>
      <w:bookmarkEnd w:id="49"/>
      <w:bookmarkEnd w:id="50"/>
      <w:r>
        <w:rPr>
          <w:rFonts w:hint="eastAsia" w:ascii="宋体" w:hAnsi="宋体" w:eastAsia="宋体"/>
          <w:b/>
          <w:bCs w:val="0"/>
          <w:color w:val="auto"/>
          <w:sz w:val="21"/>
          <w:szCs w:val="21"/>
        </w:rPr>
        <w:t>（10</w:t>
      </w:r>
      <w:r>
        <w:rPr>
          <w:rFonts w:ascii="宋体" w:hAnsi="宋体" w:eastAsia="宋体"/>
          <w:b/>
          <w:bCs w:val="0"/>
          <w:color w:val="auto"/>
          <w:sz w:val="21"/>
          <w:szCs w:val="21"/>
        </w:rPr>
        <w:t>:</w:t>
      </w:r>
      <w:r>
        <w:rPr>
          <w:rFonts w:hint="eastAsia" w:ascii="宋体" w:hAnsi="宋体" w:eastAsia="宋体"/>
          <w:b/>
          <w:bCs w:val="0"/>
          <w:color w:val="auto"/>
          <w:sz w:val="21"/>
          <w:szCs w:val="21"/>
        </w:rPr>
        <w:t>47</w:t>
      </w:r>
      <w:r>
        <w:rPr>
          <w:rFonts w:ascii="宋体" w:hAnsi="宋体" w:eastAsia="宋体"/>
          <w:b/>
          <w:bCs w:val="0"/>
          <w:color w:val="auto"/>
          <w:sz w:val="21"/>
          <w:szCs w:val="21"/>
        </w:rPr>
        <w:t>:00-</w:t>
      </w:r>
      <w:r>
        <w:rPr>
          <w:rFonts w:hint="eastAsia" w:ascii="宋体" w:hAnsi="宋体" w:eastAsia="宋体"/>
          <w:b/>
          <w:bCs w:val="0"/>
          <w:color w:val="auto"/>
          <w:sz w:val="21"/>
          <w:szCs w:val="21"/>
        </w:rPr>
        <w:t>11</w:t>
      </w:r>
      <w:r>
        <w:rPr>
          <w:rFonts w:ascii="宋体" w:hAnsi="宋体" w:eastAsia="宋体"/>
          <w:b/>
          <w:bCs w:val="0"/>
          <w:color w:val="auto"/>
          <w:sz w:val="21"/>
          <w:szCs w:val="21"/>
        </w:rPr>
        <w:t>:</w:t>
      </w:r>
      <w:r>
        <w:rPr>
          <w:rFonts w:hint="eastAsia" w:ascii="宋体" w:hAnsi="宋体" w:eastAsia="宋体"/>
          <w:b/>
          <w:bCs w:val="0"/>
          <w:color w:val="auto"/>
          <w:sz w:val="21"/>
          <w:szCs w:val="21"/>
        </w:rPr>
        <w:t>09</w:t>
      </w:r>
      <w:r>
        <w:rPr>
          <w:rFonts w:ascii="宋体" w:hAnsi="宋体" w:eastAsia="宋体"/>
          <w:b/>
          <w:bCs w:val="0"/>
          <w:color w:val="auto"/>
          <w:sz w:val="21"/>
          <w:szCs w:val="21"/>
        </w:rPr>
        <w:t>:00）</w:t>
      </w:r>
    </w:p>
    <w:p>
      <w:pPr>
        <w:pStyle w:val="4"/>
        <w:spacing w:line="240" w:lineRule="exact"/>
        <w:ind w:firstLine="420" w:firstLineChars="200"/>
        <w:rPr>
          <w:rFonts w:hint="eastAsia" w:eastAsia="宋体"/>
          <w:sz w:val="21"/>
        </w:rPr>
      </w:pPr>
      <w:bookmarkStart w:id="51" w:name="_Toc510879075"/>
      <w:r>
        <w:rPr>
          <w:rFonts w:hint="eastAsia" w:eastAsia="宋体"/>
          <w:sz w:val="21"/>
        </w:rPr>
        <w:t>一、审查逮捕阶段的补充侦查</w:t>
      </w:r>
      <w:bookmarkEnd w:id="51"/>
    </w:p>
    <w:p>
      <w:pPr>
        <w:spacing w:line="240" w:lineRule="exact"/>
        <w:ind w:firstLine="420"/>
        <w:rPr>
          <w:rFonts w:hint="eastAsia" w:eastAsia="宋体"/>
          <w:kern w:val="0"/>
        </w:rPr>
      </w:pPr>
      <w:r>
        <w:rPr>
          <w:rFonts w:hint="eastAsia" w:eastAsia="宋体"/>
          <w:kern w:val="0"/>
        </w:rPr>
        <w:t>人民检察院对于公安机关提请批准逮捕的案件进行审查后，应当根据情况分别作出批准逮捕或者不批准逮捕的决定。对于不批准逮捕的，人民检察院应当说明理由，</w:t>
      </w:r>
      <w:r>
        <w:rPr>
          <w:rFonts w:hint="eastAsia" w:eastAsia="宋体"/>
          <w:color w:val="FF0000"/>
          <w:kern w:val="0"/>
        </w:rPr>
        <w:t>需要补充侦查的，应当同时通知公安机关，而不能自行侦查。</w:t>
      </w:r>
    </w:p>
    <w:p>
      <w:pPr>
        <w:spacing w:line="240" w:lineRule="exact"/>
        <w:ind w:firstLine="420"/>
        <w:rPr>
          <w:rFonts w:hint="eastAsia" w:eastAsia="宋体"/>
          <w:kern w:val="0"/>
        </w:rPr>
      </w:pPr>
      <w:r>
        <w:rPr>
          <w:rFonts w:hint="eastAsia" w:eastAsia="宋体"/>
          <w:kern w:val="0"/>
        </w:rPr>
        <w:t>人民检察院作出不批准逮捕决定，并且通知公安机关补充侦查的案件，公安机关在补充侦查后又提请复议的，</w:t>
      </w:r>
      <w:r>
        <w:rPr>
          <w:rFonts w:hint="eastAsia" w:eastAsia="宋体"/>
          <w:color w:val="FF0000"/>
          <w:kern w:val="0"/>
        </w:rPr>
        <w:t>人民检察院应当告知公安机关重新提请批准逮捕</w:t>
      </w:r>
      <w:r>
        <w:rPr>
          <w:rFonts w:hint="eastAsia" w:eastAsia="宋体"/>
          <w:kern w:val="0"/>
        </w:rPr>
        <w:t>。公安机关坚持复议的，人民检察院不予受理。也即</w:t>
      </w:r>
      <w:r>
        <w:rPr>
          <w:rFonts w:hint="eastAsia" w:eastAsia="宋体"/>
          <w:color w:val="FF0000"/>
          <w:kern w:val="0"/>
        </w:rPr>
        <w:t>公安机关补充侦查后只能重新提请批准逮捕，不能提请复议</w:t>
      </w:r>
      <w:r>
        <w:rPr>
          <w:rFonts w:hint="eastAsia" w:eastAsia="宋体"/>
          <w:kern w:val="0"/>
        </w:rPr>
        <w:t>。</w:t>
      </w:r>
    </w:p>
    <w:p>
      <w:pPr>
        <w:pStyle w:val="4"/>
        <w:spacing w:line="240" w:lineRule="exact"/>
        <w:ind w:firstLine="420" w:firstLineChars="200"/>
        <w:rPr>
          <w:rFonts w:hint="eastAsia" w:eastAsia="宋体"/>
          <w:sz w:val="21"/>
        </w:rPr>
      </w:pPr>
      <w:bookmarkStart w:id="52" w:name="_Toc510879076"/>
      <w:r>
        <w:rPr>
          <w:rFonts w:hint="eastAsia" w:eastAsia="宋体"/>
          <w:sz w:val="21"/>
        </w:rPr>
        <w:t>二、审查起诉阶段的补充侦查</w:t>
      </w:r>
      <w:bookmarkEnd w:id="52"/>
    </w:p>
    <w:p>
      <w:pPr>
        <w:spacing w:line="240" w:lineRule="exact"/>
        <w:ind w:firstLine="420"/>
        <w:rPr>
          <w:rFonts w:hint="eastAsia" w:eastAsia="宋体"/>
        </w:rPr>
      </w:pPr>
      <w:r>
        <w:rPr>
          <w:rFonts w:eastAsia="宋体"/>
        </w:rPr>
        <w:t>人民检察院审查案件对于需要补充侦查的，可以退回公安补充侦查，也可以自行侦查</w:t>
      </w:r>
      <w:r>
        <w:rPr>
          <w:rFonts w:hint="eastAsia" w:eastAsia="宋体"/>
        </w:rPr>
        <w:t>。</w:t>
      </w:r>
    </w:p>
    <w:p>
      <w:pPr>
        <w:pStyle w:val="4"/>
        <w:spacing w:line="240" w:lineRule="exact"/>
        <w:ind w:firstLine="420" w:firstLineChars="200"/>
        <w:rPr>
          <w:rFonts w:hint="eastAsia" w:eastAsia="宋体"/>
          <w:sz w:val="21"/>
        </w:rPr>
      </w:pPr>
      <w:bookmarkStart w:id="53" w:name="_Toc510879077"/>
      <w:r>
        <w:rPr>
          <w:rFonts w:hint="eastAsia" w:eastAsia="宋体"/>
          <w:sz w:val="21"/>
        </w:rPr>
        <w:t>三、法庭审理阶段的补充侦查</w:t>
      </w:r>
      <w:bookmarkEnd w:id="53"/>
    </w:p>
    <w:p>
      <w:pPr>
        <w:spacing w:line="240" w:lineRule="exact"/>
        <w:ind w:firstLine="420"/>
        <w:rPr>
          <w:rFonts w:hint="eastAsia" w:eastAsia="宋体"/>
        </w:rPr>
      </w:pPr>
      <w:r>
        <w:rPr>
          <w:rFonts w:hint="eastAsia" w:eastAsia="宋体"/>
        </w:rPr>
        <w:t>人民检察院建议补充侦查，自行侦查的，</w:t>
      </w:r>
      <w:r>
        <w:rPr>
          <w:rFonts w:hint="eastAsia" w:eastAsia="宋体"/>
          <w:color w:val="FF0000"/>
        </w:rPr>
        <w:t>要一个月以内，最多二次</w:t>
      </w:r>
      <w:r>
        <w:rPr>
          <w:rFonts w:hint="eastAsia" w:eastAsia="宋体"/>
        </w:rPr>
        <w:t>。补充侦查后，人民检察院提请人民法院恢复法庭审理，法院重新计算审理期限；未将补充的证据材料移送人民法院的，法院可以根据在案证据作出判决、裁定。</w:t>
      </w:r>
    </w:p>
    <w:p>
      <w:pPr>
        <w:spacing w:line="240" w:lineRule="exact"/>
        <w:ind w:firstLine="420"/>
        <w:rPr>
          <w:rFonts w:hint="eastAsia" w:eastAsia="宋体"/>
          <w:color w:val="FF0000"/>
        </w:rPr>
      </w:pPr>
      <w:r>
        <w:rPr>
          <w:rFonts w:hint="eastAsia" w:eastAsia="宋体"/>
        </w:rPr>
        <w:t>第一，对于合议庭发现被告人</w:t>
      </w:r>
      <w:r>
        <w:rPr>
          <w:rFonts w:hint="eastAsia" w:eastAsia="宋体"/>
          <w:color w:val="FF0000"/>
        </w:rPr>
        <w:t>可能有自首、坦白、立功等法定量刑情节</w:t>
      </w:r>
      <w:r>
        <w:rPr>
          <w:rFonts w:hint="eastAsia" w:eastAsia="宋体"/>
        </w:rPr>
        <w:t>，而人民检察院移送的案卷中没有相关证据材料的，</w:t>
      </w:r>
      <w:r>
        <w:rPr>
          <w:rFonts w:hint="eastAsia" w:eastAsia="宋体"/>
          <w:color w:val="FF0000"/>
        </w:rPr>
        <w:t>应直接通知人民检察院移送，而不是补充侦查</w:t>
      </w:r>
      <w:r>
        <w:rPr>
          <w:rFonts w:hint="eastAsia" w:eastAsia="宋体"/>
        </w:rPr>
        <w:t>。</w:t>
      </w:r>
      <w:r>
        <w:rPr>
          <w:rFonts w:hint="eastAsia" w:eastAsia="宋体"/>
          <w:color w:val="FF0000"/>
        </w:rPr>
        <w:t>（补充：注意与线索的区分）</w:t>
      </w:r>
    </w:p>
    <w:p>
      <w:pPr>
        <w:spacing w:line="240" w:lineRule="exact"/>
        <w:ind w:firstLine="420"/>
        <w:rPr>
          <w:rFonts w:hint="eastAsia" w:eastAsia="宋体"/>
          <w:color w:val="FF0000"/>
        </w:rPr>
      </w:pPr>
      <w:r>
        <w:rPr>
          <w:rFonts w:hint="eastAsia" w:eastAsia="宋体"/>
        </w:rPr>
        <w:t>第二，审判期间，人民法院发现</w:t>
      </w:r>
      <w:r>
        <w:rPr>
          <w:rFonts w:hint="eastAsia" w:eastAsia="宋体"/>
          <w:color w:val="FF0000"/>
        </w:rPr>
        <w:t>新的事实，可能影响定罪量刑的，或者需要补查补证的，应当通知人民检察院，由其决定是否补充、变更、追加起诉或者补充侦查（注意，发现新事实不是“可以建议人民检察院补充或者变更起诉”，而是通知检察院，由检察院自行决定）。</w:t>
      </w:r>
    </w:p>
    <w:p>
      <w:pPr>
        <w:spacing w:line="240" w:lineRule="exact"/>
        <w:ind w:firstLine="420"/>
        <w:rPr>
          <w:rFonts w:hint="eastAsia" w:eastAsia="宋体"/>
          <w:color w:val="FF0000"/>
        </w:rPr>
      </w:pPr>
      <w:r>
        <w:rPr>
          <w:rFonts w:hint="eastAsia" w:eastAsia="宋体"/>
          <w:color w:val="FF0000"/>
        </w:rPr>
        <w:t>补充：与后续审查起诉中发现漏罪的处理一并掌握。</w:t>
      </w:r>
    </w:p>
    <w:bookmarkEnd w:id="7"/>
    <w:p>
      <w:pPr>
        <w:pStyle w:val="2"/>
        <w:spacing w:before="0" w:line="240" w:lineRule="exact"/>
        <w:rPr>
          <w:rFonts w:hint="eastAsia" w:ascii="宋体" w:hAnsi="宋体" w:eastAsia="宋体"/>
          <w:b/>
          <w:bCs w:val="0"/>
          <w:color w:val="auto"/>
          <w:sz w:val="21"/>
          <w:szCs w:val="21"/>
        </w:rPr>
      </w:pPr>
      <w:bookmarkStart w:id="54" w:name="_Toc64384708"/>
      <w:bookmarkStart w:id="55" w:name="_Toc4844131"/>
      <w:bookmarkStart w:id="56" w:name="_Toc126331801"/>
      <w:r>
        <w:rPr>
          <w:rFonts w:hint="eastAsia" w:ascii="宋体" w:hAnsi="宋体" w:eastAsia="宋体"/>
          <w:b/>
          <w:bCs w:val="0"/>
          <w:color w:val="auto"/>
          <w:sz w:val="21"/>
          <w:szCs w:val="21"/>
        </w:rPr>
        <w:t>考点36</w:t>
      </w:r>
      <w:r>
        <w:rPr>
          <w:rFonts w:ascii="宋体" w:hAnsi="宋体" w:eastAsia="宋体"/>
          <w:b/>
          <w:bCs w:val="0"/>
          <w:color w:val="auto"/>
          <w:sz w:val="21"/>
          <w:szCs w:val="21"/>
        </w:rPr>
        <w:t xml:space="preserve">  </w:t>
      </w:r>
      <w:r>
        <w:rPr>
          <w:rFonts w:hint="eastAsia" w:ascii="宋体" w:hAnsi="宋体" w:eastAsia="宋体"/>
          <w:b/>
          <w:bCs w:val="0"/>
          <w:color w:val="auto"/>
          <w:sz w:val="21"/>
          <w:szCs w:val="21"/>
        </w:rPr>
        <w:t>审查起诉</w:t>
      </w:r>
      <w:bookmarkEnd w:id="54"/>
      <w:bookmarkEnd w:id="55"/>
      <w:bookmarkEnd w:id="56"/>
      <w:r>
        <w:rPr>
          <w:rFonts w:hint="eastAsia" w:ascii="宋体" w:hAnsi="宋体" w:eastAsia="宋体"/>
          <w:b/>
          <w:bCs w:val="0"/>
          <w:color w:val="auto"/>
          <w:sz w:val="21"/>
          <w:szCs w:val="21"/>
        </w:rPr>
        <w:t>（11</w:t>
      </w:r>
      <w:r>
        <w:rPr>
          <w:rFonts w:ascii="宋体" w:hAnsi="宋体" w:eastAsia="宋体"/>
          <w:b/>
          <w:bCs w:val="0"/>
          <w:color w:val="auto"/>
          <w:sz w:val="21"/>
          <w:szCs w:val="21"/>
        </w:rPr>
        <w:t>:</w:t>
      </w:r>
      <w:r>
        <w:rPr>
          <w:rFonts w:hint="eastAsia" w:ascii="宋体" w:hAnsi="宋体" w:eastAsia="宋体"/>
          <w:b/>
          <w:bCs w:val="0"/>
          <w:color w:val="auto"/>
          <w:sz w:val="21"/>
          <w:szCs w:val="21"/>
        </w:rPr>
        <w:t>09</w:t>
      </w:r>
      <w:r>
        <w:rPr>
          <w:rFonts w:ascii="宋体" w:hAnsi="宋体" w:eastAsia="宋体"/>
          <w:b/>
          <w:bCs w:val="0"/>
          <w:color w:val="auto"/>
          <w:sz w:val="21"/>
          <w:szCs w:val="21"/>
        </w:rPr>
        <w:t>:00-</w:t>
      </w:r>
      <w:r>
        <w:rPr>
          <w:rFonts w:hint="eastAsia" w:ascii="宋体" w:hAnsi="宋体" w:eastAsia="宋体"/>
          <w:b/>
          <w:bCs w:val="0"/>
          <w:color w:val="auto"/>
          <w:sz w:val="21"/>
          <w:szCs w:val="21"/>
        </w:rPr>
        <w:t>11</w:t>
      </w:r>
      <w:r>
        <w:rPr>
          <w:rFonts w:ascii="宋体" w:hAnsi="宋体" w:eastAsia="宋体"/>
          <w:b/>
          <w:bCs w:val="0"/>
          <w:color w:val="auto"/>
          <w:sz w:val="21"/>
          <w:szCs w:val="21"/>
        </w:rPr>
        <w:t>:</w:t>
      </w:r>
      <w:r>
        <w:rPr>
          <w:rFonts w:hint="eastAsia" w:ascii="宋体" w:hAnsi="宋体" w:eastAsia="宋体"/>
          <w:b/>
          <w:bCs w:val="0"/>
          <w:color w:val="auto"/>
          <w:sz w:val="21"/>
          <w:szCs w:val="21"/>
        </w:rPr>
        <w:t>46</w:t>
      </w:r>
      <w:r>
        <w:rPr>
          <w:rFonts w:ascii="宋体" w:hAnsi="宋体" w:eastAsia="宋体"/>
          <w:b/>
          <w:bCs w:val="0"/>
          <w:color w:val="auto"/>
          <w:sz w:val="21"/>
          <w:szCs w:val="21"/>
        </w:rPr>
        <w:t>:00）</w:t>
      </w:r>
    </w:p>
    <w:p>
      <w:pPr>
        <w:pStyle w:val="4"/>
        <w:spacing w:line="240" w:lineRule="exact"/>
        <w:ind w:firstLine="200"/>
        <w:rPr>
          <w:rFonts w:hint="eastAsia" w:eastAsia="宋体"/>
          <w:sz w:val="21"/>
        </w:rPr>
      </w:pPr>
      <w:bookmarkStart w:id="57" w:name="_Toc510879079"/>
      <w:r>
        <w:rPr>
          <w:rFonts w:hint="eastAsia" w:eastAsia="宋体"/>
          <w:sz w:val="21"/>
        </w:rPr>
        <w:t>一、公诉制度</w:t>
      </w:r>
    </w:p>
    <w:p>
      <w:pPr>
        <w:spacing w:line="240" w:lineRule="exact"/>
        <w:ind w:firstLine="420"/>
        <w:rPr>
          <w:rFonts w:hint="eastAsia" w:eastAsia="宋体"/>
        </w:rPr>
      </w:pPr>
      <w:r>
        <w:rPr>
          <w:rFonts w:hint="eastAsia" w:eastAsia="宋体"/>
        </w:rPr>
        <w:t>现代刑事诉讼普遍强调起诉法定主义与起诉便宜主义的二元并存、相互补充。</w:t>
      </w:r>
    </w:p>
    <w:p>
      <w:pPr>
        <w:spacing w:line="240" w:lineRule="exact"/>
        <w:ind w:firstLine="420"/>
        <w:rPr>
          <w:rFonts w:hint="eastAsia" w:eastAsia="宋体"/>
        </w:rPr>
      </w:pPr>
      <w:r>
        <w:rPr>
          <w:rFonts w:hint="eastAsia" w:eastAsia="宋体"/>
        </w:rPr>
        <w:t>我国刑事起诉制度的特点：（1）公诉为主，自诉为辅（2）起诉法定主义为主，兼采起诉便宜主义</w:t>
      </w:r>
    </w:p>
    <w:p>
      <w:pPr>
        <w:pStyle w:val="4"/>
        <w:spacing w:line="240" w:lineRule="exact"/>
        <w:ind w:firstLine="200"/>
        <w:rPr>
          <w:rFonts w:hint="eastAsia" w:eastAsia="宋体"/>
          <w:sz w:val="21"/>
        </w:rPr>
      </w:pPr>
      <w:r>
        <w:rPr>
          <w:rFonts w:hint="eastAsia" w:eastAsia="宋体"/>
          <w:sz w:val="21"/>
        </w:rPr>
        <w:t>二、审查起诉的方法</w:t>
      </w:r>
      <w:bookmarkEnd w:id="57"/>
    </w:p>
    <w:p>
      <w:pPr>
        <w:spacing w:line="240" w:lineRule="exact"/>
        <w:ind w:firstLine="420"/>
        <w:rPr>
          <w:rFonts w:hint="eastAsia" w:eastAsia="宋体"/>
        </w:rPr>
      </w:pPr>
      <w:r>
        <w:rPr>
          <w:rFonts w:hint="eastAsia" w:eastAsia="宋体"/>
        </w:rPr>
        <w:t>直接听取意见有困难的，可通知辩护人、被害人及诉讼代理人提出书面意见</w:t>
      </w:r>
    </w:p>
    <w:p>
      <w:pPr>
        <w:spacing w:line="240" w:lineRule="exact"/>
        <w:ind w:firstLine="420"/>
        <w:rPr>
          <w:rFonts w:hint="eastAsia" w:eastAsia="宋体"/>
        </w:rPr>
      </w:pPr>
      <w:r>
        <w:rPr>
          <w:rFonts w:hint="eastAsia" w:eastAsia="宋体"/>
        </w:rPr>
        <w:t>重大疑难复杂的案件，确有必要时，派员适时介入侦查活动</w:t>
      </w:r>
      <w:bookmarkStart w:id="58" w:name="_Toc510879080"/>
    </w:p>
    <w:p>
      <w:pPr>
        <w:spacing w:line="240" w:lineRule="exact"/>
        <w:ind w:firstLine="420"/>
        <w:rPr>
          <w:rFonts w:hint="eastAsia" w:eastAsia="宋体"/>
        </w:rPr>
      </w:pPr>
      <w:r>
        <w:rPr>
          <w:rFonts w:hint="eastAsia" w:eastAsia="宋体"/>
        </w:rPr>
        <w:t>二、审查起诉中各种情况的处理</w:t>
      </w:r>
      <w:bookmarkEnd w:id="58"/>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（一）关于管辖问题的处理</w:t>
      </w:r>
    </w:p>
    <w:p>
      <w:pPr>
        <w:pStyle w:val="12"/>
        <w:spacing w:line="240" w:lineRule="exact"/>
        <w:ind w:firstLine="420"/>
        <w:rPr>
          <w:rFonts w:hint="eastAsia" w:hAnsi="宋体" w:eastAsia="宋体" w:cs="宋体"/>
          <w:sz w:val="21"/>
        </w:rPr>
      </w:pPr>
      <w:r>
        <w:rPr>
          <w:rFonts w:hAnsi="宋体" w:eastAsia="宋体" w:cs="宋体"/>
          <w:sz w:val="21"/>
        </w:rPr>
        <w:t>各级人民检察院提起公诉，</w:t>
      </w:r>
      <w:r>
        <w:rPr>
          <w:rFonts w:hAnsi="宋体" w:eastAsia="宋体" w:cs="宋体"/>
          <w:color w:val="FF0000"/>
          <w:sz w:val="21"/>
        </w:rPr>
        <w:t>应当与人民法院审判管辖相适应</w:t>
      </w:r>
      <w:r>
        <w:rPr>
          <w:rFonts w:hAnsi="宋体" w:eastAsia="宋体" w:cs="宋体"/>
          <w:sz w:val="21"/>
        </w:rPr>
        <w:t>。</w:t>
      </w:r>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（二）关于证据问题的处理</w:t>
      </w:r>
    </w:p>
    <w:p>
      <w:pPr>
        <w:tabs>
          <w:tab w:val="clear" w:pos="420"/>
        </w:tabs>
        <w:spacing w:line="240" w:lineRule="exact"/>
        <w:ind w:firstLine="420"/>
        <w:jc w:val="left"/>
        <w:rPr>
          <w:rFonts w:hint="eastAsia" w:eastAsia="宋体" w:cs="汉仪中黑简"/>
          <w:bCs/>
          <w:kern w:val="44"/>
        </w:rPr>
      </w:pPr>
      <w:r>
        <w:rPr>
          <w:rFonts w:hint="eastAsia" w:eastAsia="宋体" w:cs="汉仪中黑简"/>
          <w:bCs/>
          <w:kern w:val="44"/>
        </w:rPr>
        <w:t>1．对各种类证据的审查</w:t>
      </w:r>
    </w:p>
    <w:p>
      <w:pPr>
        <w:spacing w:line="240" w:lineRule="exact"/>
        <w:ind w:firstLine="420"/>
        <w:rPr>
          <w:rFonts w:hint="eastAsia" w:eastAsia="宋体"/>
        </w:rPr>
      </w:pPr>
      <w:r>
        <w:rPr>
          <w:rFonts w:hint="eastAsia" w:eastAsia="宋体"/>
        </w:rPr>
        <w:t>人民检察院在审查起诉中对证据有疑问的，可以采取要求相关人员提供情况、询问、鉴定、补充鉴定或者重新鉴定、复验、复查、审查录音、录像等多种方式，</w:t>
      </w:r>
      <w:r>
        <w:rPr>
          <w:rFonts w:hint="eastAsia" w:eastAsia="宋体"/>
          <w:color w:val="FF0000"/>
        </w:rPr>
        <w:t>对于鉴定、复验、复查等，既可以要求公安机关进行，也可以自己进行并商情公安机关派员参加</w:t>
      </w:r>
      <w:r>
        <w:rPr>
          <w:rFonts w:hint="eastAsia" w:eastAsia="宋体"/>
        </w:rPr>
        <w:t>。</w:t>
      </w:r>
      <w:r>
        <w:rPr>
          <w:rFonts w:hint="eastAsia" w:eastAsia="宋体"/>
          <w:color w:val="FF0000"/>
        </w:rPr>
        <w:t>对于录音、录像，一般只需要审查相关的录音</w:t>
      </w:r>
      <w:r>
        <w:rPr>
          <w:rFonts w:hint="eastAsia" w:eastAsia="宋体"/>
          <w:color w:val="FF0000"/>
          <w:spacing w:val="-60"/>
        </w:rPr>
        <w:t>、</w:t>
      </w:r>
      <w:r>
        <w:rPr>
          <w:rFonts w:hint="eastAsia" w:eastAsia="宋体"/>
          <w:color w:val="FF0000"/>
        </w:rPr>
        <w:t>录像</w:t>
      </w:r>
      <w:r>
        <w:rPr>
          <w:rFonts w:hint="eastAsia" w:eastAsia="宋体"/>
          <w:color w:val="FF0000"/>
          <w:spacing w:val="-60"/>
        </w:rPr>
        <w:t>，</w:t>
      </w:r>
      <w:r>
        <w:rPr>
          <w:rFonts w:hint="eastAsia" w:eastAsia="宋体"/>
          <w:color w:val="FF0000"/>
        </w:rPr>
        <w:t>对于</w:t>
      </w:r>
      <w:r>
        <w:rPr>
          <w:rFonts w:hint="eastAsia" w:eastAsia="宋体"/>
          <w:color w:val="FF0000"/>
          <w:kern w:val="0"/>
        </w:rPr>
        <w:t>重大、疑难、复杂的案件，必要时可以审查全部录音、录像</w:t>
      </w:r>
      <w:r>
        <w:rPr>
          <w:rFonts w:hint="eastAsia" w:eastAsia="宋体"/>
          <w:color w:val="FF0000"/>
          <w:spacing w:val="-60"/>
        </w:rPr>
        <w:t>。</w:t>
      </w:r>
    </w:p>
    <w:p>
      <w:pPr>
        <w:tabs>
          <w:tab w:val="clear" w:pos="420"/>
        </w:tabs>
        <w:spacing w:line="240" w:lineRule="exact"/>
        <w:ind w:firstLine="420"/>
        <w:jc w:val="left"/>
        <w:rPr>
          <w:rFonts w:hint="eastAsia" w:eastAsia="宋体" w:cs="汉仪中黑简"/>
          <w:bCs/>
          <w:kern w:val="44"/>
        </w:rPr>
      </w:pPr>
      <w:r>
        <w:rPr>
          <w:rFonts w:hint="eastAsia" w:eastAsia="宋体" w:cs="汉仪中黑简"/>
          <w:bCs/>
          <w:kern w:val="44"/>
        </w:rPr>
        <w:t>2．对证据方面特殊情况的处理</w:t>
      </w:r>
    </w:p>
    <w:p>
      <w:pPr>
        <w:tabs>
          <w:tab w:val="clear" w:pos="420"/>
        </w:tabs>
        <w:spacing w:line="240" w:lineRule="exact"/>
        <w:ind w:firstLine="420"/>
        <w:jc w:val="left"/>
        <w:rPr>
          <w:rFonts w:hint="eastAsia" w:eastAsia="宋体"/>
        </w:rPr>
      </w:pPr>
      <w:r>
        <w:rPr>
          <w:rFonts w:hint="eastAsia" w:eastAsia="宋体"/>
        </w:rPr>
        <w:t>需要补充提供庭审所必需的证据，书面要求侦查机关提供</w:t>
      </w:r>
    </w:p>
    <w:p>
      <w:pPr>
        <w:tabs>
          <w:tab w:val="clear" w:pos="420"/>
        </w:tabs>
        <w:spacing w:line="240" w:lineRule="exact"/>
        <w:ind w:firstLine="420"/>
        <w:jc w:val="left"/>
        <w:rPr>
          <w:rFonts w:hint="eastAsia" w:eastAsia="宋体"/>
        </w:rPr>
      </w:pPr>
      <w:r>
        <w:rPr>
          <w:rFonts w:hint="eastAsia" w:eastAsia="宋体"/>
        </w:rPr>
        <w:t>可能存在非法取证情形的，要求侦查机关作出书面说明或提供相关证明材料</w:t>
      </w:r>
    </w:p>
    <w:p>
      <w:pPr>
        <w:tabs>
          <w:tab w:val="clear" w:pos="420"/>
        </w:tabs>
        <w:spacing w:line="240" w:lineRule="exact"/>
        <w:ind w:firstLine="420"/>
        <w:jc w:val="left"/>
        <w:rPr>
          <w:rFonts w:hint="eastAsia" w:eastAsia="宋体"/>
        </w:rPr>
      </w:pPr>
      <w:r>
        <w:rPr>
          <w:rFonts w:hint="eastAsia" w:eastAsia="宋体"/>
        </w:rPr>
        <w:t>侦查人员以非法方法收集犯罪嫌疑人供述、被害人陈述、证人证言等证据材料的，依法排除非法证据并提出纠正意见、要求侦查机关另行指派侦查人员重新调查取证、必要时自行调查取证</w:t>
      </w:r>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（三）关于经两次补充侦查后又发现的新的犯罪事实的处理</w:t>
      </w:r>
    </w:p>
    <w:p>
      <w:pPr>
        <w:spacing w:line="240" w:lineRule="exact"/>
        <w:ind w:firstLine="420"/>
        <w:rPr>
          <w:rFonts w:hint="eastAsia" w:eastAsia="宋体"/>
        </w:rPr>
      </w:pPr>
      <w:r>
        <w:rPr>
          <w:rFonts w:hint="eastAsia" w:eastAsia="宋体"/>
        </w:rPr>
        <w:t>人民检察院对已经退回监察机关二次补充调查或者退回公安机关二次补充侦查的案件，在审查起诉中又发现新的犯罪事实，应当将线索移送监察机关或者公安机关。对已经查清的犯罪事实，应当依法提起公诉。</w:t>
      </w:r>
    </w:p>
    <w:p>
      <w:pPr>
        <w:pStyle w:val="5"/>
        <w:spacing w:line="240" w:lineRule="exact"/>
        <w:ind w:firstLine="252" w:firstLineChars="120"/>
        <w:rPr>
          <w:rFonts w:hint="eastAsia" w:ascii="宋体" w:hAnsi="宋体" w:eastAsia="宋体"/>
          <w:sz w:val="21"/>
          <w:szCs w:val="21"/>
        </w:rPr>
      </w:pPr>
      <w:r>
        <w:rPr>
          <w:rFonts w:hint="eastAsia" w:ascii="宋体" w:hAnsi="宋体" w:eastAsia="宋体"/>
          <w:sz w:val="21"/>
          <w:szCs w:val="21"/>
        </w:rPr>
        <w:t>（四）关于犯罪嫌疑人在逃的处理</w:t>
      </w:r>
    </w:p>
    <w:p>
      <w:pPr>
        <w:spacing w:line="240" w:lineRule="exact"/>
        <w:ind w:firstLine="420"/>
        <w:rPr>
          <w:rFonts w:hint="eastAsia" w:eastAsia="宋体"/>
          <w:color w:val="FF0000"/>
          <w:kern w:val="0"/>
        </w:rPr>
      </w:pPr>
      <w:r>
        <w:rPr>
          <w:rFonts w:hint="eastAsia" w:eastAsia="宋体"/>
          <w:kern w:val="0"/>
        </w:rPr>
        <w:t>对于移送审查起诉的案件，如果犯罪嫌疑人在逃的，应当</w:t>
      </w:r>
      <w:r>
        <w:rPr>
          <w:rFonts w:hint="eastAsia" w:eastAsia="宋体"/>
          <w:color w:val="FF0000"/>
          <w:kern w:val="0"/>
        </w:rPr>
        <w:t>要求公安机关采取措施保证犯罪嫌疑人到案后再移送审查起诉</w:t>
      </w:r>
      <w:r>
        <w:rPr>
          <w:rFonts w:hint="eastAsia" w:eastAsia="宋体"/>
          <w:kern w:val="0"/>
        </w:rPr>
        <w:t>。</w:t>
      </w:r>
      <w:r>
        <w:rPr>
          <w:rFonts w:hint="eastAsia" w:eastAsia="宋体"/>
          <w:color w:val="FF0000"/>
          <w:kern w:val="0"/>
        </w:rPr>
        <w:t>共同犯罪案件中部分犯罪嫌疑人在逃的，对在案的犯罪嫌疑人的审查起诉应当依法进行</w:t>
      </w:r>
      <w:r>
        <w:rPr>
          <w:rFonts w:hint="eastAsia" w:eastAsia="宋体"/>
          <w:kern w:val="0"/>
        </w:rPr>
        <w:t>。</w:t>
      </w:r>
    </w:p>
    <w:p>
      <w:pPr>
        <w:pStyle w:val="5"/>
        <w:spacing w:line="240" w:lineRule="exact"/>
        <w:ind w:firstLine="252" w:firstLineChars="120"/>
        <w:rPr>
          <w:rFonts w:hint="eastAsia" w:ascii="宋体" w:hAnsi="宋体" w:eastAsia="宋体"/>
          <w:color w:val="FF0000"/>
          <w:sz w:val="21"/>
          <w:szCs w:val="21"/>
        </w:rPr>
      </w:pPr>
      <w:r>
        <w:rPr>
          <w:rFonts w:hint="eastAsia" w:ascii="宋体" w:hAnsi="宋体" w:eastAsia="宋体"/>
          <w:color w:val="FF0000"/>
          <w:sz w:val="21"/>
          <w:szCs w:val="21"/>
        </w:rPr>
        <w:t>（五）关于“径行起诉”</w:t>
      </w:r>
    </w:p>
    <w:p>
      <w:pPr>
        <w:spacing w:line="240" w:lineRule="exact"/>
        <w:ind w:firstLine="420"/>
        <w:rPr>
          <w:rFonts w:hint="eastAsia" w:eastAsia="宋体"/>
        </w:rPr>
      </w:pPr>
      <w:r>
        <w:rPr>
          <w:rFonts w:hint="eastAsia" w:eastAsia="宋体"/>
        </w:rPr>
        <w:t>人民检察院在办理公安机关移送起诉的案件中，发现遗漏罪行或者有依法应当移送起诉的同案犯罪嫌疑人未移送起诉的，应当要求公安机关补充侦查或者补充移送起诉。对于犯罪事实清楚，证据确实、充分的，也可以直接提起公诉。</w:t>
      </w:r>
    </w:p>
    <w:p>
      <w:pPr>
        <w:spacing w:line="240" w:lineRule="exact"/>
        <w:ind w:firstLine="420"/>
        <w:rPr>
          <w:rFonts w:hint="eastAsia" w:eastAsia="宋体"/>
        </w:rPr>
      </w:pPr>
      <w:r>
        <w:rPr>
          <w:rFonts w:hint="eastAsia" w:eastAsia="宋体"/>
        </w:rPr>
        <w:t>三、补充、追加和变更起诉</w:t>
      </w:r>
    </w:p>
    <w:p>
      <w:pPr>
        <w:spacing w:line="240" w:lineRule="exact"/>
        <w:ind w:firstLine="420"/>
        <w:rPr>
          <w:rFonts w:hint="eastAsia" w:eastAsia="宋体"/>
        </w:rPr>
      </w:pPr>
      <w:r>
        <w:rPr>
          <w:rFonts w:hint="eastAsia" w:eastAsia="宋体"/>
        </w:rPr>
        <w:t>检察院发现遗漏罪行、发现遗漏同案犯罪嫌疑人，补充、追加或者变更起诉</w:t>
      </w:r>
    </w:p>
    <w:p>
      <w:pPr>
        <w:spacing w:line="240" w:lineRule="exact"/>
        <w:ind w:firstLine="420"/>
        <w:rPr>
          <w:rFonts w:hint="eastAsia" w:eastAsia="宋体"/>
          <w:color w:val="FF0000"/>
        </w:rPr>
      </w:pPr>
      <w:r>
        <w:rPr>
          <w:rFonts w:hint="eastAsia" w:eastAsia="宋体"/>
        </w:rPr>
        <w:t>法院发现新的事实可能影响定罪，通知检察院，</w:t>
      </w:r>
      <w:r>
        <w:rPr>
          <w:rFonts w:hint="eastAsia" w:eastAsia="宋体"/>
          <w:color w:val="FF0000"/>
        </w:rPr>
        <w:t>由检察院自行决定是否补充、变更、追加起诉或者补充侦查，检察院不同意或未回复的，根据在案材料依法判决</w:t>
      </w:r>
      <w:r>
        <w:rPr>
          <w:rFonts w:hint="eastAsia" w:eastAsia="宋体"/>
        </w:rPr>
        <w:t>；公诉人当庭发表与起诉书不同的意见，属于变更、追加、补充或者撤回起诉的，要求人民检察院在指定时间内以书面方式提出；必要时，可以宣布休庭，未提出的，根据在案材料依法判决；变更、追加、补充的，</w:t>
      </w:r>
      <w:r>
        <w:rPr>
          <w:rFonts w:hint="eastAsia" w:eastAsia="宋体"/>
          <w:color w:val="FF0000"/>
        </w:rPr>
        <w:t>应当给予辩护人必要的准备时间。</w:t>
      </w:r>
    </w:p>
    <w:p>
      <w:pPr>
        <w:pStyle w:val="2"/>
        <w:spacing w:before="0" w:line="240" w:lineRule="exact"/>
        <w:rPr>
          <w:rFonts w:hint="eastAsia" w:ascii="宋体" w:hAnsi="宋体" w:eastAsia="宋体"/>
          <w:b/>
          <w:bCs w:val="0"/>
          <w:color w:val="auto"/>
          <w:sz w:val="21"/>
          <w:szCs w:val="21"/>
        </w:rPr>
      </w:pPr>
      <w:bookmarkStart w:id="59" w:name="_Toc4844132"/>
      <w:bookmarkStart w:id="60" w:name="_Toc64384709"/>
      <w:bookmarkStart w:id="61" w:name="_Toc126331802"/>
      <w:bookmarkStart w:id="62" w:name="_Toc64384710"/>
      <w:bookmarkStart w:id="63" w:name="_Toc126331803"/>
      <w:bookmarkStart w:id="64" w:name="_Toc64384711"/>
      <w:bookmarkStart w:id="65" w:name="_Toc4844133"/>
      <w:bookmarkStart w:id="66" w:name="_Toc126331804"/>
      <w:bookmarkStart w:id="67" w:name="_Toc126331809"/>
      <w:r>
        <w:rPr>
          <w:rFonts w:hint="eastAsia" w:ascii="宋体" w:hAnsi="宋体" w:eastAsia="宋体"/>
          <w:b/>
          <w:bCs w:val="0"/>
          <w:color w:val="auto"/>
          <w:sz w:val="21"/>
          <w:szCs w:val="21"/>
        </w:rPr>
        <w:t>考点37  与监察法的衔接</w:t>
      </w:r>
      <w:bookmarkEnd w:id="59"/>
      <w:bookmarkEnd w:id="60"/>
      <w:bookmarkEnd w:id="61"/>
      <w:r>
        <w:rPr>
          <w:rFonts w:hint="eastAsia" w:ascii="宋体" w:hAnsi="宋体" w:eastAsia="宋体"/>
          <w:b/>
          <w:bCs w:val="0"/>
          <w:color w:val="auto"/>
          <w:sz w:val="21"/>
          <w:szCs w:val="21"/>
        </w:rPr>
        <w:t>（11</w:t>
      </w:r>
      <w:r>
        <w:rPr>
          <w:rFonts w:ascii="宋体" w:hAnsi="宋体" w:eastAsia="宋体"/>
          <w:b/>
          <w:bCs w:val="0"/>
          <w:color w:val="auto"/>
          <w:sz w:val="21"/>
          <w:szCs w:val="21"/>
        </w:rPr>
        <w:t>:</w:t>
      </w:r>
      <w:r>
        <w:rPr>
          <w:rFonts w:hint="eastAsia" w:ascii="宋体" w:hAnsi="宋体" w:eastAsia="宋体"/>
          <w:b/>
          <w:bCs w:val="0"/>
          <w:color w:val="auto"/>
          <w:sz w:val="21"/>
          <w:szCs w:val="21"/>
        </w:rPr>
        <w:t>46</w:t>
      </w:r>
      <w:r>
        <w:rPr>
          <w:rFonts w:ascii="宋体" w:hAnsi="宋体" w:eastAsia="宋体"/>
          <w:b/>
          <w:bCs w:val="0"/>
          <w:color w:val="auto"/>
          <w:sz w:val="21"/>
          <w:szCs w:val="21"/>
        </w:rPr>
        <w:t>:00-</w:t>
      </w:r>
      <w:r>
        <w:rPr>
          <w:rFonts w:hint="eastAsia" w:ascii="宋体" w:hAnsi="宋体" w:eastAsia="宋体"/>
          <w:b/>
          <w:bCs w:val="0"/>
          <w:color w:val="auto"/>
          <w:sz w:val="21"/>
          <w:szCs w:val="21"/>
          <w:lang w:val="en-US" w:eastAsia="zh-CN"/>
        </w:rPr>
        <w:t>12</w:t>
      </w:r>
      <w:r>
        <w:rPr>
          <w:rFonts w:ascii="宋体" w:hAnsi="宋体" w:eastAsia="宋体"/>
          <w:b/>
          <w:bCs w:val="0"/>
          <w:color w:val="auto"/>
          <w:sz w:val="21"/>
          <w:szCs w:val="21"/>
        </w:rPr>
        <w:t>:</w:t>
      </w:r>
      <w:r>
        <w:rPr>
          <w:rFonts w:hint="eastAsia" w:ascii="宋体" w:hAnsi="宋体" w:eastAsia="宋体"/>
          <w:b/>
          <w:bCs w:val="0"/>
          <w:color w:val="auto"/>
          <w:sz w:val="21"/>
          <w:szCs w:val="21"/>
          <w:lang w:val="en-US" w:eastAsia="zh-CN"/>
        </w:rPr>
        <w:t>02</w:t>
      </w:r>
      <w:r>
        <w:rPr>
          <w:rFonts w:ascii="宋体" w:hAnsi="宋体" w:eastAsia="宋体"/>
          <w:b/>
          <w:bCs w:val="0"/>
          <w:color w:val="auto"/>
          <w:sz w:val="21"/>
          <w:szCs w:val="21"/>
        </w:rPr>
        <w:t>:00）</w:t>
      </w:r>
    </w:p>
    <w:p>
      <w:pPr>
        <w:pStyle w:val="4"/>
        <w:spacing w:line="240" w:lineRule="exact"/>
        <w:ind w:firstLine="420" w:firstLineChars="200"/>
        <w:rPr>
          <w:rFonts w:hint="eastAsia" w:eastAsia="宋体"/>
          <w:sz w:val="21"/>
        </w:rPr>
      </w:pPr>
      <w:r>
        <w:rPr>
          <w:rFonts w:hint="eastAsia" w:eastAsia="宋体"/>
          <w:sz w:val="21"/>
        </w:rPr>
        <w:t>一、调整了检察机关的立案管辖范围</w:t>
      </w:r>
    </w:p>
    <w:p>
      <w:pPr>
        <w:spacing w:line="240" w:lineRule="exact"/>
        <w:ind w:firstLine="420"/>
        <w:rPr>
          <w:rFonts w:hint="eastAsia" w:eastAsia="宋体"/>
        </w:rPr>
      </w:pPr>
      <w:r>
        <w:rPr>
          <w:rFonts w:hint="eastAsia" w:eastAsia="宋体"/>
        </w:rPr>
        <w:t>由于检察机关立案管辖范围的变化，2018年刑事诉讼法相应地修改了以下内容：</w:t>
      </w:r>
    </w:p>
    <w:p>
      <w:pPr>
        <w:spacing w:line="240" w:lineRule="exact"/>
        <w:ind w:firstLine="420"/>
        <w:rPr>
          <w:rFonts w:hint="eastAsia" w:eastAsia="宋体"/>
        </w:rPr>
      </w:pPr>
      <w:r>
        <w:rPr>
          <w:rFonts w:hint="eastAsia" w:eastAsia="宋体"/>
          <w:color w:val="FF0000"/>
        </w:rPr>
        <w:t>侦查阶段辩护律师会见犯罪嫌疑人需要经过办案机关同意的案件范围</w:t>
      </w:r>
      <w:r>
        <w:rPr>
          <w:rFonts w:hint="eastAsia" w:eastAsia="宋体"/>
        </w:rPr>
        <w:t>（</w:t>
      </w:r>
      <w:bookmarkStart w:id="68" w:name="_Hlk529130300"/>
      <w:r>
        <w:rPr>
          <w:rFonts w:hint="eastAsia" w:eastAsia="宋体"/>
        </w:rPr>
        <w:t>删去了特别重大贿赂犯罪案件</w:t>
      </w:r>
      <w:bookmarkEnd w:id="68"/>
      <w:r>
        <w:rPr>
          <w:rFonts w:hint="eastAsia" w:eastAsia="宋体"/>
        </w:rPr>
        <w:t>）；</w:t>
      </w:r>
    </w:p>
    <w:p>
      <w:pPr>
        <w:spacing w:line="240" w:lineRule="exact"/>
        <w:ind w:firstLine="420"/>
        <w:rPr>
          <w:rFonts w:hint="eastAsia" w:eastAsia="宋体"/>
        </w:rPr>
      </w:pPr>
      <w:r>
        <w:rPr>
          <w:rFonts w:hint="eastAsia" w:eastAsia="宋体"/>
          <w:color w:val="FF0000"/>
        </w:rPr>
        <w:t>可以适用指定居所监视居住的案件类型也减少为两类</w:t>
      </w:r>
      <w:r>
        <w:rPr>
          <w:rFonts w:hint="eastAsia" w:eastAsia="宋体"/>
        </w:rPr>
        <w:t>（删去了特别重大贿赂犯罪案件）；</w:t>
      </w:r>
    </w:p>
    <w:p>
      <w:pPr>
        <w:spacing w:line="240" w:lineRule="exact"/>
        <w:ind w:firstLine="420"/>
        <w:rPr>
          <w:rFonts w:hint="eastAsia" w:eastAsia="宋体"/>
        </w:rPr>
      </w:pPr>
      <w:r>
        <w:rPr>
          <w:rFonts w:hint="eastAsia" w:eastAsia="宋体"/>
          <w:color w:val="FF0000"/>
        </w:rPr>
        <w:t>检察机关可以适用技术侦查措施的案件类型调整为</w:t>
      </w:r>
      <w:r>
        <w:rPr>
          <w:rFonts w:hint="eastAsia" w:eastAsia="宋体"/>
        </w:rPr>
        <w:t>，对于利用职权实施的严重侵犯公民人身权利的重大犯罪案件，根据侦查犯罪的需要，经过严格的批准手续，可以采取技术侦</w:t>
      </w:r>
      <w:r>
        <w:rPr>
          <w:rFonts w:hint="eastAsia" w:eastAsia="宋体" w:cs="微软雅黑"/>
        </w:rPr>
        <w:t>査</w:t>
      </w:r>
      <w:r>
        <w:rPr>
          <w:rFonts w:hint="eastAsia" w:eastAsia="宋体"/>
        </w:rPr>
        <w:t>措施，按照规定交有关机关执行（删去了重大的贪污、贿赂犯罪案件）。</w:t>
      </w:r>
    </w:p>
    <w:p>
      <w:pPr>
        <w:pStyle w:val="4"/>
        <w:spacing w:line="240" w:lineRule="exact"/>
        <w:ind w:firstLine="420" w:firstLineChars="200"/>
        <w:rPr>
          <w:rFonts w:hint="eastAsia" w:eastAsia="宋体"/>
          <w:sz w:val="21"/>
        </w:rPr>
      </w:pPr>
      <w:r>
        <w:rPr>
          <w:rFonts w:hint="eastAsia" w:eastAsia="宋体"/>
          <w:sz w:val="21"/>
        </w:rPr>
        <w:t>二、提前介入</w:t>
      </w:r>
    </w:p>
    <w:p>
      <w:pPr>
        <w:spacing w:line="240" w:lineRule="exact"/>
        <w:ind w:firstLine="420"/>
        <w:rPr>
          <w:rFonts w:hint="eastAsia" w:eastAsia="宋体" w:cs="Times New Roman"/>
        </w:rPr>
      </w:pPr>
      <w:r>
        <w:rPr>
          <w:rFonts w:hint="eastAsia" w:eastAsia="宋体" w:cs="Times New Roman"/>
        </w:rPr>
        <w:t>经监察机关</w:t>
      </w:r>
      <w:r>
        <w:rPr>
          <w:rFonts w:hint="eastAsia" w:eastAsia="宋体" w:cs="Times New Roman"/>
          <w:color w:val="FF0000"/>
        </w:rPr>
        <w:t>商请</w:t>
      </w:r>
      <w:r>
        <w:rPr>
          <w:rFonts w:hint="eastAsia" w:eastAsia="宋体" w:cs="Times New Roman"/>
        </w:rPr>
        <w:t>，人民检察院可以派员介入监察机关办理的职务犯罪案件。</w:t>
      </w:r>
    </w:p>
    <w:p>
      <w:pPr>
        <w:pStyle w:val="4"/>
        <w:spacing w:line="240" w:lineRule="exact"/>
        <w:ind w:firstLine="420" w:firstLineChars="200"/>
        <w:rPr>
          <w:rFonts w:hint="eastAsia" w:eastAsia="宋体"/>
          <w:sz w:val="21"/>
        </w:rPr>
      </w:pPr>
      <w:r>
        <w:rPr>
          <w:rFonts w:hint="eastAsia" w:eastAsia="宋体"/>
          <w:sz w:val="21"/>
        </w:rPr>
        <w:t>三、监察机关调查取证的证据资格</w:t>
      </w:r>
    </w:p>
    <w:p>
      <w:pPr>
        <w:spacing w:line="240" w:lineRule="exact"/>
        <w:ind w:firstLine="420"/>
        <w:rPr>
          <w:rFonts w:hint="eastAsia" w:eastAsia="宋体" w:cs="Times New Roman"/>
        </w:rPr>
      </w:pPr>
      <w:r>
        <w:rPr>
          <w:rFonts w:hint="eastAsia" w:eastAsia="宋体" w:cs="Times New Roman"/>
        </w:rPr>
        <w:t>监察机关依照法律规定收集的物证、书证、证人证言、被调查人供述和辩解、视听资料、电子数据等证据材料，在刑事诉讼中可以作为证据使用。</w:t>
      </w:r>
    </w:p>
    <w:p>
      <w:pPr>
        <w:spacing w:line="240" w:lineRule="exact"/>
        <w:ind w:firstLine="420"/>
        <w:rPr>
          <w:rFonts w:hint="eastAsia" w:eastAsia="宋体" w:cs="Times New Roman"/>
        </w:rPr>
      </w:pPr>
      <w:r>
        <w:rPr>
          <w:rFonts w:hint="eastAsia" w:eastAsia="宋体" w:cs="Times New Roman"/>
        </w:rPr>
        <w:t>人民检察院经审查认定存在非法取证行为的，对该证据应当予以排除，其他证据不能证明犯罪嫌疑人实施犯罪行为的，应当不批准或者决定逮捕。</w:t>
      </w:r>
      <w:r>
        <w:rPr>
          <w:rFonts w:hint="eastAsia" w:eastAsia="宋体" w:cs="Times New Roman"/>
          <w:color w:val="FF0000"/>
        </w:rPr>
        <w:t>已经移送起诉的，可以依法将案件退回监察机关补充调查或者退回公安机关补充侦查</w:t>
      </w:r>
      <w:r>
        <w:rPr>
          <w:rFonts w:hint="eastAsia" w:eastAsia="宋体" w:cs="Times New Roman"/>
        </w:rPr>
        <w:t>，或者作出不起诉决定。被排除的非法证据应当随案移送，并写明为依法排除的非法证据。人民检察院认为可能存在以刑讯逼供等非法方法收集证据情形的，</w:t>
      </w:r>
      <w:r>
        <w:rPr>
          <w:rFonts w:hint="eastAsia" w:eastAsia="宋体" w:cs="Times New Roman"/>
          <w:color w:val="FF0000"/>
        </w:rPr>
        <w:t>可以书面要求监察机关或者公安机关对证据收集的合法性作出说明</w:t>
      </w:r>
      <w:r>
        <w:rPr>
          <w:rFonts w:hint="eastAsia" w:eastAsia="宋体" w:cs="Times New Roman"/>
        </w:rPr>
        <w:t>。说明应当加盖单位公章，并由调查人员或者侦查人员签名。</w:t>
      </w:r>
    </w:p>
    <w:p>
      <w:pPr>
        <w:pStyle w:val="4"/>
        <w:spacing w:line="240" w:lineRule="exact"/>
        <w:ind w:firstLine="420" w:firstLineChars="200"/>
        <w:rPr>
          <w:rFonts w:hint="eastAsia" w:eastAsia="宋体"/>
          <w:sz w:val="21"/>
        </w:rPr>
      </w:pPr>
      <w:r>
        <w:rPr>
          <w:rFonts w:hint="eastAsia" w:eastAsia="宋体"/>
          <w:sz w:val="21"/>
        </w:rPr>
        <w:t>四、监察委移送审查起诉</w:t>
      </w:r>
    </w:p>
    <w:p>
      <w:pPr>
        <w:spacing w:line="240" w:lineRule="exact"/>
        <w:ind w:firstLine="420"/>
        <w:rPr>
          <w:rFonts w:hint="eastAsia" w:eastAsia="宋体" w:cs="Times New Roman"/>
        </w:rPr>
      </w:pPr>
      <w:r>
        <w:rPr>
          <w:rFonts w:hint="eastAsia" w:eastAsia="宋体" w:cs="Times New Roman"/>
        </w:rPr>
        <w:t>人民检察院对于监察机关移送起诉的案件，依照本法和监察法的有关规定进行审</w:t>
      </w:r>
      <w:r>
        <w:rPr>
          <w:rFonts w:hint="eastAsia" w:eastAsia="宋体" w:cs="微软雅黑"/>
        </w:rPr>
        <w:t>査</w:t>
      </w:r>
      <w:r>
        <w:rPr>
          <w:rFonts w:hint="eastAsia" w:eastAsia="宋体" w:cs="汉仪书宋二简"/>
        </w:rPr>
        <w:t>。</w:t>
      </w:r>
      <w:r>
        <w:rPr>
          <w:rFonts w:hint="eastAsia" w:eastAsia="宋体" w:cs="Times New Roman"/>
          <w:color w:val="FF0000"/>
        </w:rPr>
        <w:t>人民检察院经审</w:t>
      </w:r>
      <w:r>
        <w:rPr>
          <w:rFonts w:hint="eastAsia" w:eastAsia="宋体" w:cs="微软雅黑"/>
          <w:color w:val="FF0000"/>
        </w:rPr>
        <w:t>査</w:t>
      </w:r>
      <w:r>
        <w:rPr>
          <w:rFonts w:hint="eastAsia" w:eastAsia="宋体" w:cs="汉仪书宋二简"/>
          <w:color w:val="FF0000"/>
        </w:rPr>
        <w:t>，认为需要补充核实的，应当退回监察机关补充调</w:t>
      </w:r>
      <w:r>
        <w:rPr>
          <w:rFonts w:hint="eastAsia" w:eastAsia="宋体" w:cs="微软雅黑"/>
          <w:color w:val="FF0000"/>
        </w:rPr>
        <w:t>査</w:t>
      </w:r>
      <w:r>
        <w:rPr>
          <w:rFonts w:hint="eastAsia" w:eastAsia="宋体" w:cs="汉仪书宋二简"/>
          <w:color w:val="FF0000"/>
        </w:rPr>
        <w:t>，必要时可以自行补充侦查。</w:t>
      </w:r>
      <w:r>
        <w:rPr>
          <w:rFonts w:hint="eastAsia" w:eastAsia="宋体" w:cs="Times New Roman"/>
          <w:color w:val="FF0000"/>
        </w:rPr>
        <w:t>对于监察机关移送起诉的已采取留置措施的案件，人民检察院应当对犯罪嫌疑人先行拘留，留置措施自动解除。人民检察院应当在拘留后的十日以内作出是否逮捕、取保候审或者监视居住的决定。在特殊情况下，决定的时间可以延长一日至四日。</w:t>
      </w:r>
      <w:r>
        <w:rPr>
          <w:rFonts w:hint="eastAsia" w:eastAsia="宋体" w:cs="Times New Roman"/>
        </w:rPr>
        <w:t>人民检察院决定采取强制措施的期间不计入审</w:t>
      </w:r>
      <w:r>
        <w:rPr>
          <w:rFonts w:hint="eastAsia" w:eastAsia="宋体" w:cs="微软雅黑"/>
        </w:rPr>
        <w:t>査</w:t>
      </w:r>
      <w:r>
        <w:rPr>
          <w:rFonts w:hint="eastAsia" w:eastAsia="宋体" w:cs="汉仪书宋二简"/>
        </w:rPr>
        <w:t>起诉期限。</w:t>
      </w:r>
    </w:p>
    <w:p>
      <w:pPr>
        <w:spacing w:line="240" w:lineRule="exact"/>
        <w:ind w:firstLine="420"/>
        <w:rPr>
          <w:rFonts w:hint="eastAsia" w:eastAsia="宋体" w:cs="Times New Roman"/>
        </w:rPr>
      </w:pPr>
      <w:r>
        <w:rPr>
          <w:rFonts w:hint="eastAsia" w:eastAsia="宋体" w:cs="Times New Roman"/>
          <w:color w:val="FF0000"/>
        </w:rPr>
        <w:t>人民检察院应当自收到移送起诉的案卷材料之日起三日以内告知犯罪嫌疑人有权委托辩护人</w:t>
      </w:r>
      <w:r>
        <w:rPr>
          <w:rFonts w:hint="eastAsia" w:eastAsia="宋体" w:cs="Times New Roman"/>
        </w:rPr>
        <w:t>。</w:t>
      </w:r>
      <w:r>
        <w:rPr>
          <w:rFonts w:hint="eastAsia" w:eastAsia="宋体" w:cs="Times New Roman"/>
          <w:color w:val="FF0000"/>
        </w:rPr>
        <w:t>对已经采取留置措施的，应当在执行拘留时告知。</w:t>
      </w:r>
    </w:p>
    <w:p>
      <w:pPr>
        <w:spacing w:line="240" w:lineRule="exact"/>
        <w:ind w:firstLine="420"/>
        <w:rPr>
          <w:rFonts w:hint="eastAsia" w:eastAsia="宋体" w:cs="Times New Roman"/>
        </w:rPr>
      </w:pPr>
      <w:r>
        <w:rPr>
          <w:rFonts w:hint="eastAsia" w:eastAsia="宋体" w:cs="Times New Roman"/>
        </w:rPr>
        <w:t>对于监察机关移送起诉的</w:t>
      </w:r>
      <w:r>
        <w:rPr>
          <w:rFonts w:hint="eastAsia" w:eastAsia="宋体" w:cs="Times New Roman"/>
          <w:color w:val="FF0000"/>
        </w:rPr>
        <w:t>未采取留置措施的案件</w:t>
      </w:r>
      <w:r>
        <w:rPr>
          <w:rFonts w:hint="eastAsia" w:eastAsia="宋体" w:cs="Times New Roman"/>
        </w:rPr>
        <w:t>，人民检察院受理后，在审查起诉过程中根据案件情况，可以依照本规则相关规定决定是否采取逮捕、取保候审或者监视居住措施。</w:t>
      </w:r>
    </w:p>
    <w:p>
      <w:pPr>
        <w:spacing w:line="240" w:lineRule="exact"/>
        <w:ind w:firstLine="420"/>
        <w:rPr>
          <w:rFonts w:hint="eastAsia" w:eastAsia="宋体" w:cs="Times New Roman"/>
        </w:rPr>
      </w:pPr>
      <w:r>
        <w:rPr>
          <w:rFonts w:hint="eastAsia" w:eastAsia="宋体" w:cs="Times New Roman"/>
        </w:rPr>
        <w:t>对于监察机关移送起诉的案件，具有下列情形之一的，人民检察院</w:t>
      </w:r>
      <w:r>
        <w:rPr>
          <w:rFonts w:hint="eastAsia" w:eastAsia="宋体" w:cs="Times New Roman"/>
          <w:b/>
          <w:bCs/>
          <w:color w:val="FF0000"/>
        </w:rPr>
        <w:t>可以自行补充侦查</w:t>
      </w:r>
      <w:r>
        <w:rPr>
          <w:rFonts w:hint="eastAsia" w:eastAsia="宋体" w:cs="Times New Roman"/>
        </w:rPr>
        <w:t>：（一）证人证言、犯罪嫌疑人供述和辩解、被害人陈述的内容主要情节一致，个别情节不一致的；（二）物证、书证等证据材料需要补充鉴定的；（三）其他由人民检察院查证更为便利、更有效率、更有利于查清案件事实的情形。自行补充侦查完毕后，应当将相关证据材料入卷，同时抄送监察机关。人民检察院自行补充侦查的，可以商请监察机关提供协助。</w:t>
      </w:r>
    </w:p>
    <w:p>
      <w:pPr>
        <w:spacing w:line="240" w:lineRule="exact"/>
        <w:ind w:firstLine="420"/>
        <w:rPr>
          <w:rFonts w:hint="eastAsia" w:eastAsia="宋体" w:cs="Times New Roman"/>
        </w:rPr>
      </w:pPr>
      <w:r>
        <w:rPr>
          <w:rFonts w:hint="eastAsia" w:eastAsia="宋体" w:cs="Times New Roman"/>
        </w:rPr>
        <w:t>人民检察院直接受理侦查的案件，</w:t>
      </w:r>
      <w:r>
        <w:rPr>
          <w:rFonts w:hint="eastAsia" w:eastAsia="宋体" w:cs="Times New Roman"/>
          <w:color w:val="FF0000"/>
        </w:rPr>
        <w:t>以及监察机关移送起诉的案件，拟作不起诉决定的，应当报请上一级人民检察院批准</w:t>
      </w:r>
      <w:r>
        <w:rPr>
          <w:rFonts w:hint="eastAsia" w:eastAsia="宋体" w:cs="Times New Roman"/>
        </w:rPr>
        <w:t>。</w:t>
      </w:r>
    </w:p>
    <w:p>
      <w:pPr>
        <w:spacing w:line="240" w:lineRule="exact"/>
        <w:ind w:firstLine="420"/>
        <w:rPr>
          <w:rFonts w:hint="eastAsia" w:eastAsia="宋体" w:cs="Times New Roman"/>
        </w:rPr>
      </w:pPr>
      <w:r>
        <w:rPr>
          <w:rFonts w:hint="eastAsia" w:eastAsia="宋体" w:cs="Times New Roman"/>
        </w:rPr>
        <w:t>监察机关认为不起诉的决定有错误，</w:t>
      </w:r>
      <w:r>
        <w:rPr>
          <w:rFonts w:hint="eastAsia" w:eastAsia="宋体" w:cs="Times New Roman"/>
          <w:color w:val="FF0000"/>
        </w:rPr>
        <w:t>向上一级人民检察院提请复议的</w:t>
      </w:r>
      <w:r>
        <w:rPr>
          <w:rFonts w:hint="eastAsia" w:eastAsia="宋体" w:cs="Times New Roman"/>
        </w:rPr>
        <w:t>，上一级人民检察院应当在收到提请复议意见书后三十日以内，经检察长批准，作出复议决定，通知监察机关。</w:t>
      </w:r>
    </w:p>
    <w:p>
      <w:pPr>
        <w:pStyle w:val="2"/>
        <w:spacing w:before="0" w:line="240" w:lineRule="exact"/>
        <w:rPr>
          <w:rFonts w:hint="eastAsia" w:ascii="宋体" w:hAnsi="宋体" w:eastAsia="宋体"/>
          <w:b/>
          <w:bCs w:val="0"/>
          <w:color w:val="auto"/>
          <w:sz w:val="21"/>
          <w:szCs w:val="21"/>
        </w:rPr>
      </w:pPr>
      <w:r>
        <w:rPr>
          <w:rFonts w:hint="eastAsia" w:ascii="宋体" w:hAnsi="宋体" w:eastAsia="宋体"/>
          <w:b/>
          <w:bCs w:val="0"/>
          <w:color w:val="auto"/>
          <w:sz w:val="21"/>
          <w:szCs w:val="21"/>
        </w:rPr>
        <w:t>考点38  监察法要点</w:t>
      </w:r>
      <w:bookmarkEnd w:id="62"/>
      <w:bookmarkEnd w:id="63"/>
      <w:r>
        <w:rPr>
          <w:rFonts w:hint="eastAsia" w:ascii="宋体" w:hAnsi="宋体" w:eastAsia="宋体"/>
          <w:b/>
          <w:bCs w:val="0"/>
          <w:color w:val="auto"/>
          <w:sz w:val="21"/>
          <w:szCs w:val="21"/>
        </w:rPr>
        <w:t>（1</w:t>
      </w:r>
      <w:r>
        <w:rPr>
          <w:rFonts w:hint="eastAsia" w:ascii="宋体" w:hAnsi="宋体" w:eastAsia="宋体"/>
          <w:b/>
          <w:bCs w:val="0"/>
          <w:color w:val="auto"/>
          <w:sz w:val="21"/>
          <w:szCs w:val="21"/>
          <w:lang w:val="en-US" w:eastAsia="zh-CN"/>
        </w:rPr>
        <w:t>2</w:t>
      </w:r>
      <w:r>
        <w:rPr>
          <w:rFonts w:ascii="宋体" w:hAnsi="宋体" w:eastAsia="宋体"/>
          <w:b/>
          <w:bCs w:val="0"/>
          <w:color w:val="auto"/>
          <w:sz w:val="21"/>
          <w:szCs w:val="21"/>
        </w:rPr>
        <w:t>:</w:t>
      </w:r>
      <w:r>
        <w:rPr>
          <w:rFonts w:hint="eastAsia" w:ascii="宋体" w:hAnsi="宋体" w:eastAsia="宋体"/>
          <w:b/>
          <w:bCs w:val="0"/>
          <w:color w:val="auto"/>
          <w:sz w:val="21"/>
          <w:szCs w:val="21"/>
          <w:lang w:val="en-US" w:eastAsia="zh-CN"/>
        </w:rPr>
        <w:t>02</w:t>
      </w:r>
      <w:r>
        <w:rPr>
          <w:rFonts w:ascii="宋体" w:hAnsi="宋体" w:eastAsia="宋体"/>
          <w:b/>
          <w:bCs w:val="0"/>
          <w:color w:val="auto"/>
          <w:sz w:val="21"/>
          <w:szCs w:val="21"/>
        </w:rPr>
        <w:t>:00-1</w:t>
      </w:r>
      <w:r>
        <w:rPr>
          <w:rFonts w:hint="eastAsia" w:ascii="宋体" w:hAnsi="宋体" w:eastAsia="宋体"/>
          <w:b/>
          <w:bCs w:val="0"/>
          <w:color w:val="auto"/>
          <w:sz w:val="21"/>
          <w:szCs w:val="21"/>
          <w:lang w:val="en-US" w:eastAsia="zh-CN"/>
        </w:rPr>
        <w:t>2</w:t>
      </w:r>
      <w:r>
        <w:rPr>
          <w:rFonts w:ascii="宋体" w:hAnsi="宋体" w:eastAsia="宋体"/>
          <w:b/>
          <w:bCs w:val="0"/>
          <w:color w:val="auto"/>
          <w:sz w:val="21"/>
          <w:szCs w:val="21"/>
        </w:rPr>
        <w:t>:</w:t>
      </w:r>
      <w:r>
        <w:rPr>
          <w:rFonts w:hint="eastAsia" w:ascii="宋体" w:hAnsi="宋体" w:eastAsia="宋体"/>
          <w:b/>
          <w:bCs w:val="0"/>
          <w:color w:val="auto"/>
          <w:sz w:val="21"/>
          <w:szCs w:val="21"/>
          <w:lang w:val="en-US" w:eastAsia="zh-CN"/>
        </w:rPr>
        <w:t>16</w:t>
      </w:r>
      <w:bookmarkStart w:id="69" w:name="_GoBack"/>
      <w:bookmarkEnd w:id="69"/>
      <w:r>
        <w:rPr>
          <w:rFonts w:ascii="宋体" w:hAnsi="宋体" w:eastAsia="宋体"/>
          <w:b/>
          <w:bCs w:val="0"/>
          <w:color w:val="auto"/>
          <w:sz w:val="21"/>
          <w:szCs w:val="21"/>
        </w:rPr>
        <w:t>:00）</w:t>
      </w:r>
    </w:p>
    <w:p>
      <w:pPr>
        <w:pStyle w:val="4"/>
        <w:spacing w:line="240" w:lineRule="exact"/>
        <w:ind w:firstLine="420" w:firstLineChars="200"/>
        <w:rPr>
          <w:rFonts w:hint="eastAsia" w:eastAsia="宋体"/>
          <w:sz w:val="21"/>
        </w:rPr>
      </w:pPr>
      <w:r>
        <w:rPr>
          <w:rFonts w:hint="eastAsia" w:eastAsia="宋体"/>
          <w:sz w:val="21"/>
        </w:rPr>
        <w:t>一、留置</w:t>
      </w:r>
    </w:p>
    <w:p>
      <w:pPr>
        <w:spacing w:line="240" w:lineRule="exact"/>
        <w:ind w:firstLine="420"/>
        <w:rPr>
          <w:rFonts w:hint="eastAsia" w:eastAsia="宋体" w:cs="Times New Roman"/>
        </w:rPr>
      </w:pPr>
      <w:r>
        <w:rPr>
          <w:rFonts w:hint="eastAsia" w:eastAsia="宋体" w:cs="Times New Roman"/>
        </w:rPr>
        <w:t>1．条件：</w:t>
      </w:r>
      <w:r>
        <w:rPr>
          <w:rFonts w:hint="eastAsia" w:eastAsia="宋体" w:cs="Times New Roman"/>
          <w:color w:val="FF0000"/>
        </w:rPr>
        <w:t>被调查人涉嫌贪污贿赂、失职渎职等严重职务违法或者职务犯罪，监察机关已经掌握其部分违法犯罪事实及证据，仍有重要问题需要进一步调查</w:t>
      </w:r>
      <w:r>
        <w:rPr>
          <w:rFonts w:hint="eastAsia" w:eastAsia="宋体" w:cs="Times New Roman"/>
        </w:rPr>
        <w:t>，并有下列情形之一的，经监察机关依法审批，可以将其留置在特定场所：（一）涉及案情重大、复杂的；（二）可能逃跑、自杀的；（三）可能串供或者伪造、隐匿、毁灭证据的；（四）可能有其他妨碍调查行为的。</w:t>
      </w:r>
      <w:r>
        <w:rPr>
          <w:rFonts w:hint="eastAsia" w:eastAsia="宋体" w:cs="Times New Roman"/>
          <w:color w:val="FF0000"/>
        </w:rPr>
        <w:t>对涉嫌行贿犯罪或者共同职务犯罪的涉案人员，监察机关可以依照前款规定采取留置措施</w:t>
      </w:r>
      <w:r>
        <w:rPr>
          <w:rFonts w:hint="eastAsia" w:eastAsia="宋体" w:cs="Times New Roman"/>
        </w:rPr>
        <w:t>。留置场所的设置、管理和监督依照国家有关规定执行。</w:t>
      </w:r>
    </w:p>
    <w:p>
      <w:pPr>
        <w:spacing w:line="240" w:lineRule="exact"/>
        <w:ind w:firstLine="420"/>
        <w:rPr>
          <w:rFonts w:hint="eastAsia" w:eastAsia="宋体" w:cs="Times New Roman"/>
        </w:rPr>
      </w:pPr>
      <w:r>
        <w:rPr>
          <w:rFonts w:hint="eastAsia" w:eastAsia="宋体" w:cs="Times New Roman"/>
        </w:rPr>
        <w:t>2．期限：监察机关采取留置措施，应当由监察机关领导人员集体研究决定。</w:t>
      </w:r>
      <w:r>
        <w:rPr>
          <w:rFonts w:hint="eastAsia" w:eastAsia="宋体" w:cs="Times New Roman"/>
          <w:color w:val="FF0000"/>
        </w:rPr>
        <w:t>设区的市级以下监察机关采取留置措施，应当报上一级监察机关批准。省级监察机关采取留置措施，应当报国家监察委员会备案。留置时间不得超过三个月。在特殊情况下，可以延长一次，延长时间不得超过三个月。省级以下监察机关采取留置措施的，延长留置时间应当报上一级监察机关批准。</w:t>
      </w:r>
      <w:r>
        <w:rPr>
          <w:rFonts w:hint="eastAsia" w:eastAsia="宋体" w:cs="Times New Roman"/>
        </w:rPr>
        <w:t>监察机关发现采取留置措施不当的，应当及时解除。</w:t>
      </w:r>
    </w:p>
    <w:p>
      <w:pPr>
        <w:spacing w:line="240" w:lineRule="exact"/>
        <w:ind w:firstLine="420"/>
        <w:rPr>
          <w:rFonts w:hint="eastAsia" w:eastAsia="宋体" w:cs="Times New Roman"/>
        </w:rPr>
      </w:pPr>
      <w:r>
        <w:rPr>
          <w:rFonts w:hint="eastAsia" w:eastAsia="宋体" w:cs="Times New Roman"/>
        </w:rPr>
        <w:t>3．通知：对被调查人采取留置措施后，</w:t>
      </w:r>
      <w:r>
        <w:rPr>
          <w:rFonts w:hint="eastAsia" w:eastAsia="宋体" w:cs="Times New Roman"/>
          <w:color w:val="FF0000"/>
        </w:rPr>
        <w:t>应当在二十四小时以内</w:t>
      </w:r>
      <w:r>
        <w:rPr>
          <w:rFonts w:hint="eastAsia" w:eastAsia="宋体" w:cs="Times New Roman"/>
        </w:rPr>
        <w:t>，通知被留置人员所在单位和家属，但有可能毁灭、伪造证据，干扰证人作证或者串供等有碍调查情形的除外。有碍调查的情形消失后，应当立即通知被留置人员所在单位和家属。</w:t>
      </w:r>
    </w:p>
    <w:p>
      <w:pPr>
        <w:pStyle w:val="4"/>
        <w:spacing w:line="240" w:lineRule="exact"/>
        <w:ind w:firstLine="420" w:firstLineChars="200"/>
        <w:rPr>
          <w:rFonts w:hint="eastAsia" w:eastAsia="宋体"/>
          <w:sz w:val="21"/>
        </w:rPr>
      </w:pPr>
      <w:r>
        <w:rPr>
          <w:rFonts w:hint="eastAsia" w:eastAsia="宋体"/>
          <w:sz w:val="21"/>
        </w:rPr>
        <w:t>三、通缉</w:t>
      </w:r>
    </w:p>
    <w:p>
      <w:pPr>
        <w:spacing w:line="240" w:lineRule="exact"/>
        <w:ind w:firstLine="420"/>
        <w:rPr>
          <w:rFonts w:hint="eastAsia" w:eastAsia="宋体" w:cs="Times New Roman"/>
          <w:color w:val="FF0000"/>
        </w:rPr>
      </w:pPr>
      <w:r>
        <w:rPr>
          <w:rFonts w:hint="eastAsia" w:eastAsia="宋体" w:cs="Times New Roman"/>
        </w:rPr>
        <w:t>依法应当留置的被调查人如果在逃，监察机关可以决定在本行政区域内通缉，由</w:t>
      </w:r>
      <w:r>
        <w:rPr>
          <w:rFonts w:hint="eastAsia" w:eastAsia="宋体" w:cs="Times New Roman"/>
          <w:color w:val="FF0000"/>
        </w:rPr>
        <w:t>公安机关发布通缉令</w:t>
      </w:r>
      <w:r>
        <w:rPr>
          <w:rFonts w:hint="eastAsia" w:eastAsia="宋体" w:cs="Times New Roman"/>
        </w:rPr>
        <w:t>，追捕归案。</w:t>
      </w:r>
      <w:r>
        <w:rPr>
          <w:rFonts w:hint="eastAsia" w:eastAsia="宋体" w:cs="Times New Roman"/>
          <w:color w:val="FF0000"/>
        </w:rPr>
        <w:t>通缉范围超出本行政区域的，应当报请有权决定的上级监察机关决定。</w:t>
      </w:r>
    </w:p>
    <w:p>
      <w:pPr>
        <w:spacing w:line="240" w:lineRule="exact"/>
        <w:ind w:firstLine="420"/>
        <w:rPr>
          <w:rFonts w:hint="eastAsia" w:eastAsia="宋体" w:cs="Times New Roman"/>
          <w:color w:val="FF0000"/>
        </w:rPr>
      </w:pPr>
      <w:r>
        <w:rPr>
          <w:rFonts w:hint="eastAsia" w:eastAsia="宋体"/>
        </w:rPr>
        <w:t>四、限制出境</w:t>
      </w:r>
    </w:p>
    <w:p>
      <w:pPr>
        <w:spacing w:line="240" w:lineRule="exact"/>
        <w:ind w:firstLine="420"/>
        <w:rPr>
          <w:rFonts w:hint="eastAsia" w:eastAsia="宋体" w:cs="Times New Roman"/>
        </w:rPr>
      </w:pPr>
      <w:r>
        <w:rPr>
          <w:rFonts w:hint="eastAsia" w:eastAsia="宋体" w:cs="Times New Roman"/>
        </w:rPr>
        <w:t>监察机关为防止被调查人及相关人员逃匿境外，</w:t>
      </w:r>
      <w:r>
        <w:rPr>
          <w:rFonts w:hint="eastAsia" w:eastAsia="宋体" w:cs="Times New Roman"/>
          <w:color w:val="FF0000"/>
        </w:rPr>
        <w:t>经省级以上监察机关批准</w:t>
      </w:r>
      <w:r>
        <w:rPr>
          <w:rFonts w:hint="eastAsia" w:eastAsia="宋体" w:cs="Times New Roman"/>
        </w:rPr>
        <w:t>，可以对被调查人及相关人员采取限制出境措施，由公安机关依法执行。</w:t>
      </w:r>
    </w:p>
    <w:bookmarkEnd w:id="64"/>
    <w:bookmarkEnd w:id="65"/>
    <w:bookmarkEnd w:id="66"/>
    <w:bookmarkEnd w:id="67"/>
    <w:p>
      <w:pPr>
        <w:spacing w:line="240" w:lineRule="exact"/>
        <w:ind w:firstLine="420"/>
        <w:rPr>
          <w:rFonts w:hint="eastAsia" w:eastAsia="宋体"/>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书宋二简">
    <w:altName w:val="苹方-简"/>
    <w:panose1 w:val="00000000000000000000"/>
    <w:charset w:val="86"/>
    <w:family w:val="modern"/>
    <w:pitch w:val="default"/>
    <w:sig w:usb0="00000000" w:usb1="00000000" w:usb2="00000012" w:usb3="00000000" w:csb0="00040000" w:csb1="00000000"/>
  </w:font>
  <w:font w:name="汉仪大宋简">
    <w:altName w:val="汉仪书宋二KW"/>
    <w:panose1 w:val="00000000000000000000"/>
    <w:charset w:val="86"/>
    <w:family w:val="modern"/>
    <w:pitch w:val="default"/>
    <w:sig w:usb0="00000000" w:usb1="00000000" w:usb2="00000012"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汉仪大黑简">
    <w:altName w:val="汉仪中黑KW"/>
    <w:panose1 w:val="00000000000000000000"/>
    <w:charset w:val="86"/>
    <w:family w:val="modern"/>
    <w:pitch w:val="default"/>
    <w:sig w:usb0="00000000" w:usb1="00000000" w:usb2="00000012" w:usb3="00000000" w:csb0="00040000" w:csb1="00000000"/>
  </w:font>
  <w:font w:name="汉仪中黑简">
    <w:altName w:val="汉仪中黑KW"/>
    <w:panose1 w:val="00000000000000000000"/>
    <w:charset w:val="86"/>
    <w:family w:val="modern"/>
    <w:pitch w:val="default"/>
    <w:sig w:usb0="00000000" w:usb1="00000000" w:usb2="00000012" w:usb3="00000000" w:csb0="00040000" w:csb1="00000000"/>
  </w:font>
  <w:font w:name="Courier New">
    <w:panose1 w:val="02070409020205090404"/>
    <w:charset w:val="00"/>
    <w:family w:val="modern"/>
    <w:pitch w:val="default"/>
    <w:sig w:usb0="E0000AFF" w:usb1="40007843" w:usb2="00000001" w:usb3="00000000" w:csb0="400001BF" w:csb1="DFF70000"/>
  </w:font>
  <w:font w:name="汉仪书宋一简">
    <w:altName w:val="苹方-简"/>
    <w:panose1 w:val="00000000000000000000"/>
    <w:charset w:val="86"/>
    <w:family w:val="modern"/>
    <w:pitch w:val="default"/>
    <w:sig w:usb0="00000000" w:usb1="00000000" w:usb2="00000012"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rPr>
        <w:rFonts w:hint="eastAsia"/>
      </w:rPr>
    </w:pPr>
    <w:r>
      <w:rPr>
        <w:rFonts w:hint="eastAsia"/>
      </w:rPr>
      <w:t>桑磊法考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AA"/>
    <w:rsid w:val="000058B5"/>
    <w:rsid w:val="00056A72"/>
    <w:rsid w:val="00064951"/>
    <w:rsid w:val="00080905"/>
    <w:rsid w:val="000B15DC"/>
    <w:rsid w:val="000B5815"/>
    <w:rsid w:val="000C1DA1"/>
    <w:rsid w:val="000C608E"/>
    <w:rsid w:val="000E6E6D"/>
    <w:rsid w:val="000F486F"/>
    <w:rsid w:val="000F54B3"/>
    <w:rsid w:val="000F7EDE"/>
    <w:rsid w:val="001105B1"/>
    <w:rsid w:val="00114561"/>
    <w:rsid w:val="00170DA0"/>
    <w:rsid w:val="001714C5"/>
    <w:rsid w:val="00182815"/>
    <w:rsid w:val="00185FF3"/>
    <w:rsid w:val="001C42B5"/>
    <w:rsid w:val="00240BE0"/>
    <w:rsid w:val="002603E7"/>
    <w:rsid w:val="002900E9"/>
    <w:rsid w:val="002C379E"/>
    <w:rsid w:val="002D717D"/>
    <w:rsid w:val="002E6B54"/>
    <w:rsid w:val="00300C35"/>
    <w:rsid w:val="00310C62"/>
    <w:rsid w:val="003229F4"/>
    <w:rsid w:val="00362DE1"/>
    <w:rsid w:val="00381C46"/>
    <w:rsid w:val="003C05FF"/>
    <w:rsid w:val="003E0CBA"/>
    <w:rsid w:val="003E1E84"/>
    <w:rsid w:val="003E3A70"/>
    <w:rsid w:val="003F36D3"/>
    <w:rsid w:val="003F5DB7"/>
    <w:rsid w:val="00401709"/>
    <w:rsid w:val="004145D8"/>
    <w:rsid w:val="00425C84"/>
    <w:rsid w:val="0045693D"/>
    <w:rsid w:val="00474A44"/>
    <w:rsid w:val="00482B99"/>
    <w:rsid w:val="004E1DB8"/>
    <w:rsid w:val="004E1E02"/>
    <w:rsid w:val="004F2B1B"/>
    <w:rsid w:val="004F3C5D"/>
    <w:rsid w:val="005331C4"/>
    <w:rsid w:val="005332B3"/>
    <w:rsid w:val="00535F67"/>
    <w:rsid w:val="005533C3"/>
    <w:rsid w:val="005568CD"/>
    <w:rsid w:val="00560F83"/>
    <w:rsid w:val="00561C2E"/>
    <w:rsid w:val="00567542"/>
    <w:rsid w:val="00574CF1"/>
    <w:rsid w:val="005955D1"/>
    <w:rsid w:val="005C0645"/>
    <w:rsid w:val="005C6BEB"/>
    <w:rsid w:val="005D20E6"/>
    <w:rsid w:val="005E1BE0"/>
    <w:rsid w:val="00617AC8"/>
    <w:rsid w:val="006915AD"/>
    <w:rsid w:val="00691EC0"/>
    <w:rsid w:val="006943C2"/>
    <w:rsid w:val="006A45CC"/>
    <w:rsid w:val="006B1018"/>
    <w:rsid w:val="006B1C06"/>
    <w:rsid w:val="006F482B"/>
    <w:rsid w:val="007261A8"/>
    <w:rsid w:val="00734F4F"/>
    <w:rsid w:val="00750942"/>
    <w:rsid w:val="0075331C"/>
    <w:rsid w:val="0075759F"/>
    <w:rsid w:val="0077388B"/>
    <w:rsid w:val="00774D71"/>
    <w:rsid w:val="00793836"/>
    <w:rsid w:val="007C0A28"/>
    <w:rsid w:val="007D6184"/>
    <w:rsid w:val="007E61A8"/>
    <w:rsid w:val="007F2D90"/>
    <w:rsid w:val="007F79A6"/>
    <w:rsid w:val="008065C8"/>
    <w:rsid w:val="00837881"/>
    <w:rsid w:val="00840ED3"/>
    <w:rsid w:val="00841D74"/>
    <w:rsid w:val="00852B80"/>
    <w:rsid w:val="008718C0"/>
    <w:rsid w:val="0087325A"/>
    <w:rsid w:val="008808FF"/>
    <w:rsid w:val="00890C61"/>
    <w:rsid w:val="00907814"/>
    <w:rsid w:val="0096015D"/>
    <w:rsid w:val="00961AE0"/>
    <w:rsid w:val="0097782E"/>
    <w:rsid w:val="009D3DAA"/>
    <w:rsid w:val="009D624B"/>
    <w:rsid w:val="009D7058"/>
    <w:rsid w:val="009E0A79"/>
    <w:rsid w:val="009F72A7"/>
    <w:rsid w:val="00A6590E"/>
    <w:rsid w:val="00AA2271"/>
    <w:rsid w:val="00AA7D7A"/>
    <w:rsid w:val="00AB7688"/>
    <w:rsid w:val="00AE7572"/>
    <w:rsid w:val="00AF19FF"/>
    <w:rsid w:val="00AF45CD"/>
    <w:rsid w:val="00B06340"/>
    <w:rsid w:val="00B13B51"/>
    <w:rsid w:val="00B141B0"/>
    <w:rsid w:val="00B16379"/>
    <w:rsid w:val="00B41F3D"/>
    <w:rsid w:val="00B47315"/>
    <w:rsid w:val="00B52A4D"/>
    <w:rsid w:val="00BC3645"/>
    <w:rsid w:val="00BF0369"/>
    <w:rsid w:val="00C048C1"/>
    <w:rsid w:val="00C22898"/>
    <w:rsid w:val="00C46040"/>
    <w:rsid w:val="00C65C90"/>
    <w:rsid w:val="00C7119E"/>
    <w:rsid w:val="00C77C4E"/>
    <w:rsid w:val="00C957AA"/>
    <w:rsid w:val="00CA73D2"/>
    <w:rsid w:val="00CE6444"/>
    <w:rsid w:val="00CF3045"/>
    <w:rsid w:val="00CF3D4E"/>
    <w:rsid w:val="00D11E64"/>
    <w:rsid w:val="00D42AD8"/>
    <w:rsid w:val="00D61D14"/>
    <w:rsid w:val="00DA21B3"/>
    <w:rsid w:val="00DA2F78"/>
    <w:rsid w:val="00DA7390"/>
    <w:rsid w:val="00DE5B72"/>
    <w:rsid w:val="00E2185C"/>
    <w:rsid w:val="00E24187"/>
    <w:rsid w:val="00E32235"/>
    <w:rsid w:val="00E370DA"/>
    <w:rsid w:val="00E454E1"/>
    <w:rsid w:val="00E4795E"/>
    <w:rsid w:val="00E708B5"/>
    <w:rsid w:val="00E8476F"/>
    <w:rsid w:val="00EA709B"/>
    <w:rsid w:val="00EB0D8F"/>
    <w:rsid w:val="00EE2F25"/>
    <w:rsid w:val="00EE332A"/>
    <w:rsid w:val="00F01B6B"/>
    <w:rsid w:val="00F170BB"/>
    <w:rsid w:val="00F42CCF"/>
    <w:rsid w:val="00F60E15"/>
    <w:rsid w:val="00F71D05"/>
    <w:rsid w:val="00FC3BD7"/>
    <w:rsid w:val="00FD6CEB"/>
    <w:rsid w:val="00FE05E3"/>
    <w:rsid w:val="39EFF050"/>
    <w:rsid w:val="9F7BA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qFormat="1"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spacing w:line="384" w:lineRule="exact"/>
      <w:ind w:firstLine="721" w:firstLineChars="200"/>
      <w:jc w:val="both"/>
    </w:pPr>
    <w:rPr>
      <w:rFonts w:ascii="宋体" w:hAnsi="宋体" w:eastAsia="汉仪书宋二简" w:cs="宋体"/>
      <w:color w:val="000000" w:themeColor="text1"/>
      <w:kern w:val="2"/>
      <w:sz w:val="21"/>
      <w:szCs w:val="21"/>
      <w:lang w:val="en-US" w:eastAsia="zh-CN" w:bidi="ar-SA"/>
      <w14:textFill>
        <w14:solidFill>
          <w14:schemeClr w14:val="tx1"/>
        </w14:solidFill>
      </w14:textFill>
    </w:rPr>
  </w:style>
  <w:style w:type="paragraph" w:styleId="2">
    <w:name w:val="heading 1"/>
    <w:basedOn w:val="1"/>
    <w:next w:val="1"/>
    <w:link w:val="38"/>
    <w:qFormat/>
    <w:uiPriority w:val="9"/>
    <w:pPr>
      <w:keepNext/>
      <w:keepLines/>
      <w:spacing w:before="10"/>
      <w:ind w:firstLine="0" w:firstLineChars="0"/>
      <w:jc w:val="center"/>
      <w:outlineLvl w:val="0"/>
    </w:pPr>
    <w:rPr>
      <w:rFonts w:ascii="汉仪大宋简" w:hAnsi="汉仪大宋简" w:eastAsia="汉仪大宋简"/>
      <w:bCs/>
      <w:kern w:val="44"/>
      <w:sz w:val="44"/>
      <w:szCs w:val="44"/>
    </w:rPr>
  </w:style>
  <w:style w:type="paragraph" w:styleId="3">
    <w:name w:val="heading 2"/>
    <w:basedOn w:val="1"/>
    <w:next w:val="1"/>
    <w:link w:val="39"/>
    <w:unhideWhenUsed/>
    <w:qFormat/>
    <w:uiPriority w:val="9"/>
    <w:pPr>
      <w:keepNext/>
      <w:keepLines/>
      <w:ind w:firstLine="0" w:firstLineChars="0"/>
      <w:jc w:val="left"/>
      <w:outlineLvl w:val="1"/>
    </w:pPr>
    <w:rPr>
      <w:rFonts w:eastAsia="汉仪大黑简" w:asciiTheme="majorHAnsi" w:hAnsiTheme="majorHAnsi" w:cstheme="majorBidi"/>
      <w:bCs/>
      <w:sz w:val="32"/>
      <w:szCs w:val="32"/>
    </w:rPr>
  </w:style>
  <w:style w:type="paragraph" w:styleId="4">
    <w:name w:val="heading 3"/>
    <w:basedOn w:val="1"/>
    <w:next w:val="1"/>
    <w:link w:val="40"/>
    <w:unhideWhenUsed/>
    <w:qFormat/>
    <w:uiPriority w:val="9"/>
    <w:pPr>
      <w:keepNext/>
      <w:keepLines/>
      <w:ind w:firstLine="0" w:firstLineChars="0"/>
      <w:jc w:val="left"/>
      <w:outlineLvl w:val="2"/>
    </w:pPr>
    <w:rPr>
      <w:rFonts w:eastAsia="汉仪大宋简"/>
      <w:sz w:val="26"/>
    </w:rPr>
  </w:style>
  <w:style w:type="paragraph" w:styleId="5">
    <w:name w:val="heading 4"/>
    <w:basedOn w:val="1"/>
    <w:next w:val="1"/>
    <w:link w:val="41"/>
    <w:unhideWhenUsed/>
    <w:qFormat/>
    <w:uiPriority w:val="9"/>
    <w:pPr>
      <w:keepNext/>
      <w:keepLines/>
      <w:ind w:firstLine="0" w:firstLineChars="0"/>
      <w:jc w:val="left"/>
      <w:outlineLvl w:val="3"/>
    </w:pPr>
    <w:rPr>
      <w:rFonts w:eastAsia="汉仪大宋简" w:asciiTheme="majorHAnsi" w:hAnsiTheme="majorHAnsi" w:cstheme="majorBidi"/>
      <w:bCs/>
      <w:sz w:val="24"/>
      <w:szCs w:val="28"/>
    </w:rPr>
  </w:style>
  <w:style w:type="paragraph" w:styleId="6">
    <w:name w:val="heading 5"/>
    <w:basedOn w:val="1"/>
    <w:next w:val="1"/>
    <w:link w:val="42"/>
    <w:unhideWhenUsed/>
    <w:qFormat/>
    <w:uiPriority w:val="9"/>
    <w:pPr>
      <w:keepNext/>
      <w:keepLines/>
      <w:outlineLvl w:val="4"/>
    </w:pPr>
    <w:rPr>
      <w:rFonts w:eastAsia="汉仪中黑简"/>
      <w:bCs/>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260"/>
    </w:pPr>
  </w:style>
  <w:style w:type="paragraph" w:styleId="8">
    <w:name w:val="Document Map"/>
    <w:basedOn w:val="1"/>
    <w:link w:val="43"/>
    <w:semiHidden/>
    <w:unhideWhenUsed/>
    <w:qFormat/>
    <w:uiPriority w:val="99"/>
    <w:rPr>
      <w:sz w:val="24"/>
      <w:szCs w:val="24"/>
    </w:rPr>
  </w:style>
  <w:style w:type="paragraph" w:styleId="9">
    <w:name w:val="annotation text"/>
    <w:basedOn w:val="1"/>
    <w:link w:val="44"/>
    <w:semiHidden/>
    <w:unhideWhenUsed/>
    <w:qFormat/>
    <w:uiPriority w:val="99"/>
    <w:pPr>
      <w:jc w:val="left"/>
    </w:pPr>
  </w:style>
  <w:style w:type="paragraph" w:styleId="10">
    <w:name w:val="toc 5"/>
    <w:basedOn w:val="1"/>
    <w:next w:val="1"/>
    <w:unhideWhenUsed/>
    <w:qFormat/>
    <w:uiPriority w:val="39"/>
    <w:pPr>
      <w:ind w:left="840"/>
    </w:pPr>
  </w:style>
  <w:style w:type="paragraph" w:styleId="11">
    <w:name w:val="toc 3"/>
    <w:basedOn w:val="1"/>
    <w:next w:val="1"/>
    <w:unhideWhenUsed/>
    <w:qFormat/>
    <w:uiPriority w:val="39"/>
    <w:pPr>
      <w:ind w:left="420"/>
    </w:pPr>
  </w:style>
  <w:style w:type="paragraph" w:styleId="12">
    <w:name w:val="Plain Text"/>
    <w:basedOn w:val="1"/>
    <w:link w:val="45"/>
    <w:unhideWhenUsed/>
    <w:qFormat/>
    <w:uiPriority w:val="99"/>
    <w:rPr>
      <w:rFonts w:hAnsi="Courier New" w:cs="Courier New"/>
      <w:kern w:val="0"/>
      <w:sz w:val="20"/>
    </w:rPr>
  </w:style>
  <w:style w:type="paragraph" w:styleId="13">
    <w:name w:val="toc 8"/>
    <w:basedOn w:val="1"/>
    <w:next w:val="1"/>
    <w:unhideWhenUsed/>
    <w:qFormat/>
    <w:uiPriority w:val="39"/>
    <w:pPr>
      <w:ind w:left="1470"/>
    </w:pPr>
  </w:style>
  <w:style w:type="paragraph" w:styleId="14">
    <w:name w:val="endnote text"/>
    <w:basedOn w:val="1"/>
    <w:link w:val="46"/>
    <w:semiHidden/>
    <w:unhideWhenUsed/>
    <w:qFormat/>
    <w:uiPriority w:val="99"/>
    <w:pPr>
      <w:snapToGrid w:val="0"/>
      <w:jc w:val="left"/>
    </w:pPr>
  </w:style>
  <w:style w:type="paragraph" w:styleId="15">
    <w:name w:val="Balloon Text"/>
    <w:basedOn w:val="1"/>
    <w:link w:val="47"/>
    <w:semiHidden/>
    <w:unhideWhenUsed/>
    <w:qFormat/>
    <w:uiPriority w:val="99"/>
    <w:rPr>
      <w:sz w:val="18"/>
      <w:szCs w:val="18"/>
    </w:rPr>
  </w:style>
  <w:style w:type="paragraph" w:styleId="16">
    <w:name w:val="footer"/>
    <w:basedOn w:val="1"/>
    <w:link w:val="48"/>
    <w:unhideWhenUsed/>
    <w:qFormat/>
    <w:uiPriority w:val="99"/>
    <w:pPr>
      <w:tabs>
        <w:tab w:val="center" w:pos="4153"/>
        <w:tab w:val="right" w:pos="8306"/>
        <w:tab w:val="clear" w:pos="420"/>
      </w:tabs>
      <w:snapToGrid w:val="0"/>
      <w:jc w:val="left"/>
    </w:pPr>
    <w:rPr>
      <w:sz w:val="18"/>
      <w:szCs w:val="18"/>
    </w:rPr>
  </w:style>
  <w:style w:type="paragraph" w:styleId="17">
    <w:name w:val="header"/>
    <w:basedOn w:val="1"/>
    <w:link w:val="49"/>
    <w:unhideWhenUsed/>
    <w:qFormat/>
    <w:uiPriority w:val="99"/>
    <w:pPr>
      <w:pBdr>
        <w:bottom w:val="single" w:color="auto" w:sz="6" w:space="1"/>
      </w:pBdr>
      <w:tabs>
        <w:tab w:val="center" w:pos="4153"/>
        <w:tab w:val="right" w:pos="8306"/>
        <w:tab w:val="clear" w:pos="420"/>
      </w:tabs>
      <w:snapToGrid w:val="0"/>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ind w:left="630"/>
    </w:pPr>
  </w:style>
  <w:style w:type="paragraph" w:styleId="20">
    <w:name w:val="footnote text"/>
    <w:basedOn w:val="1"/>
    <w:link w:val="50"/>
    <w:semiHidden/>
    <w:unhideWhenUsed/>
    <w:qFormat/>
    <w:uiPriority w:val="0"/>
    <w:pPr>
      <w:snapToGrid w:val="0"/>
      <w:jc w:val="left"/>
    </w:pPr>
    <w:rPr>
      <w:sz w:val="18"/>
      <w:szCs w:val="18"/>
    </w:rPr>
  </w:style>
  <w:style w:type="paragraph" w:styleId="21">
    <w:name w:val="toc 6"/>
    <w:basedOn w:val="1"/>
    <w:next w:val="1"/>
    <w:unhideWhenUsed/>
    <w:qFormat/>
    <w:uiPriority w:val="39"/>
    <w:pPr>
      <w:ind w:left="1050"/>
    </w:pPr>
  </w:style>
  <w:style w:type="paragraph" w:styleId="22">
    <w:name w:val="toc 2"/>
    <w:basedOn w:val="1"/>
    <w:next w:val="1"/>
    <w:unhideWhenUsed/>
    <w:qFormat/>
    <w:uiPriority w:val="39"/>
    <w:pPr>
      <w:ind w:left="210"/>
    </w:pPr>
  </w:style>
  <w:style w:type="paragraph" w:styleId="23">
    <w:name w:val="toc 9"/>
    <w:basedOn w:val="1"/>
    <w:next w:val="1"/>
    <w:unhideWhenUsed/>
    <w:qFormat/>
    <w:uiPriority w:val="39"/>
    <w:pPr>
      <w:ind w:left="1680"/>
    </w:pPr>
  </w:style>
  <w:style w:type="paragraph" w:styleId="24">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420"/>
      </w:tabs>
      <w:spacing w:line="240" w:lineRule="auto"/>
      <w:ind w:firstLine="0" w:firstLineChars="0"/>
      <w:jc w:val="left"/>
    </w:pPr>
    <w:rPr>
      <w:rFonts w:ascii="Courier New" w:hAnsi="Courier New" w:cs="Courier New" w:eastAsiaTheme="minorEastAsia"/>
      <w:color w:val="auto"/>
      <w:kern w:val="0"/>
      <w:sz w:val="20"/>
      <w:szCs w:val="20"/>
    </w:rPr>
  </w:style>
  <w:style w:type="paragraph" w:styleId="25">
    <w:name w:val="Normal (Web)"/>
    <w:basedOn w:val="1"/>
    <w:unhideWhenUsed/>
    <w:qFormat/>
    <w:uiPriority w:val="99"/>
    <w:pPr>
      <w:widowControl/>
      <w:spacing w:before="100" w:beforeAutospacing="1" w:after="100" w:afterAutospacing="1"/>
      <w:jc w:val="left"/>
    </w:pPr>
    <w:rPr>
      <w:color w:val="auto"/>
      <w:kern w:val="0"/>
      <w:sz w:val="24"/>
      <w:szCs w:val="24"/>
    </w:rPr>
  </w:style>
  <w:style w:type="paragraph" w:styleId="26">
    <w:name w:val="Title"/>
    <w:basedOn w:val="1"/>
    <w:next w:val="1"/>
    <w:link w:val="52"/>
    <w:qFormat/>
    <w:uiPriority w:val="1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9"/>
    <w:next w:val="9"/>
    <w:link w:val="53"/>
    <w:semiHidden/>
    <w:unhideWhenUsed/>
    <w:qFormat/>
    <w:uiPriority w:val="99"/>
    <w:rPr>
      <w:b/>
      <w:bCs/>
    </w:rPr>
  </w:style>
  <w:style w:type="table" w:styleId="29">
    <w:name w:val="Table Grid"/>
    <w:basedOn w:val="2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endnote reference"/>
    <w:basedOn w:val="30"/>
    <w:semiHidden/>
    <w:unhideWhenUsed/>
    <w:qFormat/>
    <w:uiPriority w:val="99"/>
    <w:rPr>
      <w:vertAlign w:val="superscript"/>
    </w:rPr>
  </w:style>
  <w:style w:type="character" w:styleId="33">
    <w:name w:val="page number"/>
    <w:basedOn w:val="30"/>
    <w:semiHidden/>
    <w:unhideWhenUsed/>
    <w:qFormat/>
    <w:uiPriority w:val="99"/>
  </w:style>
  <w:style w:type="character" w:styleId="34">
    <w:name w:val="Emphasis"/>
    <w:basedOn w:val="30"/>
    <w:qFormat/>
    <w:uiPriority w:val="20"/>
    <w:rPr>
      <w:i/>
      <w:iCs/>
    </w:rPr>
  </w:style>
  <w:style w:type="character" w:styleId="35">
    <w:name w:val="Hyperlink"/>
    <w:basedOn w:val="30"/>
    <w:unhideWhenUsed/>
    <w:qFormat/>
    <w:uiPriority w:val="99"/>
    <w:rPr>
      <w:color w:val="0563C1" w:themeColor="hyperlink"/>
      <w:u w:val="single"/>
      <w14:textFill>
        <w14:solidFill>
          <w14:schemeClr w14:val="hlink"/>
        </w14:solidFill>
      </w14:textFill>
    </w:rPr>
  </w:style>
  <w:style w:type="character" w:styleId="36">
    <w:name w:val="annotation reference"/>
    <w:basedOn w:val="30"/>
    <w:semiHidden/>
    <w:unhideWhenUsed/>
    <w:qFormat/>
    <w:uiPriority w:val="99"/>
    <w:rPr>
      <w:sz w:val="21"/>
      <w:szCs w:val="21"/>
    </w:rPr>
  </w:style>
  <w:style w:type="character" w:styleId="37">
    <w:name w:val="footnote reference"/>
    <w:basedOn w:val="30"/>
    <w:semiHidden/>
    <w:unhideWhenUsed/>
    <w:qFormat/>
    <w:uiPriority w:val="0"/>
    <w:rPr>
      <w:vertAlign w:val="superscript"/>
    </w:rPr>
  </w:style>
  <w:style w:type="character" w:customStyle="1" w:styleId="38">
    <w:name w:val="标题 1 字符"/>
    <w:basedOn w:val="30"/>
    <w:link w:val="2"/>
    <w:qFormat/>
    <w:uiPriority w:val="9"/>
    <w:rPr>
      <w:rFonts w:ascii="汉仪大宋简" w:hAnsi="汉仪大宋简" w:eastAsia="汉仪大宋简" w:cs="宋体"/>
      <w:bCs/>
      <w:color w:val="000000" w:themeColor="text1"/>
      <w:kern w:val="44"/>
      <w:sz w:val="44"/>
      <w:szCs w:val="44"/>
      <w14:textFill>
        <w14:solidFill>
          <w14:schemeClr w14:val="tx1"/>
        </w14:solidFill>
      </w14:textFill>
    </w:rPr>
  </w:style>
  <w:style w:type="character" w:customStyle="1" w:styleId="39">
    <w:name w:val="标题 2 字符"/>
    <w:basedOn w:val="30"/>
    <w:link w:val="3"/>
    <w:qFormat/>
    <w:uiPriority w:val="9"/>
    <w:rPr>
      <w:rFonts w:eastAsia="汉仪大黑简" w:asciiTheme="majorHAnsi" w:hAnsiTheme="majorHAnsi" w:cstheme="majorBidi"/>
      <w:bCs/>
      <w:color w:val="000000" w:themeColor="text1"/>
      <w:sz w:val="32"/>
      <w:szCs w:val="32"/>
      <w14:textFill>
        <w14:solidFill>
          <w14:schemeClr w14:val="tx1"/>
        </w14:solidFill>
      </w14:textFill>
    </w:rPr>
  </w:style>
  <w:style w:type="character" w:customStyle="1" w:styleId="40">
    <w:name w:val="标题 3 字符"/>
    <w:basedOn w:val="30"/>
    <w:link w:val="4"/>
    <w:qFormat/>
    <w:uiPriority w:val="9"/>
    <w:rPr>
      <w:rFonts w:ascii="宋体" w:hAnsi="宋体" w:eastAsia="汉仪大宋简" w:cs="宋体"/>
      <w:color w:val="000000" w:themeColor="text1"/>
      <w:sz w:val="26"/>
      <w:szCs w:val="21"/>
      <w14:textFill>
        <w14:solidFill>
          <w14:schemeClr w14:val="tx1"/>
        </w14:solidFill>
      </w14:textFill>
    </w:rPr>
  </w:style>
  <w:style w:type="character" w:customStyle="1" w:styleId="41">
    <w:name w:val="标题 4 字符"/>
    <w:basedOn w:val="30"/>
    <w:link w:val="5"/>
    <w:qFormat/>
    <w:uiPriority w:val="9"/>
    <w:rPr>
      <w:rFonts w:eastAsia="汉仪大宋简" w:asciiTheme="majorHAnsi" w:hAnsiTheme="majorHAnsi" w:cstheme="majorBidi"/>
      <w:bCs/>
      <w:color w:val="000000" w:themeColor="text1"/>
      <w:sz w:val="24"/>
      <w:szCs w:val="28"/>
      <w14:textFill>
        <w14:solidFill>
          <w14:schemeClr w14:val="tx1"/>
        </w14:solidFill>
      </w14:textFill>
    </w:rPr>
  </w:style>
  <w:style w:type="character" w:customStyle="1" w:styleId="42">
    <w:name w:val="标题 5 字符"/>
    <w:basedOn w:val="30"/>
    <w:link w:val="6"/>
    <w:qFormat/>
    <w:uiPriority w:val="9"/>
    <w:rPr>
      <w:rFonts w:ascii="宋体" w:hAnsi="宋体" w:eastAsia="汉仪中黑简" w:cs="宋体"/>
      <w:bCs/>
      <w:color w:val="000000" w:themeColor="text1"/>
      <w:szCs w:val="21"/>
      <w14:textFill>
        <w14:solidFill>
          <w14:schemeClr w14:val="tx1"/>
        </w14:solidFill>
      </w14:textFill>
    </w:rPr>
  </w:style>
  <w:style w:type="character" w:customStyle="1" w:styleId="43">
    <w:name w:val="文档结构图 字符"/>
    <w:basedOn w:val="30"/>
    <w:link w:val="8"/>
    <w:semiHidden/>
    <w:qFormat/>
    <w:uiPriority w:val="99"/>
    <w:rPr>
      <w:rFonts w:ascii="宋体" w:hAnsi="宋体" w:eastAsia="汉仪书宋二简" w:cs="宋体"/>
      <w:color w:val="000000" w:themeColor="text1"/>
      <w:sz w:val="24"/>
      <w:szCs w:val="24"/>
      <w14:textFill>
        <w14:solidFill>
          <w14:schemeClr w14:val="tx1"/>
        </w14:solidFill>
      </w14:textFill>
    </w:rPr>
  </w:style>
  <w:style w:type="character" w:customStyle="1" w:styleId="44">
    <w:name w:val="批注文字 字符"/>
    <w:basedOn w:val="30"/>
    <w:link w:val="9"/>
    <w:semiHidden/>
    <w:qFormat/>
    <w:uiPriority w:val="99"/>
    <w:rPr>
      <w:rFonts w:ascii="宋体" w:hAnsi="宋体" w:eastAsia="汉仪书宋二简" w:cs="宋体"/>
      <w:color w:val="000000" w:themeColor="text1"/>
      <w:szCs w:val="21"/>
      <w14:textFill>
        <w14:solidFill>
          <w14:schemeClr w14:val="tx1"/>
        </w14:solidFill>
      </w14:textFill>
    </w:rPr>
  </w:style>
  <w:style w:type="character" w:customStyle="1" w:styleId="45">
    <w:name w:val="纯文本 字符"/>
    <w:basedOn w:val="30"/>
    <w:link w:val="12"/>
    <w:qFormat/>
    <w:uiPriority w:val="99"/>
    <w:rPr>
      <w:rFonts w:ascii="宋体" w:hAnsi="Courier New" w:eastAsia="汉仪书宋二简" w:cs="Courier New"/>
      <w:color w:val="000000" w:themeColor="text1"/>
      <w:kern w:val="0"/>
      <w:sz w:val="20"/>
      <w:szCs w:val="21"/>
      <w14:textFill>
        <w14:solidFill>
          <w14:schemeClr w14:val="tx1"/>
        </w14:solidFill>
      </w14:textFill>
    </w:rPr>
  </w:style>
  <w:style w:type="character" w:customStyle="1" w:styleId="46">
    <w:name w:val="尾注文本 字符"/>
    <w:basedOn w:val="30"/>
    <w:link w:val="14"/>
    <w:semiHidden/>
    <w:qFormat/>
    <w:uiPriority w:val="99"/>
    <w:rPr>
      <w:rFonts w:ascii="宋体" w:hAnsi="宋体" w:eastAsia="汉仪书宋二简" w:cs="宋体"/>
      <w:color w:val="000000" w:themeColor="text1"/>
      <w:szCs w:val="21"/>
      <w14:textFill>
        <w14:solidFill>
          <w14:schemeClr w14:val="tx1"/>
        </w14:solidFill>
      </w14:textFill>
    </w:rPr>
  </w:style>
  <w:style w:type="character" w:customStyle="1" w:styleId="47">
    <w:name w:val="批注框文本 字符"/>
    <w:basedOn w:val="30"/>
    <w:link w:val="15"/>
    <w:semiHidden/>
    <w:qFormat/>
    <w:uiPriority w:val="99"/>
    <w:rPr>
      <w:rFonts w:ascii="宋体" w:hAnsi="宋体" w:eastAsia="汉仪书宋二简" w:cs="宋体"/>
      <w:color w:val="000000" w:themeColor="text1"/>
      <w:sz w:val="18"/>
      <w:szCs w:val="18"/>
      <w14:textFill>
        <w14:solidFill>
          <w14:schemeClr w14:val="tx1"/>
        </w14:solidFill>
      </w14:textFill>
    </w:rPr>
  </w:style>
  <w:style w:type="character" w:customStyle="1" w:styleId="48">
    <w:name w:val="页脚 字符"/>
    <w:basedOn w:val="30"/>
    <w:link w:val="16"/>
    <w:qFormat/>
    <w:uiPriority w:val="99"/>
    <w:rPr>
      <w:rFonts w:ascii="宋体" w:hAnsi="宋体" w:eastAsia="汉仪书宋二简" w:cs="宋体"/>
      <w:color w:val="000000" w:themeColor="text1"/>
      <w:sz w:val="18"/>
      <w:szCs w:val="18"/>
      <w14:textFill>
        <w14:solidFill>
          <w14:schemeClr w14:val="tx1"/>
        </w14:solidFill>
      </w14:textFill>
    </w:rPr>
  </w:style>
  <w:style w:type="character" w:customStyle="1" w:styleId="49">
    <w:name w:val="页眉 字符"/>
    <w:basedOn w:val="30"/>
    <w:link w:val="17"/>
    <w:qFormat/>
    <w:uiPriority w:val="99"/>
    <w:rPr>
      <w:rFonts w:ascii="宋体" w:hAnsi="宋体" w:eastAsia="汉仪书宋二简" w:cs="宋体"/>
      <w:color w:val="000000" w:themeColor="text1"/>
      <w:sz w:val="18"/>
      <w:szCs w:val="18"/>
      <w14:textFill>
        <w14:solidFill>
          <w14:schemeClr w14:val="tx1"/>
        </w14:solidFill>
      </w14:textFill>
    </w:rPr>
  </w:style>
  <w:style w:type="character" w:customStyle="1" w:styleId="50">
    <w:name w:val="脚注文本 字符"/>
    <w:basedOn w:val="30"/>
    <w:link w:val="20"/>
    <w:semiHidden/>
    <w:qFormat/>
    <w:uiPriority w:val="0"/>
    <w:rPr>
      <w:rFonts w:ascii="宋体" w:hAnsi="宋体" w:eastAsia="汉仪书宋二简" w:cs="宋体"/>
      <w:color w:val="000000" w:themeColor="text1"/>
      <w:sz w:val="18"/>
      <w:szCs w:val="18"/>
      <w14:textFill>
        <w14:solidFill>
          <w14:schemeClr w14:val="tx1"/>
        </w14:solidFill>
      </w14:textFill>
    </w:rPr>
  </w:style>
  <w:style w:type="character" w:customStyle="1" w:styleId="51">
    <w:name w:val="HTML 预设格式 字符"/>
    <w:basedOn w:val="30"/>
    <w:link w:val="24"/>
    <w:semiHidden/>
    <w:qFormat/>
    <w:uiPriority w:val="99"/>
    <w:rPr>
      <w:rFonts w:ascii="Courier New" w:hAnsi="Courier New" w:cs="Courier New"/>
      <w:kern w:val="0"/>
      <w:sz w:val="20"/>
      <w:szCs w:val="20"/>
    </w:rPr>
  </w:style>
  <w:style w:type="character" w:customStyle="1" w:styleId="52">
    <w:name w:val="标题 字符"/>
    <w:basedOn w:val="30"/>
    <w:link w:val="26"/>
    <w:qFormat/>
    <w:uiPriority w:val="10"/>
    <w:rPr>
      <w:rFonts w:asciiTheme="majorHAnsi" w:hAnsiTheme="majorHAnsi" w:eastAsiaTheme="majorEastAsia" w:cstheme="majorBidi"/>
      <w:b/>
      <w:bCs/>
      <w:color w:val="000000" w:themeColor="text1"/>
      <w:sz w:val="32"/>
      <w:szCs w:val="32"/>
      <w14:textFill>
        <w14:solidFill>
          <w14:schemeClr w14:val="tx1"/>
        </w14:solidFill>
      </w14:textFill>
    </w:rPr>
  </w:style>
  <w:style w:type="character" w:customStyle="1" w:styleId="53">
    <w:name w:val="批注主题 字符"/>
    <w:basedOn w:val="44"/>
    <w:link w:val="27"/>
    <w:semiHidden/>
    <w:qFormat/>
    <w:uiPriority w:val="99"/>
    <w:rPr>
      <w:rFonts w:ascii="宋体" w:hAnsi="宋体" w:eastAsia="汉仪书宋二简" w:cs="宋体"/>
      <w:b/>
      <w:bCs/>
      <w:color w:val="000000" w:themeColor="text1"/>
      <w:szCs w:val="21"/>
      <w14:textFill>
        <w14:solidFill>
          <w14:schemeClr w14:val="tx1"/>
        </w14:solidFill>
      </w14:textFill>
    </w:rPr>
  </w:style>
  <w:style w:type="paragraph" w:styleId="54">
    <w:name w:val="List Paragraph"/>
    <w:basedOn w:val="1"/>
    <w:qFormat/>
    <w:uiPriority w:val="34"/>
    <w:pPr>
      <w:ind w:firstLine="420"/>
    </w:pPr>
  </w:style>
  <w:style w:type="table" w:customStyle="1" w:styleId="55">
    <w:name w:val="网格型1"/>
    <w:basedOn w:val="2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
    <w:name w:val="表格标题"/>
    <w:basedOn w:val="1"/>
    <w:qFormat/>
    <w:uiPriority w:val="0"/>
    <w:pPr>
      <w:spacing w:before="10" w:beforeLines="10" w:after="20" w:afterLines="20" w:line="280" w:lineRule="exact"/>
      <w:jc w:val="center"/>
    </w:pPr>
    <w:rPr>
      <w:rFonts w:hint="eastAsia" w:eastAsia="汉仪中黑简"/>
      <w:color w:val="FF0000"/>
      <w:sz w:val="20"/>
    </w:rPr>
  </w:style>
  <w:style w:type="paragraph" w:customStyle="1" w:styleId="57">
    <w:name w:val="表格标题1"/>
    <w:basedOn w:val="1"/>
    <w:qFormat/>
    <w:uiPriority w:val="0"/>
    <w:pPr>
      <w:spacing w:before="10" w:beforeLines="10" w:after="20" w:afterLines="20" w:line="280" w:lineRule="exact"/>
      <w:ind w:firstLine="0" w:firstLineChars="0"/>
      <w:jc w:val="center"/>
    </w:pPr>
    <w:rPr>
      <w:rFonts w:eastAsia="汉仪中黑简"/>
      <w:color w:val="FF0000"/>
      <w:sz w:val="20"/>
    </w:rPr>
  </w:style>
  <w:style w:type="paragraph" w:customStyle="1" w:styleId="58">
    <w:name w:val="表格正文1"/>
    <w:basedOn w:val="1"/>
    <w:qFormat/>
    <w:uiPriority w:val="0"/>
    <w:pPr>
      <w:spacing w:before="10" w:beforeLines="10" w:after="20" w:afterLines="20" w:line="280" w:lineRule="exact"/>
      <w:ind w:firstLine="0" w:firstLineChars="0"/>
      <w:jc w:val="left"/>
    </w:pPr>
    <w:rPr>
      <w:rFonts w:ascii="汉仪书宋一简" w:hAnsi="汉仪书宋一简" w:eastAsia="汉仪书宋一简"/>
      <w:color w:val="auto"/>
      <w:sz w:val="20"/>
      <w:szCs w:val="20"/>
    </w:rPr>
  </w:style>
  <w:style w:type="paragraph" w:customStyle="1" w:styleId="59">
    <w:name w:val="补四级标题"/>
    <w:basedOn w:val="1"/>
    <w:qFormat/>
    <w:uiPriority w:val="0"/>
    <w:pPr>
      <w:ind w:firstLine="202" w:firstLineChars="202"/>
    </w:pPr>
    <w:rPr>
      <w:rFonts w:ascii="汉仪中黑简" w:hAnsi="汉仪中黑简" w:eastAsia="汉仪中黑简" w:cs="汉仪中黑简"/>
      <w:bCs/>
      <w:color w:val="auto"/>
      <w:kern w:val="44"/>
      <w:szCs w:val="24"/>
    </w:rPr>
  </w:style>
  <w:style w:type="paragraph" w:customStyle="1" w:styleId="60">
    <w:name w:val="导图文字"/>
    <w:qFormat/>
    <w:uiPriority w:val="0"/>
    <w:pPr>
      <w:spacing w:line="384" w:lineRule="exact"/>
    </w:pPr>
    <w:rPr>
      <w:rFonts w:hint="eastAsia" w:ascii="汉仪书宋二简" w:hAnsi="汉仪书宋二简" w:eastAsia="汉仪书宋二简" w:cs="汉仪书宋二简"/>
      <w:b/>
      <w:color w:val="000000"/>
      <w:kern w:val="0"/>
      <w:sz w:val="20"/>
      <w:szCs w:val="21"/>
      <w:lang w:val="en-US" w:eastAsia="zh-CN" w:bidi="ar-SA"/>
    </w:rPr>
  </w:style>
  <w:style w:type="paragraph" w:customStyle="1" w:styleId="61">
    <w:name w:val="导图正文2"/>
    <w:qFormat/>
    <w:uiPriority w:val="0"/>
    <w:pPr>
      <w:spacing w:line="384" w:lineRule="exact"/>
    </w:pPr>
    <w:rPr>
      <w:rFonts w:hint="eastAsia" w:ascii="汉仪书宋二简" w:hAnsi="汉仪书宋二简" w:eastAsia="汉仪书宋二简" w:cs="汉仪书宋二简"/>
      <w:color w:val="000000"/>
      <w:kern w:val="0"/>
      <w:sz w:val="20"/>
      <w:szCs w:val="21"/>
      <w:lang w:val="en-US" w:eastAsia="zh-CN" w:bidi="ar-SA"/>
    </w:rPr>
  </w:style>
  <w:style w:type="paragraph" w:customStyle="1" w:styleId="62">
    <w:name w:val="修订1"/>
    <w:hidden/>
    <w:semiHidden/>
    <w:qFormat/>
    <w:uiPriority w:val="99"/>
    <w:rPr>
      <w:rFonts w:ascii="宋体" w:hAnsi="宋体" w:eastAsia="汉仪书宋二简" w:cs="宋体"/>
      <w:color w:val="000000" w:themeColor="text1"/>
      <w:kern w:val="2"/>
      <w:sz w:val="21"/>
      <w:szCs w:val="21"/>
      <w:lang w:val="en-US" w:eastAsia="zh-CN" w:bidi="ar-SA"/>
      <w14:textFill>
        <w14:solidFill>
          <w14:schemeClr w14:val="tx1"/>
        </w14:solidFill>
      </w14:textFill>
    </w:rPr>
  </w:style>
  <w:style w:type="character" w:customStyle="1" w:styleId="63">
    <w:name w:val="apple-converted-space"/>
    <w:basedOn w:val="30"/>
    <w:qFormat/>
    <w:uiPriority w:val="0"/>
  </w:style>
  <w:style w:type="table" w:customStyle="1" w:styleId="64">
    <w:name w:val="网格型11"/>
    <w:basedOn w:val="2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
    <w:name w:val="目录标题1"/>
    <w:basedOn w:val="2"/>
    <w:next w:val="1"/>
    <w:unhideWhenUsed/>
    <w:qFormat/>
    <w:uiPriority w:val="39"/>
    <w:pPr>
      <w:widowControl/>
      <w:tabs>
        <w:tab w:val="clear" w:pos="420"/>
      </w:tabs>
      <w:spacing w:before="480" w:line="276" w:lineRule="auto"/>
      <w:jc w:val="left"/>
      <w:outlineLvl w:val="9"/>
    </w:pPr>
    <w:rPr>
      <w:rFonts w:asciiTheme="majorHAnsi" w:hAnsiTheme="majorHAnsi" w:eastAsiaTheme="majorEastAsia" w:cstheme="majorBidi"/>
      <w:b/>
      <w:color w:val="2F5597" w:themeColor="accent1" w:themeShade="BF"/>
      <w:kern w:val="0"/>
      <w:sz w:val="28"/>
      <w:szCs w:val="28"/>
    </w:rPr>
  </w:style>
  <w:style w:type="table" w:customStyle="1" w:styleId="66">
    <w:name w:val="网格型12"/>
    <w:basedOn w:val="2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型13"/>
    <w:basedOn w:val="2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14"/>
    <w:basedOn w:val="28"/>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网格型2"/>
    <w:basedOn w:val="28"/>
    <w:qFormat/>
    <w:uiPriority w:val="59"/>
    <w:pPr>
      <w:widowControl w:val="0"/>
      <w:jc w:val="both"/>
    </w:pPr>
    <w:rPr>
      <w:rFonts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3"/>
    <w:basedOn w:val="28"/>
    <w:qFormat/>
    <w:uiPriority w:val="59"/>
    <w:pPr>
      <w:widowControl w:val="0"/>
      <w:jc w:val="both"/>
    </w:pPr>
    <w:rPr>
      <w:rFonts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1">
    <w:name w:val="网格型4"/>
    <w:basedOn w:val="28"/>
    <w:qFormat/>
    <w:uiPriority w:val="59"/>
    <w:pPr>
      <w:widowControl w:val="0"/>
      <w:jc w:val="both"/>
    </w:pPr>
    <w:rPr>
      <w:rFonts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5"/>
    <w:basedOn w:val="28"/>
    <w:qFormat/>
    <w:uiPriority w:val="39"/>
    <w:pPr>
      <w:widowControl w:val="0"/>
      <w:jc w:val="both"/>
    </w:pPr>
    <w:rPr>
      <w:rFonts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6"/>
    <w:basedOn w:val="28"/>
    <w:qFormat/>
    <w:uiPriority w:val="39"/>
    <w:pPr>
      <w:widowControl w:val="0"/>
      <w:jc w:val="both"/>
    </w:pPr>
    <w:rPr>
      <w:rFonts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6255</Words>
  <Characters>6255</Characters>
  <Lines>284</Lines>
  <Paragraphs>245</Paragraphs>
  <TotalTime>264</TotalTime>
  <ScaleCrop>false</ScaleCrop>
  <LinksUpToDate>false</LinksUpToDate>
  <CharactersWithSpaces>12265</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2023-04-28T20:50:00Z</dcterms:created>
  <dc:creator>文琦</dc:creator>
  <cp:lastModifiedBy>Lee</cp:lastModifiedBy>
  <dcterms:modified xsi:type="dcterms:W3CDTF">2025-04-13T12:17:41Z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BE02CE63CA27B4F97A3AFB6762D4C5FD_42</vt:lpwstr>
  </property>
</Properties>
</file>