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7506" w14:textId="08D5A7E4" w:rsidR="00FF217D" w:rsidRDefault="00FF217D" w:rsidP="00FF217D">
      <w:pPr>
        <w:pStyle w:val="1"/>
        <w:spacing w:before="0" w:line="240" w:lineRule="auto"/>
        <w:rPr>
          <w:rFonts w:ascii="宋体" w:eastAsia="宋体" w:hAnsi="宋体" w:hint="eastAsia"/>
          <w:b/>
          <w:bCs w:val="0"/>
          <w:color w:val="auto"/>
          <w:sz w:val="22"/>
          <w:szCs w:val="22"/>
        </w:rPr>
      </w:pPr>
      <w:bookmarkStart w:id="0" w:name="_Toc126331776"/>
      <w:bookmarkStart w:id="1" w:name="_Toc4844111"/>
      <w:bookmarkStart w:id="2" w:name="_Hlk535517768"/>
      <w:bookmarkStart w:id="3" w:name="_Toc64384684"/>
      <w:bookmarkStart w:id="4" w:name="_Toc126331777"/>
      <w:r>
        <w:rPr>
          <w:rFonts w:ascii="宋体" w:eastAsia="宋体" w:hAnsi="宋体" w:hint="eastAsia"/>
          <w:b/>
          <w:bCs w:val="0"/>
          <w:color w:val="auto"/>
          <w:sz w:val="21"/>
          <w:szCs w:val="21"/>
        </w:rPr>
        <w:t>考点11  值班律师制度（</w:t>
      </w:r>
      <w:r w:rsidR="006D6C27">
        <w:rPr>
          <w:rFonts w:ascii="宋体" w:eastAsia="宋体" w:hAnsi="宋体" w:hint="eastAsia"/>
          <w:b/>
          <w:bCs w:val="0"/>
          <w:color w:val="auto"/>
          <w:sz w:val="21"/>
          <w:szCs w:val="21"/>
        </w:rPr>
        <w:t>19</w:t>
      </w:r>
      <w:r>
        <w:rPr>
          <w:rFonts w:ascii="宋体" w:eastAsia="宋体" w:hAnsi="宋体"/>
          <w:b/>
          <w:bCs w:val="0"/>
          <w:color w:val="auto"/>
          <w:sz w:val="21"/>
          <w:szCs w:val="21"/>
        </w:rPr>
        <w:t>:</w:t>
      </w:r>
      <w:r w:rsidR="006D6C27">
        <w:rPr>
          <w:rFonts w:ascii="宋体" w:eastAsia="宋体" w:hAnsi="宋体" w:hint="eastAsia"/>
          <w:b/>
          <w:bCs w:val="0"/>
          <w:color w:val="auto"/>
          <w:sz w:val="21"/>
          <w:szCs w:val="21"/>
        </w:rPr>
        <w:t>30</w:t>
      </w:r>
      <w:r>
        <w:rPr>
          <w:rFonts w:ascii="宋体" w:eastAsia="宋体" w:hAnsi="宋体"/>
          <w:b/>
          <w:bCs w:val="0"/>
          <w:color w:val="auto"/>
          <w:sz w:val="21"/>
          <w:szCs w:val="21"/>
        </w:rPr>
        <w:t>:00-</w:t>
      </w:r>
      <w:r w:rsidR="009D3AE9">
        <w:rPr>
          <w:rFonts w:ascii="宋体" w:eastAsia="宋体" w:hAnsi="宋体" w:hint="eastAsia"/>
          <w:b/>
          <w:bCs w:val="0"/>
          <w:color w:val="auto"/>
          <w:sz w:val="21"/>
          <w:szCs w:val="21"/>
        </w:rPr>
        <w:t>19</w:t>
      </w:r>
      <w:r>
        <w:rPr>
          <w:rFonts w:ascii="宋体" w:eastAsia="宋体" w:hAnsi="宋体"/>
          <w:b/>
          <w:bCs w:val="0"/>
          <w:color w:val="auto"/>
          <w:sz w:val="21"/>
          <w:szCs w:val="21"/>
        </w:rPr>
        <w:t>:</w:t>
      </w:r>
      <w:r w:rsidR="009D3AE9">
        <w:rPr>
          <w:rFonts w:ascii="宋体" w:eastAsia="宋体" w:hAnsi="宋体" w:hint="eastAsia"/>
          <w:b/>
          <w:bCs w:val="0"/>
          <w:color w:val="auto"/>
          <w:sz w:val="21"/>
          <w:szCs w:val="21"/>
        </w:rPr>
        <w:t>49</w:t>
      </w:r>
      <w:r>
        <w:rPr>
          <w:rFonts w:ascii="宋体" w:eastAsia="宋体" w:hAnsi="宋体"/>
          <w:b/>
          <w:bCs w:val="0"/>
          <w:color w:val="auto"/>
          <w:sz w:val="21"/>
          <w:szCs w:val="21"/>
        </w:rPr>
        <w:t>:00）</w:t>
      </w:r>
    </w:p>
    <w:p w14:paraId="29C241D8" w14:textId="77777777" w:rsidR="00FF217D" w:rsidRDefault="00FF217D" w:rsidP="00FF217D">
      <w:pPr>
        <w:pStyle w:val="3"/>
        <w:spacing w:line="240" w:lineRule="auto"/>
        <w:ind w:firstLineChars="200" w:firstLine="420"/>
        <w:jc w:val="both"/>
        <w:rPr>
          <w:rFonts w:eastAsia="宋体" w:hint="eastAsia"/>
          <w:sz w:val="21"/>
        </w:rPr>
      </w:pPr>
      <w:r>
        <w:rPr>
          <w:rFonts w:eastAsia="宋体" w:hint="eastAsia"/>
          <w:sz w:val="21"/>
        </w:rPr>
        <w:t>一、值班律师的职责</w:t>
      </w:r>
    </w:p>
    <w:p w14:paraId="1C64CD11" w14:textId="77777777" w:rsidR="00FF217D" w:rsidRDefault="00FF217D" w:rsidP="00FF217D">
      <w:pPr>
        <w:spacing w:line="240" w:lineRule="auto"/>
        <w:ind w:firstLine="420"/>
        <w:rPr>
          <w:rFonts w:eastAsia="宋体" w:hint="eastAsia"/>
        </w:rPr>
      </w:pPr>
      <w:r>
        <w:rPr>
          <w:rFonts w:eastAsia="宋体"/>
        </w:rPr>
        <w:t>犯罪嫌疑人、被告人没有委托辩护人，法律援助机构没有指派律师为其提供辩护的，</w:t>
      </w:r>
      <w:r>
        <w:rPr>
          <w:rFonts w:eastAsia="宋体"/>
          <w:color w:val="FF0000"/>
        </w:rPr>
        <w:t>由值班律师为犯罪嫌疑人、被告人提供法律咨询、程序选择建议、申请变更强制措施、对案件处理提出意见等法律帮助</w:t>
      </w:r>
      <w:r>
        <w:rPr>
          <w:rFonts w:eastAsia="宋体"/>
        </w:rPr>
        <w:t>。</w:t>
      </w:r>
      <w:r>
        <w:rPr>
          <w:rFonts w:eastAsia="宋体" w:hint="eastAsia"/>
        </w:rPr>
        <w:t>（值班律师不是辩护人）</w:t>
      </w:r>
    </w:p>
    <w:p w14:paraId="621BD798" w14:textId="77777777" w:rsidR="00FF217D" w:rsidRDefault="00FF217D" w:rsidP="00FF217D">
      <w:pPr>
        <w:pStyle w:val="3"/>
        <w:spacing w:line="240" w:lineRule="auto"/>
        <w:ind w:firstLineChars="200" w:firstLine="420"/>
        <w:jc w:val="both"/>
        <w:rPr>
          <w:rFonts w:eastAsia="宋体" w:hint="eastAsia"/>
          <w:color w:val="FF0000"/>
          <w:sz w:val="21"/>
        </w:rPr>
      </w:pPr>
      <w:bookmarkStart w:id="5" w:name="_Hlk535168466"/>
      <w:r>
        <w:rPr>
          <w:rFonts w:eastAsia="宋体" w:hint="eastAsia"/>
          <w:sz w:val="21"/>
        </w:rPr>
        <w:t>二、</w:t>
      </w:r>
      <w:r>
        <w:rPr>
          <w:rFonts w:eastAsia="宋体"/>
          <w:sz w:val="21"/>
        </w:rPr>
        <w:t>听取值班律师的意见</w:t>
      </w:r>
      <w:r>
        <w:rPr>
          <w:rFonts w:eastAsia="宋体" w:hint="eastAsia"/>
          <w:color w:val="FF0000"/>
          <w:sz w:val="21"/>
        </w:rPr>
        <w:t>（补充：审查逮捕环节不是应当听取值班律师的意见）</w:t>
      </w:r>
    </w:p>
    <w:bookmarkEnd w:id="5"/>
    <w:p w14:paraId="612ADAED" w14:textId="77777777" w:rsidR="00FF217D" w:rsidRDefault="00FF217D" w:rsidP="00FF217D">
      <w:pPr>
        <w:pStyle w:val="4"/>
        <w:spacing w:line="240" w:lineRule="auto"/>
        <w:ind w:firstLineChars="200" w:firstLine="420"/>
        <w:jc w:val="both"/>
        <w:rPr>
          <w:rFonts w:ascii="宋体" w:eastAsia="宋体" w:hAnsi="宋体" w:hint="eastAsia"/>
          <w:sz w:val="21"/>
          <w:szCs w:val="21"/>
        </w:rPr>
      </w:pPr>
      <w:r>
        <w:rPr>
          <w:rFonts w:ascii="宋体" w:eastAsia="宋体" w:hAnsi="宋体" w:hint="eastAsia"/>
          <w:sz w:val="21"/>
          <w:szCs w:val="21"/>
        </w:rPr>
        <w:t>（一）审查起诉</w:t>
      </w:r>
    </w:p>
    <w:p w14:paraId="441DA7D7" w14:textId="77777777" w:rsidR="00FF217D" w:rsidRDefault="00FF217D" w:rsidP="00FF217D">
      <w:pPr>
        <w:spacing w:line="240" w:lineRule="auto"/>
        <w:ind w:firstLine="420"/>
        <w:rPr>
          <w:rFonts w:eastAsia="宋体" w:hint="eastAsia"/>
        </w:rPr>
      </w:pPr>
      <w:r>
        <w:rPr>
          <w:rFonts w:eastAsia="宋体"/>
        </w:rPr>
        <w:t>人民检察院审查</w:t>
      </w:r>
      <w:r>
        <w:rPr>
          <w:rFonts w:eastAsia="宋体" w:hint="eastAsia"/>
          <w:highlight w:val="yellow"/>
        </w:rPr>
        <w:t>起诉</w:t>
      </w:r>
      <w:r>
        <w:rPr>
          <w:rFonts w:eastAsia="宋体"/>
        </w:rPr>
        <w:t>案件，应当讯问犯罪嫌疑人，听取辩护人或者</w:t>
      </w:r>
      <w:r>
        <w:rPr>
          <w:rFonts w:eastAsia="宋体"/>
          <w:color w:val="FF0000"/>
        </w:rPr>
        <w:t>值班律师</w:t>
      </w:r>
      <w:r>
        <w:rPr>
          <w:rFonts w:eastAsia="宋体"/>
        </w:rPr>
        <w:t>、被害人及其诉讼代理人的意见，并记录在案。辩护人或者</w:t>
      </w:r>
      <w:r>
        <w:rPr>
          <w:rFonts w:eastAsia="宋体"/>
          <w:color w:val="FF0000"/>
        </w:rPr>
        <w:t>值班律师</w:t>
      </w:r>
      <w:r>
        <w:rPr>
          <w:rFonts w:eastAsia="宋体"/>
        </w:rPr>
        <w:t>、被害人及其诉讼代理人提出书面意见的，应当附卷。</w:t>
      </w:r>
    </w:p>
    <w:p w14:paraId="40BCB29B" w14:textId="77777777" w:rsidR="00FF217D" w:rsidRDefault="00FF217D" w:rsidP="00FF217D">
      <w:pPr>
        <w:pStyle w:val="4"/>
        <w:spacing w:line="240" w:lineRule="auto"/>
        <w:ind w:firstLineChars="200" w:firstLine="420"/>
        <w:jc w:val="both"/>
        <w:rPr>
          <w:rFonts w:ascii="宋体" w:eastAsia="宋体" w:hAnsi="宋体" w:hint="eastAsia"/>
          <w:sz w:val="21"/>
          <w:szCs w:val="21"/>
        </w:rPr>
      </w:pPr>
      <w:r>
        <w:rPr>
          <w:rFonts w:ascii="宋体" w:eastAsia="宋体" w:hAnsi="宋体" w:hint="eastAsia"/>
          <w:sz w:val="21"/>
          <w:szCs w:val="21"/>
        </w:rPr>
        <w:t>（二）认罪认罚程序中</w:t>
      </w:r>
    </w:p>
    <w:p w14:paraId="221CB36F" w14:textId="77777777" w:rsidR="00FF217D" w:rsidRDefault="00FF217D" w:rsidP="00FF217D">
      <w:pPr>
        <w:spacing w:line="240" w:lineRule="auto"/>
        <w:ind w:firstLine="420"/>
        <w:rPr>
          <w:rFonts w:eastAsia="宋体" w:hint="eastAsia"/>
        </w:rPr>
      </w:pPr>
      <w:r>
        <w:rPr>
          <w:rFonts w:eastAsia="宋体" w:hint="eastAsia"/>
        </w:rPr>
        <w:t>犯罪嫌疑人认罪认罚的，人民检察院应当告知其享有的诉讼权利和认罪认罚的法律规定，听取犯罪嫌疑人、辩护人或者值班律师、被害人及其诉讼代理人对下列事项的意见，并记录在案：1</w:t>
      </w:r>
      <w:r>
        <w:rPr>
          <w:rFonts w:eastAsia="宋体"/>
        </w:rPr>
        <w:t>．</w:t>
      </w:r>
      <w:r>
        <w:rPr>
          <w:rFonts w:eastAsia="宋体" w:hint="eastAsia"/>
        </w:rPr>
        <w:t>涉嫌的犯罪事实、罪名及适用的法律规定；2</w:t>
      </w:r>
      <w:r>
        <w:rPr>
          <w:rFonts w:eastAsia="宋体"/>
        </w:rPr>
        <w:t>．</w:t>
      </w:r>
      <w:r>
        <w:rPr>
          <w:rFonts w:eastAsia="宋体" w:hint="eastAsia"/>
        </w:rPr>
        <w:t>从轻、减轻或者免除处罚等从宽处罚的建议；3</w:t>
      </w:r>
      <w:r>
        <w:rPr>
          <w:rFonts w:eastAsia="宋体"/>
        </w:rPr>
        <w:t>．</w:t>
      </w:r>
      <w:r>
        <w:rPr>
          <w:rFonts w:eastAsia="宋体" w:hint="eastAsia"/>
        </w:rPr>
        <w:t>认罪认罚后案件审理适用的程序；4</w:t>
      </w:r>
      <w:r>
        <w:rPr>
          <w:rFonts w:eastAsia="宋体"/>
        </w:rPr>
        <w:t>．</w:t>
      </w:r>
      <w:r>
        <w:rPr>
          <w:rFonts w:eastAsia="宋体" w:hint="eastAsia"/>
        </w:rPr>
        <w:t>其他需要听取意见的事项。</w:t>
      </w:r>
      <w:r>
        <w:rPr>
          <w:rFonts w:eastAsia="宋体" w:hint="eastAsia"/>
          <w:color w:val="FF0000"/>
        </w:rPr>
        <w:t>人民检察院依照前两款规定听取值班律师意见的，应当提前为值班律师了解案件有关情况提供必要的便利</w:t>
      </w:r>
      <w:r>
        <w:rPr>
          <w:rFonts w:eastAsia="宋体" w:hint="eastAsia"/>
        </w:rPr>
        <w:t>。</w:t>
      </w:r>
    </w:p>
    <w:p w14:paraId="421C7BF8" w14:textId="77777777" w:rsidR="00FF217D" w:rsidRDefault="00FF217D" w:rsidP="00FF217D">
      <w:pPr>
        <w:pStyle w:val="3"/>
        <w:spacing w:line="240" w:lineRule="auto"/>
        <w:ind w:firstLineChars="200" w:firstLine="420"/>
        <w:jc w:val="both"/>
        <w:rPr>
          <w:rFonts w:eastAsia="宋体" w:hint="eastAsia"/>
          <w:sz w:val="21"/>
        </w:rPr>
      </w:pPr>
      <w:bookmarkStart w:id="6" w:name="_Hlk535168502"/>
      <w:r>
        <w:rPr>
          <w:rFonts w:eastAsia="宋体" w:hint="eastAsia"/>
          <w:sz w:val="21"/>
        </w:rPr>
        <w:t>三、拒绝法律帮助的处理</w:t>
      </w:r>
    </w:p>
    <w:p w14:paraId="59CCC058" w14:textId="77777777" w:rsidR="00FF217D" w:rsidRDefault="00FF217D" w:rsidP="00FF217D">
      <w:pPr>
        <w:spacing w:line="240" w:lineRule="auto"/>
        <w:ind w:firstLine="420"/>
        <w:rPr>
          <w:rFonts w:eastAsia="宋体" w:hint="eastAsia"/>
          <w:color w:val="FF0000"/>
        </w:rPr>
      </w:pPr>
      <w:r>
        <w:rPr>
          <w:rFonts w:eastAsia="宋体" w:hint="eastAsia"/>
          <w:color w:val="FF0000"/>
        </w:rPr>
        <w:t>根据《意见》第14条：犯罪嫌疑人、被告人自愿认罪认罚，没有委托辩护人，拒绝值班律师帮助的，人民法院、人民检察院、公安机关应当允许，记录在案并随案移送。但是审查起诉阶段签署认罪认罚具结书时，人民检察院应当通知值班律师到场。</w:t>
      </w:r>
    </w:p>
    <w:p w14:paraId="1EFBD559" w14:textId="77777777" w:rsidR="00FF217D" w:rsidRDefault="00FF217D" w:rsidP="00FF217D">
      <w:pPr>
        <w:spacing w:line="240" w:lineRule="auto"/>
        <w:ind w:firstLine="420"/>
        <w:rPr>
          <w:rFonts w:eastAsia="宋体" w:hint="eastAsia"/>
        </w:rPr>
      </w:pPr>
      <w:r>
        <w:rPr>
          <w:rFonts w:eastAsia="宋体" w:hint="eastAsia"/>
        </w:rPr>
        <w:t>前一诉讼程序犯罪嫌疑人、被告人明确拒绝值班律师法律帮助的，后一诉讼程序的办案机关仍需告知其有权获得值班律师法律帮助的权利，有关情况应当记录在案。</w:t>
      </w:r>
    </w:p>
    <w:bookmarkEnd w:id="6"/>
    <w:p w14:paraId="3E3487F5" w14:textId="77777777" w:rsidR="00FF217D" w:rsidRDefault="00FF217D" w:rsidP="00FF217D">
      <w:pPr>
        <w:pStyle w:val="3"/>
        <w:spacing w:line="240" w:lineRule="auto"/>
        <w:ind w:firstLineChars="200" w:firstLine="420"/>
        <w:jc w:val="both"/>
        <w:rPr>
          <w:rFonts w:eastAsia="宋体" w:hint="eastAsia"/>
          <w:sz w:val="21"/>
        </w:rPr>
      </w:pPr>
      <w:r>
        <w:rPr>
          <w:rFonts w:eastAsia="宋体" w:hint="eastAsia"/>
          <w:sz w:val="21"/>
        </w:rPr>
        <w:t>四、</w:t>
      </w:r>
      <w:r>
        <w:rPr>
          <w:rFonts w:eastAsia="宋体"/>
          <w:sz w:val="21"/>
        </w:rPr>
        <w:t>值班律师</w:t>
      </w:r>
      <w:r>
        <w:rPr>
          <w:rFonts w:eastAsia="宋体" w:hint="eastAsia"/>
          <w:sz w:val="21"/>
        </w:rPr>
        <w:t>的在场（签署认罪认罚具结书）</w:t>
      </w:r>
    </w:p>
    <w:p w14:paraId="00508691" w14:textId="77777777" w:rsidR="00FF217D" w:rsidRDefault="00FF217D" w:rsidP="00FF217D">
      <w:pPr>
        <w:spacing w:line="240" w:lineRule="auto"/>
        <w:ind w:firstLine="420"/>
        <w:rPr>
          <w:rFonts w:eastAsia="宋体" w:hint="eastAsia"/>
        </w:rPr>
      </w:pPr>
      <w:r>
        <w:rPr>
          <w:rFonts w:eastAsia="宋体"/>
        </w:rPr>
        <w:t>犯罪嫌疑人自愿认罪，同意量刑建议和程序适用的，</w:t>
      </w:r>
      <w:r>
        <w:rPr>
          <w:rFonts w:eastAsia="宋体"/>
          <w:color w:val="FF0000"/>
        </w:rPr>
        <w:t>应当在辩护人或者值班律师在场的情况下签署认罪认罚具结书</w:t>
      </w:r>
      <w:r>
        <w:rPr>
          <w:rFonts w:eastAsia="宋体"/>
        </w:rPr>
        <w:t>。</w:t>
      </w:r>
    </w:p>
    <w:p w14:paraId="2C4723DF" w14:textId="77777777" w:rsidR="00FF217D" w:rsidRDefault="00FF217D" w:rsidP="00FF217D">
      <w:pPr>
        <w:spacing w:line="240" w:lineRule="auto"/>
        <w:ind w:firstLine="420"/>
        <w:rPr>
          <w:rFonts w:eastAsia="宋体" w:hint="eastAsia"/>
        </w:rPr>
      </w:pPr>
      <w:r>
        <w:rPr>
          <w:rFonts w:eastAsia="宋体" w:hint="eastAsia"/>
        </w:rPr>
        <w:t>犯罪嫌疑人签署认罪认罚具结书时，值班律师对犯罪嫌疑人认罪认罚自愿性、人民检察院量刑建议、程序适用等均无异议的，应当在具结书上签名，同时留存一份复印件归档。</w:t>
      </w:r>
    </w:p>
    <w:p w14:paraId="4037E885" w14:textId="77777777" w:rsidR="00FF217D" w:rsidRDefault="00FF217D" w:rsidP="00FF217D">
      <w:pPr>
        <w:spacing w:line="240" w:lineRule="auto"/>
        <w:ind w:firstLine="420"/>
        <w:rPr>
          <w:rFonts w:eastAsia="宋体" w:hint="eastAsia"/>
        </w:rPr>
      </w:pPr>
      <w:r>
        <w:rPr>
          <w:rFonts w:eastAsia="宋体" w:hint="eastAsia"/>
        </w:rPr>
        <w:t>值班律师对人民检察院量刑建议、程序适用</w:t>
      </w:r>
      <w:r>
        <w:rPr>
          <w:rFonts w:eastAsia="宋体" w:hint="eastAsia"/>
          <w:color w:val="FF0000"/>
        </w:rPr>
        <w:t>有异议的</w:t>
      </w:r>
      <w:r>
        <w:rPr>
          <w:rFonts w:eastAsia="宋体" w:hint="eastAsia"/>
        </w:rPr>
        <w:t>，在确认犯罪嫌疑人系自愿认罪认罚后，</w:t>
      </w:r>
      <w:r>
        <w:rPr>
          <w:rFonts w:eastAsia="宋体" w:hint="eastAsia"/>
          <w:color w:val="FF0000"/>
        </w:rPr>
        <w:t>应当在具结书上签字，同时可以向人民检察院提出法律意见。</w:t>
      </w:r>
    </w:p>
    <w:p w14:paraId="3BE01B9F" w14:textId="77777777" w:rsidR="00FF217D" w:rsidRDefault="00FF217D" w:rsidP="00FF217D">
      <w:pPr>
        <w:spacing w:line="240" w:lineRule="auto"/>
        <w:ind w:firstLine="420"/>
        <w:rPr>
          <w:rFonts w:eastAsia="宋体" w:hint="eastAsia"/>
        </w:rPr>
      </w:pPr>
      <w:r>
        <w:rPr>
          <w:rFonts w:eastAsia="宋体" w:hint="eastAsia"/>
        </w:rPr>
        <w:t>犯罪嫌疑人拒绝值班律师帮助的，值班律师无需在具结书上签字。</w:t>
      </w:r>
    </w:p>
    <w:p w14:paraId="1F906C6B" w14:textId="4F9B253C" w:rsidR="00FF217D" w:rsidRDefault="00FF217D" w:rsidP="00FF217D">
      <w:pPr>
        <w:pStyle w:val="1"/>
        <w:spacing w:before="0" w:line="240" w:lineRule="auto"/>
        <w:rPr>
          <w:rFonts w:ascii="宋体" w:eastAsia="宋体" w:hAnsi="宋体" w:hint="eastAsia"/>
          <w:b/>
          <w:bCs w:val="0"/>
          <w:color w:val="auto"/>
          <w:sz w:val="22"/>
          <w:szCs w:val="22"/>
        </w:rPr>
      </w:pPr>
      <w:bookmarkStart w:id="7" w:name="_Toc4844106"/>
      <w:bookmarkStart w:id="8" w:name="_Toc64384679"/>
      <w:bookmarkStart w:id="9" w:name="_Toc126331772"/>
      <w:r>
        <w:rPr>
          <w:rFonts w:ascii="宋体" w:eastAsia="宋体" w:hAnsi="宋体" w:hint="eastAsia"/>
          <w:b/>
          <w:bCs w:val="0"/>
          <w:color w:val="auto"/>
          <w:sz w:val="22"/>
          <w:szCs w:val="22"/>
        </w:rPr>
        <w:t>考点12  刑事代理</w:t>
      </w:r>
      <w:bookmarkEnd w:id="7"/>
      <w:bookmarkEnd w:id="8"/>
      <w:bookmarkEnd w:id="9"/>
      <w:r>
        <w:rPr>
          <w:rFonts w:ascii="宋体" w:eastAsia="宋体" w:hAnsi="宋体" w:hint="eastAsia"/>
          <w:b/>
          <w:bCs w:val="0"/>
          <w:color w:val="auto"/>
          <w:sz w:val="22"/>
          <w:szCs w:val="22"/>
        </w:rPr>
        <w:t>（</w:t>
      </w:r>
      <w:r w:rsidR="00254145">
        <w:rPr>
          <w:rFonts w:ascii="宋体" w:eastAsia="宋体" w:hAnsi="宋体" w:hint="eastAsia"/>
          <w:b/>
          <w:bCs w:val="0"/>
          <w:color w:val="auto"/>
          <w:sz w:val="21"/>
          <w:szCs w:val="21"/>
        </w:rPr>
        <w:t>19</w:t>
      </w:r>
      <w:r w:rsidR="00254145">
        <w:rPr>
          <w:rFonts w:ascii="宋体" w:eastAsia="宋体" w:hAnsi="宋体"/>
          <w:b/>
          <w:bCs w:val="0"/>
          <w:color w:val="auto"/>
          <w:sz w:val="21"/>
          <w:szCs w:val="21"/>
        </w:rPr>
        <w:t>:</w:t>
      </w:r>
      <w:r w:rsidR="00254145">
        <w:rPr>
          <w:rFonts w:ascii="宋体" w:eastAsia="宋体" w:hAnsi="宋体" w:hint="eastAsia"/>
          <w:b/>
          <w:bCs w:val="0"/>
          <w:color w:val="auto"/>
          <w:sz w:val="21"/>
          <w:szCs w:val="21"/>
        </w:rPr>
        <w:t>49</w:t>
      </w:r>
      <w:r>
        <w:rPr>
          <w:rFonts w:ascii="宋体" w:eastAsia="宋体" w:hAnsi="宋体"/>
          <w:b/>
          <w:bCs w:val="0"/>
          <w:color w:val="auto"/>
          <w:sz w:val="22"/>
          <w:szCs w:val="22"/>
        </w:rPr>
        <w:t>:00-</w:t>
      </w:r>
      <w:r>
        <w:rPr>
          <w:rFonts w:ascii="宋体" w:eastAsia="宋体" w:hAnsi="宋体" w:hint="eastAsia"/>
          <w:b/>
          <w:bCs w:val="0"/>
          <w:color w:val="auto"/>
          <w:sz w:val="22"/>
          <w:szCs w:val="22"/>
        </w:rPr>
        <w:t>2</w:t>
      </w:r>
      <w:r w:rsidR="00A43A56">
        <w:rPr>
          <w:rFonts w:ascii="宋体" w:eastAsia="宋体" w:hAnsi="宋体" w:hint="eastAsia"/>
          <w:b/>
          <w:bCs w:val="0"/>
          <w:color w:val="auto"/>
          <w:sz w:val="22"/>
          <w:szCs w:val="22"/>
        </w:rPr>
        <w:t>0</w:t>
      </w:r>
      <w:r>
        <w:rPr>
          <w:rFonts w:ascii="宋体" w:eastAsia="宋体" w:hAnsi="宋体"/>
          <w:b/>
          <w:bCs w:val="0"/>
          <w:color w:val="auto"/>
          <w:sz w:val="22"/>
          <w:szCs w:val="22"/>
        </w:rPr>
        <w:t>:</w:t>
      </w:r>
      <w:r w:rsidR="00A43A56">
        <w:rPr>
          <w:rFonts w:ascii="宋体" w:eastAsia="宋体" w:hAnsi="宋体" w:hint="eastAsia"/>
          <w:b/>
          <w:bCs w:val="0"/>
          <w:color w:val="auto"/>
          <w:sz w:val="22"/>
          <w:szCs w:val="22"/>
        </w:rPr>
        <w:t>01</w:t>
      </w:r>
      <w:r>
        <w:rPr>
          <w:rFonts w:ascii="宋体" w:eastAsia="宋体" w:hAnsi="宋体"/>
          <w:b/>
          <w:bCs w:val="0"/>
          <w:color w:val="auto"/>
          <w:sz w:val="22"/>
          <w:szCs w:val="22"/>
        </w:rPr>
        <w:t>:00）</w:t>
      </w:r>
    </w:p>
    <w:p w14:paraId="029C0D8E" w14:textId="77777777" w:rsidR="00FF217D" w:rsidRDefault="00FF217D" w:rsidP="00FF217D">
      <w:pPr>
        <w:pStyle w:val="3"/>
        <w:spacing w:line="240" w:lineRule="auto"/>
        <w:ind w:firstLineChars="200" w:firstLine="420"/>
        <w:jc w:val="both"/>
        <w:rPr>
          <w:rFonts w:eastAsia="宋体" w:hint="eastAsia"/>
          <w:color w:val="FF0000"/>
          <w:sz w:val="21"/>
        </w:rPr>
      </w:pPr>
      <w:r>
        <w:rPr>
          <w:rFonts w:eastAsia="宋体" w:hint="eastAsia"/>
          <w:color w:val="FF0000"/>
          <w:sz w:val="21"/>
        </w:rPr>
        <w:t>诉讼代理人与辩护人的比较</w:t>
      </w:r>
    </w:p>
    <w:p w14:paraId="37C0BB68" w14:textId="77777777" w:rsidR="00FF217D" w:rsidRDefault="00FF217D" w:rsidP="00FF217D">
      <w:pPr>
        <w:pStyle w:val="3"/>
        <w:spacing w:line="240" w:lineRule="auto"/>
        <w:ind w:firstLineChars="200" w:firstLine="420"/>
        <w:jc w:val="both"/>
        <w:rPr>
          <w:rFonts w:eastAsia="宋体" w:hint="eastAsia"/>
          <w:sz w:val="21"/>
        </w:rPr>
      </w:pPr>
      <w:r>
        <w:rPr>
          <w:rFonts w:eastAsia="宋体" w:hint="eastAsia"/>
          <w:sz w:val="21"/>
        </w:rPr>
        <w:t>1</w:t>
      </w:r>
      <w:r>
        <w:rPr>
          <w:rFonts w:eastAsia="宋体"/>
          <w:sz w:val="21"/>
        </w:rPr>
        <w:t>.</w:t>
      </w:r>
      <w:r>
        <w:rPr>
          <w:rFonts w:eastAsia="宋体" w:hint="eastAsia"/>
          <w:sz w:val="21"/>
        </w:rPr>
        <w:t>介入诉讼的时间：诉讼代理人在公诉案件自移送审查起诉之日起；自诉案件随时。辩护人第一次讯问或采取强制措施之日起；其他辩护人：移送审查起诉之日起。2</w:t>
      </w:r>
      <w:r>
        <w:rPr>
          <w:rFonts w:eastAsia="宋体"/>
          <w:sz w:val="21"/>
        </w:rPr>
        <w:t>.</w:t>
      </w:r>
      <w:r>
        <w:rPr>
          <w:rFonts w:eastAsia="宋体" w:hint="eastAsia"/>
          <w:sz w:val="21"/>
        </w:rPr>
        <w:t>诉讼地位：诉讼代理人根据被代理人的意志从事；辩护人独立的诉讼地位。</w:t>
      </w:r>
      <w:r>
        <w:rPr>
          <w:rFonts w:eastAsia="宋体"/>
          <w:sz w:val="21"/>
        </w:rPr>
        <w:t>3.</w:t>
      </w:r>
      <w:r>
        <w:rPr>
          <w:rFonts w:eastAsia="宋体" w:hint="eastAsia"/>
          <w:sz w:val="21"/>
        </w:rPr>
        <w:t>委托人：辩护人由犯罪嫌疑人、被告人委托。</w:t>
      </w:r>
      <w:r>
        <w:rPr>
          <w:rFonts w:eastAsia="宋体"/>
          <w:sz w:val="21"/>
        </w:rPr>
        <w:t>4.</w:t>
      </w:r>
      <w:r>
        <w:rPr>
          <w:rFonts w:eastAsia="宋体" w:hint="eastAsia"/>
          <w:sz w:val="21"/>
        </w:rPr>
        <w:t>诉讼权利：诉讼代理人不能会见犯罪嫌疑人、被告人；阅卷的限制（《检察规则》规定诉讼代理人须经许可；《法院解释》规定律师担任诉讼代理人的无须许可，但其他诉讼代理人须经人民法院许可）辩护人享有诉讼代理人的各项权利。</w:t>
      </w:r>
    </w:p>
    <w:p w14:paraId="77E24ECF" w14:textId="6E456A60" w:rsidR="00FF217D" w:rsidRDefault="00FF217D" w:rsidP="00FF217D">
      <w:pPr>
        <w:pStyle w:val="1"/>
        <w:spacing w:before="0" w:line="240" w:lineRule="auto"/>
        <w:rPr>
          <w:rFonts w:ascii="宋体" w:eastAsia="宋体" w:hAnsi="宋体" w:hint="eastAsia"/>
          <w:b/>
          <w:bCs w:val="0"/>
          <w:color w:val="auto"/>
          <w:sz w:val="22"/>
          <w:szCs w:val="22"/>
        </w:rPr>
      </w:pPr>
      <w:bookmarkStart w:id="10" w:name="_Toc64384680"/>
      <w:bookmarkStart w:id="11" w:name="_Toc4844107"/>
      <w:bookmarkStart w:id="12" w:name="_Toc126331773"/>
      <w:r>
        <w:rPr>
          <w:rFonts w:ascii="宋体" w:eastAsia="宋体" w:hAnsi="宋体" w:hint="eastAsia"/>
          <w:b/>
          <w:bCs w:val="0"/>
          <w:color w:val="auto"/>
          <w:sz w:val="22"/>
          <w:szCs w:val="22"/>
        </w:rPr>
        <w:t>考点13</w:t>
      </w:r>
      <w:r>
        <w:rPr>
          <w:rFonts w:ascii="宋体" w:eastAsia="宋体" w:hAnsi="宋体"/>
          <w:b/>
          <w:bCs w:val="0"/>
          <w:color w:val="auto"/>
          <w:sz w:val="22"/>
          <w:szCs w:val="22"/>
        </w:rPr>
        <w:t xml:space="preserve">  </w:t>
      </w:r>
      <w:r>
        <w:rPr>
          <w:rFonts w:ascii="宋体" w:eastAsia="宋体" w:hAnsi="宋体" w:hint="eastAsia"/>
          <w:b/>
          <w:bCs w:val="0"/>
          <w:color w:val="auto"/>
          <w:sz w:val="22"/>
          <w:szCs w:val="22"/>
        </w:rPr>
        <w:t>刑事证据的基本属性</w:t>
      </w:r>
      <w:bookmarkEnd w:id="10"/>
      <w:bookmarkEnd w:id="11"/>
      <w:bookmarkEnd w:id="12"/>
      <w:r>
        <w:rPr>
          <w:rFonts w:ascii="宋体" w:eastAsia="宋体" w:hAnsi="宋体" w:hint="eastAsia"/>
          <w:b/>
          <w:bCs w:val="0"/>
          <w:color w:val="auto"/>
          <w:sz w:val="22"/>
          <w:szCs w:val="22"/>
        </w:rPr>
        <w:t>（</w:t>
      </w:r>
      <w:r w:rsidR="004B1F6F">
        <w:rPr>
          <w:rFonts w:ascii="宋体" w:eastAsia="宋体" w:hAnsi="宋体" w:hint="eastAsia"/>
          <w:b/>
          <w:bCs w:val="0"/>
          <w:color w:val="auto"/>
          <w:sz w:val="22"/>
          <w:szCs w:val="22"/>
        </w:rPr>
        <w:t>20</w:t>
      </w:r>
      <w:r w:rsidR="004B1F6F">
        <w:rPr>
          <w:rFonts w:ascii="宋体" w:eastAsia="宋体" w:hAnsi="宋体"/>
          <w:b/>
          <w:bCs w:val="0"/>
          <w:color w:val="auto"/>
          <w:sz w:val="22"/>
          <w:szCs w:val="22"/>
        </w:rPr>
        <w:t>:</w:t>
      </w:r>
      <w:r w:rsidR="004B1F6F">
        <w:rPr>
          <w:rFonts w:ascii="宋体" w:eastAsia="宋体" w:hAnsi="宋体" w:hint="eastAsia"/>
          <w:b/>
          <w:bCs w:val="0"/>
          <w:color w:val="auto"/>
          <w:sz w:val="22"/>
          <w:szCs w:val="22"/>
        </w:rPr>
        <w:t>01</w:t>
      </w:r>
      <w:r w:rsidR="004B1F6F">
        <w:rPr>
          <w:rFonts w:ascii="宋体" w:eastAsia="宋体" w:hAnsi="宋体"/>
          <w:b/>
          <w:bCs w:val="0"/>
          <w:color w:val="auto"/>
          <w:sz w:val="22"/>
          <w:szCs w:val="22"/>
        </w:rPr>
        <w:t>:00</w:t>
      </w:r>
      <w:r>
        <w:rPr>
          <w:rFonts w:ascii="宋体" w:eastAsia="宋体" w:hAnsi="宋体"/>
          <w:b/>
          <w:bCs w:val="0"/>
          <w:color w:val="auto"/>
          <w:sz w:val="22"/>
          <w:szCs w:val="22"/>
        </w:rPr>
        <w:t>-</w:t>
      </w:r>
      <w:r>
        <w:rPr>
          <w:rFonts w:ascii="宋体" w:eastAsia="宋体" w:hAnsi="宋体" w:hint="eastAsia"/>
          <w:b/>
          <w:bCs w:val="0"/>
          <w:color w:val="auto"/>
          <w:sz w:val="22"/>
          <w:szCs w:val="22"/>
        </w:rPr>
        <w:t>2</w:t>
      </w:r>
      <w:r w:rsidR="00C427BC">
        <w:rPr>
          <w:rFonts w:ascii="宋体" w:eastAsia="宋体" w:hAnsi="宋体" w:hint="eastAsia"/>
          <w:b/>
          <w:bCs w:val="0"/>
          <w:color w:val="auto"/>
          <w:sz w:val="22"/>
          <w:szCs w:val="22"/>
        </w:rPr>
        <w:t>0</w:t>
      </w:r>
      <w:r>
        <w:rPr>
          <w:rFonts w:ascii="宋体" w:eastAsia="宋体" w:hAnsi="宋体"/>
          <w:b/>
          <w:bCs w:val="0"/>
          <w:color w:val="auto"/>
          <w:sz w:val="22"/>
          <w:szCs w:val="22"/>
        </w:rPr>
        <w:t>:</w:t>
      </w:r>
      <w:r w:rsidR="00C427BC">
        <w:rPr>
          <w:rFonts w:ascii="宋体" w:eastAsia="宋体" w:hAnsi="宋体" w:hint="eastAsia"/>
          <w:b/>
          <w:bCs w:val="0"/>
          <w:color w:val="auto"/>
          <w:sz w:val="22"/>
          <w:szCs w:val="22"/>
        </w:rPr>
        <w:t>14</w:t>
      </w:r>
      <w:r>
        <w:rPr>
          <w:rFonts w:ascii="宋体" w:eastAsia="宋体" w:hAnsi="宋体"/>
          <w:b/>
          <w:bCs w:val="0"/>
          <w:color w:val="auto"/>
          <w:sz w:val="22"/>
          <w:szCs w:val="22"/>
        </w:rPr>
        <w:t>:00）</w:t>
      </w:r>
    </w:p>
    <w:p w14:paraId="3FF65DBA" w14:textId="77777777" w:rsidR="00FF217D" w:rsidRDefault="00FF217D" w:rsidP="00FF217D">
      <w:pPr>
        <w:spacing w:line="240" w:lineRule="auto"/>
        <w:ind w:firstLine="420"/>
        <w:rPr>
          <w:rFonts w:eastAsia="宋体" w:hint="eastAsia"/>
          <w:color w:val="FF0000"/>
        </w:rPr>
      </w:pPr>
      <w:r>
        <w:rPr>
          <w:rFonts w:eastAsia="宋体" w:hint="eastAsia"/>
          <w:color w:val="FF0000"/>
        </w:rPr>
        <w:t>补充：客观性、关联性、合法性，这三性都具有则具有证据资格，若无证据资格则证明力也没有。</w:t>
      </w:r>
    </w:p>
    <w:p w14:paraId="69766C3A" w14:textId="77777777" w:rsidR="00FF217D" w:rsidRDefault="00FF217D" w:rsidP="00FF217D">
      <w:pPr>
        <w:pStyle w:val="4"/>
        <w:spacing w:line="240" w:lineRule="auto"/>
        <w:ind w:firstLineChars="200" w:firstLine="420"/>
        <w:jc w:val="both"/>
        <w:rPr>
          <w:rFonts w:ascii="宋体" w:eastAsia="宋体" w:hAnsi="宋体" w:hint="eastAsia"/>
          <w:color w:val="FF0000"/>
          <w:sz w:val="21"/>
          <w:szCs w:val="21"/>
        </w:rPr>
      </w:pPr>
      <w:r>
        <w:rPr>
          <w:rFonts w:ascii="宋体" w:eastAsia="宋体" w:hAnsi="宋体" w:hint="eastAsia"/>
          <w:color w:val="FF0000"/>
          <w:sz w:val="21"/>
          <w:szCs w:val="21"/>
        </w:rPr>
        <w:t>关联性与证明力的关系</w:t>
      </w:r>
    </w:p>
    <w:p w14:paraId="7F22EE18" w14:textId="77777777" w:rsidR="00FF217D" w:rsidRDefault="00FF217D" w:rsidP="00FF217D">
      <w:pPr>
        <w:spacing w:line="240" w:lineRule="auto"/>
        <w:ind w:firstLine="420"/>
        <w:rPr>
          <w:rFonts w:eastAsia="宋体" w:hint="eastAsia"/>
        </w:rPr>
      </w:pPr>
      <w:r>
        <w:rPr>
          <w:rFonts w:eastAsia="宋体" w:hint="eastAsia"/>
        </w:rPr>
        <w:t>证据与案件事实的联系越密切，其对案件事实的证明力就越大，也即证据与待证事实的</w:t>
      </w:r>
      <w:r>
        <w:rPr>
          <w:rFonts w:eastAsia="宋体" w:hint="eastAsia"/>
        </w:rPr>
        <w:lastRenderedPageBreak/>
        <w:t>关联度决定着证据的证明力的大小。</w:t>
      </w:r>
    </w:p>
    <w:p w14:paraId="7A1506AD" w14:textId="26ECA5FD" w:rsidR="00FF217D" w:rsidRDefault="00FF217D" w:rsidP="00FF217D">
      <w:pPr>
        <w:pStyle w:val="1"/>
        <w:spacing w:before="0" w:line="240" w:lineRule="auto"/>
        <w:rPr>
          <w:rFonts w:ascii="宋体" w:eastAsia="宋体" w:hAnsi="宋体" w:hint="eastAsia"/>
          <w:b/>
          <w:bCs w:val="0"/>
          <w:color w:val="auto"/>
          <w:sz w:val="22"/>
          <w:szCs w:val="22"/>
        </w:rPr>
      </w:pPr>
      <w:bookmarkStart w:id="13" w:name="_Toc4844108"/>
      <w:bookmarkStart w:id="14" w:name="_Toc126331774"/>
      <w:bookmarkStart w:id="15" w:name="_Toc64384681"/>
      <w:bookmarkStart w:id="16" w:name="_Hlk165236072"/>
      <w:r>
        <w:rPr>
          <w:rFonts w:ascii="宋体" w:eastAsia="宋体" w:hAnsi="宋体" w:hint="eastAsia"/>
          <w:b/>
          <w:bCs w:val="0"/>
          <w:color w:val="auto"/>
          <w:sz w:val="22"/>
          <w:szCs w:val="22"/>
        </w:rPr>
        <w:t xml:space="preserve">考点14 </w:t>
      </w:r>
      <w:r>
        <w:rPr>
          <w:rFonts w:ascii="宋体" w:eastAsia="宋体" w:hAnsi="宋体"/>
          <w:b/>
          <w:bCs w:val="0"/>
          <w:color w:val="auto"/>
          <w:sz w:val="22"/>
          <w:szCs w:val="22"/>
        </w:rPr>
        <w:t xml:space="preserve"> </w:t>
      </w:r>
      <w:r>
        <w:rPr>
          <w:rFonts w:ascii="宋体" w:eastAsia="宋体" w:hAnsi="宋体" w:hint="eastAsia"/>
          <w:b/>
          <w:bCs w:val="0"/>
          <w:color w:val="auto"/>
          <w:sz w:val="22"/>
          <w:szCs w:val="22"/>
        </w:rPr>
        <w:t>刑事证据的</w:t>
      </w:r>
      <w:bookmarkEnd w:id="13"/>
      <w:r>
        <w:rPr>
          <w:rFonts w:ascii="宋体" w:eastAsia="宋体" w:hAnsi="宋体" w:hint="eastAsia"/>
          <w:b/>
          <w:bCs w:val="0"/>
          <w:color w:val="auto"/>
          <w:sz w:val="22"/>
          <w:szCs w:val="22"/>
        </w:rPr>
        <w:t>审查判断</w:t>
      </w:r>
      <w:bookmarkEnd w:id="14"/>
      <w:bookmarkEnd w:id="15"/>
      <w:r>
        <w:rPr>
          <w:rFonts w:ascii="宋体" w:eastAsia="宋体" w:hAnsi="宋体" w:hint="eastAsia"/>
          <w:b/>
          <w:bCs w:val="0"/>
          <w:color w:val="auto"/>
          <w:sz w:val="22"/>
          <w:szCs w:val="22"/>
        </w:rPr>
        <w:t>（</w:t>
      </w:r>
      <w:r w:rsidR="00574B57">
        <w:rPr>
          <w:rFonts w:ascii="宋体" w:eastAsia="宋体" w:hAnsi="宋体" w:hint="eastAsia"/>
          <w:b/>
          <w:bCs w:val="0"/>
          <w:color w:val="auto"/>
          <w:sz w:val="22"/>
          <w:szCs w:val="22"/>
        </w:rPr>
        <w:t>20</w:t>
      </w:r>
      <w:r w:rsidR="00574B57">
        <w:rPr>
          <w:rFonts w:ascii="宋体" w:eastAsia="宋体" w:hAnsi="宋体"/>
          <w:b/>
          <w:bCs w:val="0"/>
          <w:color w:val="auto"/>
          <w:sz w:val="22"/>
          <w:szCs w:val="22"/>
        </w:rPr>
        <w:t>:</w:t>
      </w:r>
      <w:r w:rsidR="00574B57">
        <w:rPr>
          <w:rFonts w:ascii="宋体" w:eastAsia="宋体" w:hAnsi="宋体" w:hint="eastAsia"/>
          <w:b/>
          <w:bCs w:val="0"/>
          <w:color w:val="auto"/>
          <w:sz w:val="22"/>
          <w:szCs w:val="22"/>
        </w:rPr>
        <w:t>14</w:t>
      </w:r>
      <w:r>
        <w:rPr>
          <w:rFonts w:ascii="宋体" w:eastAsia="宋体" w:hAnsi="宋体"/>
          <w:b/>
          <w:bCs w:val="0"/>
          <w:color w:val="auto"/>
          <w:sz w:val="22"/>
          <w:szCs w:val="22"/>
        </w:rPr>
        <w:t>:00-</w:t>
      </w:r>
      <w:r w:rsidR="00701EEB">
        <w:rPr>
          <w:rFonts w:ascii="宋体" w:eastAsia="宋体" w:hAnsi="宋体" w:hint="eastAsia"/>
          <w:b/>
          <w:bCs w:val="0"/>
          <w:color w:val="auto"/>
          <w:sz w:val="21"/>
          <w:szCs w:val="21"/>
        </w:rPr>
        <w:t>22</w:t>
      </w:r>
      <w:r w:rsidR="00701EEB" w:rsidRPr="00224980">
        <w:rPr>
          <w:rFonts w:ascii="宋体" w:eastAsia="宋体" w:hAnsi="宋体"/>
          <w:b/>
          <w:bCs w:val="0"/>
          <w:color w:val="auto"/>
          <w:sz w:val="21"/>
          <w:szCs w:val="21"/>
        </w:rPr>
        <w:t>:</w:t>
      </w:r>
      <w:r w:rsidR="00701EEB">
        <w:rPr>
          <w:rFonts w:ascii="宋体" w:eastAsia="宋体" w:hAnsi="宋体" w:hint="eastAsia"/>
          <w:b/>
          <w:bCs w:val="0"/>
          <w:color w:val="auto"/>
          <w:sz w:val="21"/>
          <w:szCs w:val="21"/>
        </w:rPr>
        <w:t>06</w:t>
      </w:r>
      <w:r>
        <w:rPr>
          <w:rFonts w:ascii="宋体" w:eastAsia="宋体" w:hAnsi="宋体"/>
          <w:b/>
          <w:bCs w:val="0"/>
          <w:color w:val="auto"/>
          <w:sz w:val="22"/>
          <w:szCs w:val="22"/>
        </w:rPr>
        <w:t>:00）</w:t>
      </w:r>
    </w:p>
    <w:bookmarkEnd w:id="16"/>
    <w:p w14:paraId="13AE13B6" w14:textId="77777777" w:rsidR="00FF217D" w:rsidRDefault="00FF217D" w:rsidP="00FF217D">
      <w:pPr>
        <w:spacing w:line="240" w:lineRule="auto"/>
        <w:ind w:firstLine="420"/>
        <w:rPr>
          <w:rFonts w:eastAsia="宋体" w:hint="eastAsia"/>
          <w:color w:val="FF0000"/>
        </w:rPr>
      </w:pPr>
      <w:r>
        <w:rPr>
          <w:rFonts w:eastAsia="宋体" w:hint="eastAsia"/>
          <w:color w:val="FF0000"/>
        </w:rPr>
        <w:t>补充：在法考中只要是不合法的证据都叫广义的非法证据，包括（1）狭义的非法证据——依照非法证据排除规则要排除的证据（2）根本性缺陷证据【重中之重】（3）瑕疵证据，允许合理解释或补正。</w:t>
      </w:r>
    </w:p>
    <w:p w14:paraId="1836E025" w14:textId="77777777" w:rsidR="00FF217D" w:rsidRDefault="00FF217D" w:rsidP="00FF217D">
      <w:pPr>
        <w:pStyle w:val="3"/>
        <w:spacing w:line="240" w:lineRule="auto"/>
        <w:ind w:firstLineChars="200" w:firstLine="420"/>
        <w:jc w:val="both"/>
        <w:rPr>
          <w:rFonts w:eastAsia="宋体" w:hint="eastAsia"/>
          <w:color w:val="FF0000"/>
          <w:sz w:val="21"/>
        </w:rPr>
      </w:pPr>
      <w:bookmarkStart w:id="17" w:name="_Toc510879009"/>
      <w:r>
        <w:rPr>
          <w:rFonts w:eastAsia="宋体" w:hint="eastAsia"/>
          <w:sz w:val="21"/>
        </w:rPr>
        <w:t>一、</w:t>
      </w:r>
      <w:bookmarkEnd w:id="17"/>
      <w:r>
        <w:rPr>
          <w:rFonts w:eastAsia="宋体" w:hint="eastAsia"/>
          <w:sz w:val="21"/>
        </w:rPr>
        <w:t>基本规定</w:t>
      </w:r>
    </w:p>
    <w:p w14:paraId="0C41B9AC" w14:textId="77777777" w:rsidR="00FF217D" w:rsidRDefault="00FF217D" w:rsidP="00FF217D">
      <w:pPr>
        <w:tabs>
          <w:tab w:val="clear" w:pos="420"/>
        </w:tabs>
        <w:spacing w:line="240" w:lineRule="auto"/>
        <w:ind w:firstLine="420"/>
        <w:rPr>
          <w:rFonts w:eastAsia="宋体" w:cs="汉仪中黑简" w:hint="eastAsia"/>
          <w:bCs/>
          <w:kern w:val="44"/>
        </w:rPr>
      </w:pPr>
      <w:r>
        <w:rPr>
          <w:rFonts w:eastAsia="宋体" w:cs="汉仪中黑简" w:hint="eastAsia"/>
          <w:bCs/>
          <w:kern w:val="44"/>
        </w:rPr>
        <w:t>证据裁判原则：</w:t>
      </w:r>
      <w:r>
        <w:rPr>
          <w:rFonts w:eastAsia="宋体" w:hint="eastAsia"/>
        </w:rPr>
        <w:t>认定事实须凭证据，是现代证据制度的奠基原则。要求：（1）认定事实须靠证据；（2）认定事实的证据必须具有证据能力；（3）定案的证据必须经查证属实；（4）综合全案证据必须达到证明标准。我国已确定该原则。</w:t>
      </w:r>
    </w:p>
    <w:p w14:paraId="507CA0DF" w14:textId="77777777" w:rsidR="00FF217D" w:rsidRDefault="00FF217D" w:rsidP="00FF217D">
      <w:pPr>
        <w:pStyle w:val="4"/>
        <w:spacing w:line="240" w:lineRule="auto"/>
        <w:ind w:firstLineChars="120" w:firstLine="248"/>
        <w:jc w:val="both"/>
        <w:rPr>
          <w:rFonts w:ascii="宋体" w:eastAsia="宋体" w:hAnsi="宋体" w:hint="eastAsia"/>
          <w:b/>
          <w:bCs w:val="0"/>
          <w:spacing w:val="-2"/>
          <w:sz w:val="21"/>
          <w:szCs w:val="21"/>
        </w:rPr>
      </w:pPr>
      <w:r>
        <w:rPr>
          <w:rFonts w:ascii="宋体" w:eastAsia="宋体" w:hAnsi="宋体" w:hint="eastAsia"/>
          <w:b/>
          <w:bCs w:val="0"/>
          <w:spacing w:val="-2"/>
          <w:sz w:val="21"/>
          <w:szCs w:val="21"/>
        </w:rPr>
        <w:t>对行政机关在行政执法和查办案件过程中收集到的部分证据材料的使用</w:t>
      </w:r>
    </w:p>
    <w:p w14:paraId="58347D5A" w14:textId="77777777" w:rsidR="00FF217D" w:rsidRDefault="00FF217D" w:rsidP="00FF217D">
      <w:pPr>
        <w:spacing w:line="240" w:lineRule="auto"/>
        <w:ind w:firstLine="420"/>
        <w:rPr>
          <w:rFonts w:eastAsia="宋体" w:hint="eastAsia"/>
          <w:kern w:val="0"/>
        </w:rPr>
      </w:pPr>
      <w:r>
        <w:rPr>
          <w:rFonts w:eastAsia="宋体"/>
          <w:color w:val="FF0000"/>
          <w:kern w:val="0"/>
        </w:rPr>
        <w:t>行政机关在行政执法和查办案件过程中收集的物证、书证、视听资料、电子数据等证据材料，在刑事诉讼中可以作为证据使用</w:t>
      </w:r>
      <w:r>
        <w:rPr>
          <w:rFonts w:eastAsia="宋体" w:hint="eastAsia"/>
          <w:kern w:val="0"/>
        </w:rPr>
        <w:t>。</w:t>
      </w:r>
    </w:p>
    <w:p w14:paraId="70B9C693" w14:textId="77777777" w:rsidR="00FF217D" w:rsidRDefault="00FF217D" w:rsidP="00FF217D">
      <w:pPr>
        <w:pStyle w:val="4"/>
        <w:spacing w:line="240" w:lineRule="auto"/>
        <w:ind w:firstLineChars="120" w:firstLine="253"/>
        <w:jc w:val="both"/>
        <w:rPr>
          <w:rFonts w:ascii="宋体" w:eastAsia="宋体" w:hAnsi="宋体" w:hint="eastAsia"/>
          <w:b/>
          <w:bCs w:val="0"/>
          <w:color w:val="auto"/>
          <w:sz w:val="21"/>
          <w:szCs w:val="21"/>
        </w:rPr>
      </w:pPr>
      <w:r>
        <w:rPr>
          <w:rFonts w:ascii="宋体" w:eastAsia="宋体" w:hAnsi="宋体" w:hint="eastAsia"/>
          <w:b/>
          <w:bCs w:val="0"/>
          <w:color w:val="auto"/>
          <w:sz w:val="21"/>
          <w:szCs w:val="21"/>
        </w:rPr>
        <w:t>对监察机关在调查过程中收集到的证据材料的使用</w:t>
      </w:r>
    </w:p>
    <w:p w14:paraId="2203F049" w14:textId="77777777" w:rsidR="00FF217D" w:rsidRDefault="00FF217D" w:rsidP="00FF217D">
      <w:pPr>
        <w:spacing w:line="240" w:lineRule="auto"/>
        <w:ind w:firstLine="420"/>
        <w:rPr>
          <w:rFonts w:eastAsia="宋体" w:hint="eastAsia"/>
        </w:rPr>
      </w:pPr>
      <w:r>
        <w:rPr>
          <w:rFonts w:eastAsia="宋体" w:cs="仿宋_GB2312" w:hint="eastAsia"/>
          <w:bCs/>
          <w:color w:val="FF0000"/>
        </w:rPr>
        <w:t>监察机关调查所获证据在刑事诉讼中不存在转换的问题</w:t>
      </w:r>
      <w:r>
        <w:rPr>
          <w:rFonts w:eastAsia="宋体" w:cs="仿宋_GB2312" w:hint="eastAsia"/>
          <w:bCs/>
        </w:rPr>
        <w:t>。</w:t>
      </w:r>
    </w:p>
    <w:p w14:paraId="0C25F62B" w14:textId="77777777" w:rsidR="00FF217D" w:rsidRDefault="00FF217D" w:rsidP="00FF217D">
      <w:pPr>
        <w:spacing w:line="240" w:lineRule="auto"/>
        <w:ind w:firstLine="420"/>
        <w:rPr>
          <w:rFonts w:eastAsia="宋体" w:cs="仿宋_GB2312" w:hint="eastAsia"/>
          <w:bCs/>
        </w:rPr>
      </w:pPr>
      <w:bookmarkStart w:id="18" w:name="_Toc510879010"/>
      <w:r>
        <w:rPr>
          <w:rFonts w:eastAsia="宋体" w:hint="eastAsia"/>
        </w:rPr>
        <w:t>二、各类证据的审查与判断</w:t>
      </w:r>
      <w:bookmarkEnd w:id="18"/>
    </w:p>
    <w:p w14:paraId="27617456"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（一）物证、书证的审查判断</w:t>
      </w:r>
    </w:p>
    <w:p w14:paraId="60B8E13B" w14:textId="77777777" w:rsidR="00FF217D" w:rsidRDefault="00FF217D" w:rsidP="00FF217D">
      <w:pPr>
        <w:spacing w:line="240" w:lineRule="auto"/>
        <w:ind w:firstLine="422"/>
        <w:rPr>
          <w:rFonts w:eastAsia="宋体" w:hint="eastAsia"/>
        </w:rPr>
      </w:pPr>
      <w:r>
        <w:rPr>
          <w:rFonts w:eastAsia="宋体" w:hint="eastAsia"/>
          <w:b/>
          <w:bCs/>
        </w:rPr>
        <w:t>不能作为定案的根据</w:t>
      </w:r>
      <w:r>
        <w:rPr>
          <w:rFonts w:eastAsia="宋体" w:hint="eastAsia"/>
        </w:rPr>
        <w:t>（根本性缺陷）复制品等与原物、原件不符；书证有更改或者更改迹象不能作出合理解释；未附笔录或者清单，不能证明物证、书证来源。</w:t>
      </w:r>
    </w:p>
    <w:p w14:paraId="2FA5740B" w14:textId="77777777" w:rsidR="00FF217D" w:rsidRDefault="00FF217D" w:rsidP="00FF217D">
      <w:pPr>
        <w:spacing w:line="240" w:lineRule="auto"/>
        <w:ind w:firstLine="420"/>
        <w:rPr>
          <w:rFonts w:eastAsia="宋体" w:hint="eastAsia"/>
        </w:rPr>
      </w:pPr>
      <w:r>
        <w:rPr>
          <w:rFonts w:eastAsia="宋体" w:hint="eastAsia"/>
        </w:rPr>
        <w:t>非法证据：收集物证、书证不符合法定程序，可能严重影响司法公正，不能补正或者作出合理解释的。</w:t>
      </w:r>
    </w:p>
    <w:p w14:paraId="79619B24"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（二）证人证言、被害人陈述的审查判断</w:t>
      </w:r>
    </w:p>
    <w:p w14:paraId="3089A96B" w14:textId="77777777" w:rsidR="00FF217D" w:rsidRDefault="00FF217D" w:rsidP="00FF217D">
      <w:pPr>
        <w:spacing w:line="240" w:lineRule="auto"/>
        <w:ind w:firstLine="420"/>
        <w:rPr>
          <w:rFonts w:eastAsia="宋体" w:hint="eastAsia"/>
          <w:color w:val="FF0000"/>
        </w:rPr>
      </w:pPr>
      <w:r>
        <w:rPr>
          <w:rFonts w:eastAsia="宋体" w:hint="eastAsia"/>
        </w:rPr>
        <w:t>询问证人没有个别进行的、书面证言没有</w:t>
      </w:r>
      <w:r>
        <w:rPr>
          <w:rFonts w:eastAsia="宋体" w:hint="eastAsia"/>
          <w:color w:val="FF0000"/>
        </w:rPr>
        <w:t>经证人核对确认</w:t>
      </w:r>
      <w:r>
        <w:rPr>
          <w:rFonts w:eastAsia="宋体" w:hint="eastAsia"/>
        </w:rPr>
        <w:t>的、询问聋、哑人，应当提供通晓聋、哑手势的人员而未提供的、询问不通晓当地通用语言、文字的证人，应提供翻译人员而未提供的，不能作为定案根据。特别注意：</w:t>
      </w:r>
      <w:r>
        <w:rPr>
          <w:rFonts w:eastAsia="宋体" w:hint="eastAsia"/>
          <w:color w:val="FF0000"/>
        </w:rPr>
        <w:t>同一时段同一询问人员不同询问对象的，可补正。</w:t>
      </w:r>
    </w:p>
    <w:p w14:paraId="2C3532BB"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（三）犯罪嫌疑人、被告人供述的审查判断</w:t>
      </w:r>
    </w:p>
    <w:p w14:paraId="0FE80701" w14:textId="77777777" w:rsidR="00FF217D" w:rsidRDefault="00FF217D" w:rsidP="00FF217D">
      <w:pPr>
        <w:spacing w:line="240" w:lineRule="auto"/>
        <w:ind w:firstLine="420"/>
        <w:rPr>
          <w:rFonts w:eastAsia="宋体" w:hint="eastAsia"/>
        </w:rPr>
      </w:pPr>
      <w:r>
        <w:rPr>
          <w:rFonts w:eastAsia="宋体" w:hint="eastAsia"/>
        </w:rPr>
        <w:t>根本性缺陷（1）讯问笔录没有经被告人核对确认的（2）讯问聋、哑人，应当提供通晓聋、哑手势的人员而未提供的（3）讯问不通晓当地通用语言、文字的被告人，应提供翻译人员而未提供（4）讯问未成年人，其法定代理人或者合适成年人不在场的</w:t>
      </w:r>
    </w:p>
    <w:p w14:paraId="53616763" w14:textId="77777777" w:rsidR="00FF217D" w:rsidRDefault="00FF217D" w:rsidP="00FF217D">
      <w:pPr>
        <w:spacing w:line="240" w:lineRule="auto"/>
        <w:ind w:firstLine="420"/>
        <w:rPr>
          <w:rFonts w:eastAsia="宋体" w:hint="eastAsia"/>
        </w:rPr>
      </w:pPr>
      <w:r>
        <w:rPr>
          <w:rFonts w:eastAsia="宋体" w:hint="eastAsia"/>
          <w:color w:val="FF0000"/>
        </w:rPr>
        <w:t>【背诵】</w:t>
      </w:r>
      <w:r>
        <w:rPr>
          <w:rFonts w:eastAsia="宋体" w:hint="eastAsia"/>
        </w:rPr>
        <w:t>零口供（</w:t>
      </w:r>
      <w:r>
        <w:rPr>
          <w:rFonts w:eastAsia="宋体"/>
        </w:rPr>
        <w:t>间接证据定案规则</w:t>
      </w:r>
      <w:r>
        <w:rPr>
          <w:rFonts w:eastAsia="宋体" w:hint="eastAsia"/>
        </w:rPr>
        <w:t>）：</w:t>
      </w:r>
      <w:r>
        <w:rPr>
          <w:rFonts w:eastAsia="宋体"/>
        </w:rPr>
        <w:t>没有直接证据，但间接证据同时符合下列条件的，可以认定被告人有罪</w:t>
      </w:r>
      <w:r>
        <w:rPr>
          <w:rFonts w:eastAsia="宋体" w:hint="eastAsia"/>
        </w:rPr>
        <w:t>：（1）</w:t>
      </w:r>
      <w:r>
        <w:rPr>
          <w:rFonts w:eastAsia="宋体"/>
        </w:rPr>
        <w:t>证据已经查证属实</w:t>
      </w:r>
      <w:r>
        <w:rPr>
          <w:rFonts w:eastAsia="宋体" w:hint="eastAsia"/>
        </w:rPr>
        <w:t>；（2）</w:t>
      </w:r>
      <w:r>
        <w:rPr>
          <w:rFonts w:eastAsia="宋体"/>
        </w:rPr>
        <w:t>证据之间相互印证，不存在无法排除的矛盾和无法解释的疑问</w:t>
      </w:r>
      <w:r>
        <w:rPr>
          <w:rFonts w:eastAsia="宋体" w:hint="eastAsia"/>
        </w:rPr>
        <w:t>；（3）</w:t>
      </w:r>
      <w:r>
        <w:rPr>
          <w:rFonts w:eastAsia="宋体"/>
        </w:rPr>
        <w:t>全案证据已经形成完整的证据链</w:t>
      </w:r>
      <w:r>
        <w:rPr>
          <w:rFonts w:eastAsia="宋体" w:hint="eastAsia"/>
        </w:rPr>
        <w:t>；（4）</w:t>
      </w:r>
      <w:r>
        <w:rPr>
          <w:rFonts w:eastAsia="宋体"/>
        </w:rPr>
        <w:t>根据证据认定案件事实足以排除合理怀疑，结论具有唯一性</w:t>
      </w:r>
      <w:r>
        <w:rPr>
          <w:rFonts w:eastAsia="宋体" w:hint="eastAsia"/>
        </w:rPr>
        <w:t>；（5）</w:t>
      </w:r>
      <w:r>
        <w:rPr>
          <w:rFonts w:eastAsia="宋体"/>
        </w:rPr>
        <w:t>运用证据进行的推理符合逻辑和经验。</w:t>
      </w:r>
    </w:p>
    <w:p w14:paraId="5AC81961"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（四）鉴定人意见的审查判断</w:t>
      </w:r>
    </w:p>
    <w:p w14:paraId="498284F7" w14:textId="77777777" w:rsidR="00FF217D" w:rsidRDefault="00FF217D" w:rsidP="00FF217D">
      <w:pPr>
        <w:spacing w:line="240" w:lineRule="auto"/>
        <w:ind w:firstLine="420"/>
        <w:rPr>
          <w:rFonts w:eastAsia="宋体" w:hint="eastAsia"/>
          <w:color w:val="FF0000"/>
        </w:rPr>
      </w:pPr>
      <w:r>
        <w:rPr>
          <w:rFonts w:eastAsia="宋体" w:hint="eastAsia"/>
          <w:color w:val="FF0000"/>
        </w:rPr>
        <w:t>鉴定意见没有补正或者合理解释的情形</w:t>
      </w:r>
    </w:p>
    <w:p w14:paraId="2F33D2B2" w14:textId="77777777" w:rsidR="00FF217D" w:rsidRDefault="00FF217D" w:rsidP="00FF217D">
      <w:pPr>
        <w:spacing w:line="240" w:lineRule="auto"/>
        <w:ind w:firstLine="420"/>
        <w:rPr>
          <w:rFonts w:eastAsia="宋体" w:hint="eastAsia"/>
          <w:color w:val="FF0000"/>
        </w:rPr>
      </w:pPr>
      <w:r>
        <w:rPr>
          <w:rFonts w:eastAsia="宋体" w:hint="eastAsia"/>
          <w:color w:val="FF0000"/>
        </w:rPr>
        <w:t>注意：</w:t>
      </w:r>
      <w:r>
        <w:rPr>
          <w:rFonts w:eastAsia="宋体" w:hint="eastAsia"/>
        </w:rPr>
        <w:t>交通事故认定书一般被作为公文书证，而不是事故调查报告</w:t>
      </w:r>
    </w:p>
    <w:p w14:paraId="7226BDC5"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（五）勘验、检查笔录、辨认笔录、侦查实验笔录的审查判断</w:t>
      </w:r>
    </w:p>
    <w:p w14:paraId="534B16DE" w14:textId="77777777" w:rsidR="00FF217D" w:rsidRDefault="00FF217D" w:rsidP="00FF217D">
      <w:pPr>
        <w:spacing w:line="240" w:lineRule="auto"/>
        <w:ind w:firstLine="422"/>
        <w:rPr>
          <w:rFonts w:eastAsia="宋体" w:hint="eastAsia"/>
          <w:b/>
          <w:bCs/>
          <w:color w:val="FF0000"/>
          <w:lang w:eastAsia="zh-Hans"/>
        </w:rPr>
      </w:pPr>
      <w:r>
        <w:rPr>
          <w:rFonts w:eastAsia="宋体" w:hint="eastAsia"/>
          <w:b/>
          <w:bCs/>
          <w:color w:val="FF0000"/>
          <w:lang w:eastAsia="zh-Hans"/>
        </w:rPr>
        <w:t>无见证人的</w:t>
      </w:r>
      <w:r>
        <w:rPr>
          <w:rFonts w:eastAsia="宋体"/>
          <w:b/>
          <w:bCs/>
          <w:color w:val="FF0000"/>
          <w:lang w:eastAsia="zh-Hans"/>
        </w:rPr>
        <w:t>，</w:t>
      </w:r>
      <w:r>
        <w:rPr>
          <w:rFonts w:eastAsia="宋体" w:hint="eastAsia"/>
          <w:b/>
          <w:bCs/>
          <w:color w:val="FF0000"/>
          <w:lang w:eastAsia="zh-Hans"/>
        </w:rPr>
        <w:t>注明情况</w:t>
      </w:r>
      <w:r>
        <w:rPr>
          <w:rFonts w:eastAsia="宋体"/>
          <w:b/>
          <w:bCs/>
          <w:color w:val="FF0000"/>
          <w:lang w:eastAsia="zh-Hans"/>
        </w:rPr>
        <w:t>+</w:t>
      </w:r>
      <w:r>
        <w:rPr>
          <w:rFonts w:eastAsia="宋体" w:hint="eastAsia"/>
          <w:b/>
          <w:bCs/>
          <w:color w:val="FF0000"/>
          <w:lang w:eastAsia="zh-Hans"/>
        </w:rPr>
        <w:t>录音录像</w:t>
      </w:r>
      <w:r>
        <w:rPr>
          <w:rFonts w:eastAsia="宋体"/>
          <w:b/>
          <w:bCs/>
          <w:color w:val="FF0000"/>
          <w:lang w:eastAsia="zh-Hans"/>
        </w:rPr>
        <w:t>=</w:t>
      </w:r>
      <w:r>
        <w:rPr>
          <w:rFonts w:eastAsia="宋体" w:hint="eastAsia"/>
          <w:b/>
          <w:bCs/>
          <w:color w:val="FF0000"/>
          <w:lang w:eastAsia="zh-Hans"/>
        </w:rPr>
        <w:t>可以作为定案根据</w:t>
      </w:r>
    </w:p>
    <w:p w14:paraId="02B9167F"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（六）视听资料、电子数据的审查判断</w:t>
      </w:r>
    </w:p>
    <w:p w14:paraId="11A0C36E" w14:textId="77777777" w:rsidR="00FF217D" w:rsidRDefault="00FF217D" w:rsidP="00FF217D">
      <w:pPr>
        <w:tabs>
          <w:tab w:val="clear" w:pos="420"/>
        </w:tabs>
        <w:spacing w:line="240" w:lineRule="auto"/>
        <w:ind w:firstLine="420"/>
        <w:rPr>
          <w:rFonts w:eastAsia="宋体" w:cs="汉仪中黑简" w:hint="eastAsia"/>
          <w:bCs/>
          <w:kern w:val="44"/>
        </w:rPr>
      </w:pPr>
      <w:r>
        <w:rPr>
          <w:rFonts w:eastAsia="宋体" w:cs="汉仪中黑简" w:hint="eastAsia"/>
          <w:bCs/>
          <w:kern w:val="44"/>
        </w:rPr>
        <w:t>1．视听资料</w:t>
      </w:r>
    </w:p>
    <w:p w14:paraId="5F761CC4" w14:textId="77777777" w:rsidR="00FF217D" w:rsidRDefault="00FF217D" w:rsidP="00FF217D">
      <w:pPr>
        <w:spacing w:line="240" w:lineRule="auto"/>
        <w:ind w:firstLine="420"/>
        <w:rPr>
          <w:rFonts w:eastAsia="宋体" w:hint="eastAsia"/>
          <w:color w:val="FF0000"/>
        </w:rPr>
      </w:pPr>
      <w:r>
        <w:rPr>
          <w:rFonts w:eastAsia="宋体" w:hint="eastAsia"/>
          <w:color w:val="FF0000"/>
        </w:rPr>
        <w:t>影响真实性，不得作为定案的根据</w:t>
      </w:r>
    </w:p>
    <w:p w14:paraId="513A78D3" w14:textId="77777777" w:rsidR="00FF217D" w:rsidRDefault="00FF217D" w:rsidP="00FF217D">
      <w:pPr>
        <w:tabs>
          <w:tab w:val="clear" w:pos="420"/>
        </w:tabs>
        <w:spacing w:line="240" w:lineRule="auto"/>
        <w:ind w:firstLine="422"/>
        <w:rPr>
          <w:rFonts w:eastAsia="宋体" w:cs="汉仪中黑简" w:hint="eastAsia"/>
          <w:b/>
          <w:kern w:val="44"/>
        </w:rPr>
      </w:pPr>
      <w:r>
        <w:rPr>
          <w:rFonts w:eastAsia="宋体" w:cs="汉仪中黑简" w:hint="eastAsia"/>
          <w:b/>
          <w:kern w:val="44"/>
        </w:rPr>
        <w:t>2．电子数据</w:t>
      </w:r>
    </w:p>
    <w:p w14:paraId="4B3A0687" w14:textId="77777777" w:rsidR="00FF217D" w:rsidRDefault="00FF217D" w:rsidP="00FF217D">
      <w:pPr>
        <w:tabs>
          <w:tab w:val="clear" w:pos="420"/>
        </w:tabs>
        <w:spacing w:line="240" w:lineRule="auto"/>
        <w:ind w:firstLine="422"/>
        <w:rPr>
          <w:rFonts w:eastAsia="宋体" w:hint="eastAsia"/>
        </w:rPr>
      </w:pPr>
      <w:r>
        <w:rPr>
          <w:rFonts w:eastAsia="宋体" w:hint="eastAsia"/>
          <w:b/>
          <w:bCs/>
          <w:color w:val="FF0000"/>
        </w:rPr>
        <w:t>影响真实性</w:t>
      </w:r>
      <w:r>
        <w:rPr>
          <w:rFonts w:eastAsia="宋体" w:hint="eastAsia"/>
          <w:color w:val="FF0000"/>
        </w:rPr>
        <w:t>，</w:t>
      </w:r>
      <w:r>
        <w:rPr>
          <w:rFonts w:eastAsia="宋体" w:hint="eastAsia"/>
        </w:rPr>
        <w:t>不得作为定案根据：影响电子数据真实性的根本性缺陷（1）系篡改、伪造或者无法确定真伪的（2）有增加、删除、修改等情形，影响电子数据真实性的（3）其他</w:t>
      </w:r>
      <w:r>
        <w:rPr>
          <w:rFonts w:eastAsia="宋体" w:hint="eastAsia"/>
        </w:rPr>
        <w:lastRenderedPageBreak/>
        <w:t>无法保证电子数据真实性的情形</w:t>
      </w:r>
    </w:p>
    <w:p w14:paraId="7F6C6048" w14:textId="6CC2F3C2" w:rsidR="00CC71CD" w:rsidRPr="00CC71CD" w:rsidRDefault="00CC71CD" w:rsidP="00FF217D">
      <w:pPr>
        <w:tabs>
          <w:tab w:val="clear" w:pos="420"/>
        </w:tabs>
        <w:spacing w:line="240" w:lineRule="auto"/>
        <w:ind w:firstLine="420"/>
        <w:rPr>
          <w:rFonts w:eastAsia="宋体" w:hint="eastAsia"/>
          <w:color w:val="FF0000"/>
        </w:rPr>
      </w:pPr>
      <w:r>
        <w:rPr>
          <w:rFonts w:eastAsia="宋体" w:hint="eastAsia"/>
          <w:color w:val="FF0000"/>
        </w:rPr>
        <w:t>补充：</w:t>
      </w:r>
      <w:r w:rsidRPr="00CC71CD">
        <w:rPr>
          <w:rFonts w:eastAsia="宋体" w:hint="eastAsia"/>
          <w:color w:val="FF0000"/>
        </w:rPr>
        <w:t>在立案前调取收集的证据材料可以作为证据使用。</w:t>
      </w:r>
    </w:p>
    <w:p w14:paraId="0C1934A6"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（七）技术调查、侦查证据的审查与认定</w:t>
      </w:r>
    </w:p>
    <w:p w14:paraId="3E058259" w14:textId="77777777" w:rsidR="00FF217D" w:rsidRDefault="00FF217D" w:rsidP="00FF217D">
      <w:pPr>
        <w:spacing w:line="240" w:lineRule="auto"/>
        <w:ind w:firstLine="420"/>
        <w:rPr>
          <w:rFonts w:eastAsia="宋体" w:hint="eastAsia"/>
          <w:color w:val="FF0000"/>
        </w:rPr>
      </w:pPr>
      <w:r>
        <w:rPr>
          <w:rFonts w:eastAsia="宋体" w:hint="eastAsia"/>
        </w:rPr>
        <w:t>依法采取技术调查、侦查措施收集的材料在刑事诉讼中</w:t>
      </w:r>
      <w:r>
        <w:rPr>
          <w:rFonts w:eastAsia="宋体" w:hint="eastAsia"/>
          <w:color w:val="FF0000"/>
        </w:rPr>
        <w:t>可以作为证据使用</w:t>
      </w:r>
    </w:p>
    <w:p w14:paraId="74665317" w14:textId="77777777" w:rsidR="00FF217D" w:rsidRDefault="00FF217D" w:rsidP="00FF217D">
      <w:pPr>
        <w:spacing w:line="240" w:lineRule="auto"/>
        <w:ind w:firstLine="420"/>
        <w:rPr>
          <w:rFonts w:eastAsia="宋体" w:hint="eastAsia"/>
          <w:color w:val="FF0000"/>
        </w:rPr>
      </w:pPr>
      <w:r>
        <w:rPr>
          <w:rFonts w:eastAsia="宋体" w:hint="eastAsia"/>
          <w:color w:val="auto"/>
        </w:rPr>
        <w:t>作为定案根据：</w:t>
      </w:r>
      <w:r>
        <w:rPr>
          <w:rFonts w:eastAsia="宋体" w:hint="eastAsia"/>
          <w:color w:val="FF0000"/>
        </w:rPr>
        <w:t>应当经过当庭出示、辨认、质证等法庭调查程序查证</w:t>
      </w:r>
    </w:p>
    <w:p w14:paraId="148E937E" w14:textId="77777777" w:rsidR="00FF217D" w:rsidRDefault="00FF217D" w:rsidP="00FF217D">
      <w:pPr>
        <w:pStyle w:val="4"/>
        <w:spacing w:line="240" w:lineRule="auto"/>
        <w:ind w:firstLineChars="120" w:firstLine="252"/>
        <w:jc w:val="both"/>
        <w:rPr>
          <w:rFonts w:ascii="宋体" w:eastAsia="宋体" w:hAnsi="宋体" w:hint="eastAsia"/>
          <w:sz w:val="21"/>
          <w:szCs w:val="21"/>
        </w:rPr>
      </w:pPr>
      <w:r>
        <w:rPr>
          <w:rFonts w:ascii="宋体" w:eastAsia="宋体" w:hAnsi="宋体" w:hint="eastAsia"/>
          <w:sz w:val="21"/>
          <w:szCs w:val="21"/>
        </w:rPr>
        <w:t>（八）其他证据材料的审查判断</w:t>
      </w:r>
    </w:p>
    <w:p w14:paraId="3CBCFF3F" w14:textId="77777777" w:rsidR="00FF217D" w:rsidRDefault="00FF217D" w:rsidP="00FF217D">
      <w:pPr>
        <w:spacing w:line="240" w:lineRule="auto"/>
        <w:ind w:firstLine="420"/>
        <w:outlineLvl w:val="0"/>
        <w:rPr>
          <w:rFonts w:eastAsia="宋体" w:hint="eastAsia"/>
        </w:rPr>
      </w:pPr>
      <w:bookmarkStart w:id="19" w:name="_Toc510879011"/>
      <w:bookmarkStart w:id="20" w:name="_Toc64384682"/>
      <w:bookmarkStart w:id="21" w:name="_Toc126331775"/>
      <w:bookmarkStart w:id="22" w:name="_Toc4844109"/>
      <w:r>
        <w:rPr>
          <w:rFonts w:eastAsia="宋体"/>
        </w:rPr>
        <w:t>证明被告人自首、坦白、立功的证据材料，</w:t>
      </w:r>
      <w:r>
        <w:rPr>
          <w:rFonts w:eastAsia="宋体"/>
          <w:b/>
          <w:color w:val="FF0000"/>
        </w:rPr>
        <w:t>没有加盖接受被告人投案、坦白、检举揭发等的单位的印章，或者接受人员没有签名的，不得作为定案的根据</w:t>
      </w:r>
      <w:r>
        <w:rPr>
          <w:rFonts w:eastAsia="宋体"/>
        </w:rPr>
        <w:t>。</w:t>
      </w:r>
    </w:p>
    <w:p w14:paraId="3998EFC0" w14:textId="77777777" w:rsidR="00FF217D" w:rsidRDefault="00FF217D" w:rsidP="00FF217D">
      <w:pPr>
        <w:spacing w:line="240" w:lineRule="auto"/>
        <w:ind w:firstLine="420"/>
        <w:outlineLvl w:val="0"/>
        <w:rPr>
          <w:rFonts w:eastAsia="宋体" w:hint="eastAsia"/>
          <w:color w:val="FF0000"/>
        </w:rPr>
      </w:pPr>
      <w:r>
        <w:rPr>
          <w:rFonts w:eastAsia="宋体" w:hint="eastAsia"/>
        </w:rPr>
        <w:t>审查被告人实施被指控的犯罪时或者审判时是否达到相应法定责任年龄，应当根据户籍证明、出生证明文件、学籍卡、人口普查登记、无利害关系人的证言等证据</w:t>
      </w:r>
      <w:r>
        <w:rPr>
          <w:rFonts w:eastAsia="宋体" w:hint="eastAsia"/>
          <w:color w:val="FF0000"/>
        </w:rPr>
        <w:t>综合判断</w:t>
      </w:r>
      <w:r>
        <w:rPr>
          <w:rFonts w:eastAsia="宋体" w:hint="eastAsia"/>
        </w:rPr>
        <w:t>。证明被告人已满十二周岁、十四周岁、十六周岁、十八周岁或者不满七十五周岁的</w:t>
      </w:r>
      <w:r>
        <w:rPr>
          <w:rFonts w:eastAsia="宋体" w:hint="eastAsia"/>
          <w:color w:val="FF0000"/>
        </w:rPr>
        <w:t>证据不足的，应当作出有利于被告人的认定。</w:t>
      </w:r>
    </w:p>
    <w:bookmarkEnd w:id="19"/>
    <w:bookmarkEnd w:id="20"/>
    <w:bookmarkEnd w:id="21"/>
    <w:bookmarkEnd w:id="22"/>
    <w:p w14:paraId="0AAC19EF" w14:textId="28B995C6" w:rsidR="005D6284" w:rsidRPr="00224980" w:rsidRDefault="005D6284" w:rsidP="000C7343">
      <w:pPr>
        <w:pStyle w:val="1"/>
        <w:spacing w:before="0" w:line="240" w:lineRule="exact"/>
        <w:rPr>
          <w:rFonts w:ascii="宋体" w:eastAsia="宋体" w:hAnsi="宋体" w:hint="eastAsia"/>
          <w:b/>
          <w:bCs w:val="0"/>
          <w:sz w:val="21"/>
          <w:szCs w:val="21"/>
        </w:rPr>
      </w:pPr>
      <w:r w:rsidRPr="00224980">
        <w:rPr>
          <w:rFonts w:ascii="宋体" w:eastAsia="宋体" w:hAnsi="宋体" w:hint="eastAsia"/>
          <w:b/>
          <w:bCs w:val="0"/>
          <w:color w:val="FF0000"/>
          <w:sz w:val="21"/>
          <w:szCs w:val="21"/>
        </w:rPr>
        <w:t>考点1</w:t>
      </w:r>
      <w:r>
        <w:rPr>
          <w:rFonts w:ascii="宋体" w:eastAsia="宋体" w:hAnsi="宋体" w:hint="eastAsia"/>
          <w:b/>
          <w:bCs w:val="0"/>
          <w:color w:val="FF0000"/>
          <w:sz w:val="21"/>
          <w:szCs w:val="21"/>
        </w:rPr>
        <w:t>5</w:t>
      </w:r>
      <w:r w:rsidRPr="00224980">
        <w:rPr>
          <w:rFonts w:ascii="宋体" w:eastAsia="宋体" w:hAnsi="宋体" w:hint="eastAsia"/>
          <w:b/>
          <w:bCs w:val="0"/>
          <w:color w:val="FF0000"/>
          <w:sz w:val="21"/>
          <w:szCs w:val="21"/>
        </w:rPr>
        <w:t xml:space="preserve">  </w:t>
      </w:r>
      <w:r w:rsidRPr="00224980">
        <w:rPr>
          <w:rFonts w:ascii="宋体" w:eastAsia="宋体" w:hAnsi="宋体" w:hint="eastAsia"/>
          <w:b/>
          <w:bCs w:val="0"/>
          <w:sz w:val="21"/>
          <w:szCs w:val="21"/>
        </w:rPr>
        <w:t>刑事证据的分类</w:t>
      </w:r>
      <w:r w:rsidRPr="00224980">
        <w:rPr>
          <w:rFonts w:ascii="宋体" w:eastAsia="宋体" w:hAnsi="宋体" w:hint="eastAsia"/>
          <w:b/>
          <w:bCs w:val="0"/>
          <w:color w:val="auto"/>
          <w:sz w:val="21"/>
          <w:szCs w:val="21"/>
        </w:rPr>
        <w:t>（</w:t>
      </w:r>
      <w:r w:rsidR="008B0FD0">
        <w:rPr>
          <w:rFonts w:ascii="宋体" w:eastAsia="宋体" w:hAnsi="宋体" w:hint="eastAsia"/>
          <w:b/>
          <w:bCs w:val="0"/>
          <w:color w:val="auto"/>
          <w:sz w:val="21"/>
          <w:szCs w:val="21"/>
        </w:rPr>
        <w:t>22</w:t>
      </w:r>
      <w:r w:rsidRPr="00224980">
        <w:rPr>
          <w:rFonts w:ascii="宋体" w:eastAsia="宋体" w:hAnsi="宋体"/>
          <w:b/>
          <w:bCs w:val="0"/>
          <w:color w:val="auto"/>
          <w:sz w:val="21"/>
          <w:szCs w:val="21"/>
        </w:rPr>
        <w:t>:</w:t>
      </w:r>
      <w:r w:rsidR="008B0FD0">
        <w:rPr>
          <w:rFonts w:ascii="宋体" w:eastAsia="宋体" w:hAnsi="宋体" w:hint="eastAsia"/>
          <w:b/>
          <w:bCs w:val="0"/>
          <w:color w:val="auto"/>
          <w:sz w:val="21"/>
          <w:szCs w:val="21"/>
        </w:rPr>
        <w:t>06</w:t>
      </w:r>
      <w:r w:rsidRPr="00224980">
        <w:rPr>
          <w:rFonts w:ascii="宋体" w:eastAsia="宋体" w:hAnsi="宋体"/>
          <w:b/>
          <w:bCs w:val="0"/>
          <w:color w:val="auto"/>
          <w:sz w:val="21"/>
          <w:szCs w:val="21"/>
        </w:rPr>
        <w:t>:00</w:t>
      </w:r>
      <w:r w:rsidRPr="000A6432">
        <w:rPr>
          <w:rFonts w:ascii="宋体" w:eastAsia="宋体" w:hAnsi="宋体"/>
          <w:b/>
          <w:bCs w:val="0"/>
          <w:color w:val="auto"/>
          <w:sz w:val="21"/>
          <w:szCs w:val="21"/>
        </w:rPr>
        <w:t>-</w:t>
      </w:r>
      <w:r w:rsidR="00EC4189" w:rsidRPr="000A6432">
        <w:rPr>
          <w:rFonts w:ascii="宋体" w:eastAsia="宋体" w:hAnsi="宋体" w:hint="eastAsia"/>
          <w:b/>
          <w:bCs w:val="0"/>
          <w:color w:val="auto"/>
          <w:sz w:val="21"/>
          <w:szCs w:val="21"/>
        </w:rPr>
        <w:t>2</w:t>
      </w:r>
      <w:r w:rsidR="00F149DC" w:rsidRPr="000A6432">
        <w:rPr>
          <w:rFonts w:ascii="宋体" w:eastAsia="宋体" w:hAnsi="宋体" w:hint="eastAsia"/>
          <w:b/>
          <w:bCs w:val="0"/>
          <w:color w:val="auto"/>
          <w:sz w:val="21"/>
          <w:szCs w:val="21"/>
        </w:rPr>
        <w:t>2</w:t>
      </w:r>
      <w:r w:rsidR="000A6432" w:rsidRPr="000A6432">
        <w:rPr>
          <w:rFonts w:ascii="宋体" w:eastAsia="宋体" w:hAnsi="宋体"/>
          <w:b/>
          <w:bCs w:val="0"/>
          <w:color w:val="auto"/>
          <w:sz w:val="21"/>
          <w:szCs w:val="21"/>
        </w:rPr>
        <w:t>:</w:t>
      </w:r>
      <w:r w:rsidR="000A6432" w:rsidRPr="000A6432">
        <w:rPr>
          <w:rFonts w:ascii="宋体" w:eastAsia="宋体" w:hAnsi="宋体" w:hint="eastAsia"/>
          <w:b/>
          <w:bCs w:val="0"/>
          <w:color w:val="auto"/>
          <w:sz w:val="21"/>
          <w:szCs w:val="21"/>
        </w:rPr>
        <w:t>23</w:t>
      </w:r>
      <w:r w:rsidRPr="000A6432">
        <w:rPr>
          <w:rFonts w:ascii="宋体" w:eastAsia="宋体" w:hAnsi="宋体"/>
          <w:b/>
          <w:bCs w:val="0"/>
          <w:color w:val="auto"/>
          <w:sz w:val="21"/>
          <w:szCs w:val="21"/>
        </w:rPr>
        <w:t>:00</w:t>
      </w:r>
      <w:r w:rsidRPr="00224980">
        <w:rPr>
          <w:rFonts w:ascii="宋体" w:eastAsia="宋体" w:hAnsi="宋体"/>
          <w:b/>
          <w:bCs w:val="0"/>
          <w:color w:val="auto"/>
          <w:sz w:val="21"/>
          <w:szCs w:val="21"/>
        </w:rPr>
        <w:t>）</w:t>
      </w:r>
      <w:r w:rsidR="00F96EB9">
        <w:rPr>
          <w:rFonts w:ascii="宋体" w:eastAsia="宋体" w:hAnsi="宋体" w:hint="eastAsia"/>
          <w:b/>
          <w:bCs w:val="0"/>
          <w:color w:val="auto"/>
          <w:sz w:val="21"/>
          <w:szCs w:val="21"/>
        </w:rPr>
        <w:t>【理论分类】【不同于证据种类】</w:t>
      </w:r>
    </w:p>
    <w:p w14:paraId="076B99AE" w14:textId="77777777" w:rsidR="005D6284" w:rsidRPr="00224980" w:rsidRDefault="005D6284" w:rsidP="000C7343">
      <w:pPr>
        <w:pStyle w:val="3"/>
        <w:spacing w:line="240" w:lineRule="exact"/>
        <w:ind w:firstLineChars="200" w:firstLine="420"/>
        <w:jc w:val="both"/>
        <w:rPr>
          <w:rFonts w:eastAsia="宋体" w:hint="eastAsia"/>
          <w:sz w:val="21"/>
        </w:rPr>
      </w:pPr>
      <w:bookmarkStart w:id="23" w:name="_Toc510879012"/>
      <w:r w:rsidRPr="00224980">
        <w:rPr>
          <w:rFonts w:eastAsia="宋体" w:hint="eastAsia"/>
          <w:sz w:val="21"/>
        </w:rPr>
        <w:t>一、原始证据与传来证据</w:t>
      </w:r>
      <w:bookmarkEnd w:id="23"/>
    </w:p>
    <w:p w14:paraId="45F34FFF" w14:textId="77777777" w:rsidR="005D6284" w:rsidRPr="00224980" w:rsidRDefault="005D6284" w:rsidP="000C7343">
      <w:pPr>
        <w:spacing w:line="240" w:lineRule="exact"/>
        <w:ind w:firstLine="420"/>
        <w:rPr>
          <w:rFonts w:eastAsia="宋体" w:hint="eastAsia"/>
        </w:rPr>
      </w:pPr>
      <w:r w:rsidRPr="00224980">
        <w:rPr>
          <w:rFonts w:eastAsia="宋体" w:hint="eastAsia"/>
          <w:color w:val="FF0000"/>
        </w:rPr>
        <w:t>凡是来自原始出处，即直接来源于案件事实的证据材料，是原始证据</w:t>
      </w:r>
      <w:r w:rsidRPr="00224980">
        <w:rPr>
          <w:rFonts w:eastAsia="宋体" w:hint="eastAsia"/>
        </w:rPr>
        <w:t>。</w:t>
      </w:r>
    </w:p>
    <w:p w14:paraId="2250D4C9" w14:textId="77777777" w:rsidR="005D6284" w:rsidRPr="00224980" w:rsidRDefault="005D6284" w:rsidP="000C7343">
      <w:pPr>
        <w:spacing w:line="240" w:lineRule="exact"/>
        <w:ind w:firstLine="420"/>
        <w:rPr>
          <w:rFonts w:eastAsia="宋体" w:hint="eastAsia"/>
        </w:rPr>
      </w:pPr>
      <w:r w:rsidRPr="00224980">
        <w:rPr>
          <w:rFonts w:eastAsia="宋体" w:hint="eastAsia"/>
          <w:color w:val="FF0000"/>
        </w:rPr>
        <w:t>凡非直接来源于案件事实，而是经过中间环节中转后形成的证据，是传来证据</w:t>
      </w:r>
      <w:r w:rsidRPr="00224980">
        <w:rPr>
          <w:rFonts w:eastAsia="宋体" w:hint="eastAsia"/>
        </w:rPr>
        <w:t>。</w:t>
      </w:r>
    </w:p>
    <w:p w14:paraId="11FFF31F" w14:textId="77777777" w:rsidR="005D6284" w:rsidRPr="00224980" w:rsidRDefault="005D6284" w:rsidP="000C7343">
      <w:pPr>
        <w:spacing w:line="240" w:lineRule="exact"/>
        <w:ind w:firstLine="420"/>
        <w:rPr>
          <w:rFonts w:eastAsia="宋体" w:hint="eastAsia"/>
        </w:rPr>
      </w:pPr>
      <w:r w:rsidRPr="00224980">
        <w:rPr>
          <w:rFonts w:eastAsia="宋体" w:hint="eastAsia"/>
        </w:rPr>
        <w:t>二、言词证据与实物证据</w:t>
      </w:r>
    </w:p>
    <w:p w14:paraId="231EA668" w14:textId="77777777" w:rsidR="005D6284" w:rsidRPr="00224980" w:rsidRDefault="005D6284" w:rsidP="000C7343">
      <w:pPr>
        <w:spacing w:line="240" w:lineRule="exact"/>
        <w:ind w:firstLine="408"/>
        <w:rPr>
          <w:rFonts w:eastAsia="宋体" w:hint="eastAsia"/>
          <w:spacing w:val="-3"/>
        </w:rPr>
      </w:pPr>
      <w:r w:rsidRPr="00224980">
        <w:rPr>
          <w:rFonts w:eastAsia="宋体" w:hint="eastAsia"/>
          <w:spacing w:val="-3"/>
        </w:rPr>
        <w:t>凡是表现为人的陈述，即以言词作为表现形式的证据，是言词证据。</w:t>
      </w:r>
    </w:p>
    <w:p w14:paraId="69E2BBD2" w14:textId="77777777" w:rsidR="005D6284" w:rsidRPr="00224980" w:rsidRDefault="005D6284" w:rsidP="000C7343">
      <w:pPr>
        <w:spacing w:line="240" w:lineRule="exact"/>
        <w:ind w:firstLine="420"/>
        <w:rPr>
          <w:rFonts w:eastAsia="宋体" w:hint="eastAsia"/>
        </w:rPr>
      </w:pPr>
      <w:r w:rsidRPr="00224980">
        <w:rPr>
          <w:rFonts w:eastAsia="宋体" w:hint="eastAsia"/>
        </w:rPr>
        <w:t>凡是以实物作为表现形式的证据，是实物证据：物证、书证、勘验、检查笔录、视听资料、电子数据。</w:t>
      </w:r>
      <w:bookmarkStart w:id="24" w:name="_Toc510879013"/>
    </w:p>
    <w:p w14:paraId="3A4C518A" w14:textId="77777777" w:rsidR="005D6284" w:rsidRPr="004B2DE7" w:rsidRDefault="005D6284" w:rsidP="000C7343">
      <w:pPr>
        <w:spacing w:line="240" w:lineRule="exact"/>
        <w:ind w:firstLine="422"/>
        <w:rPr>
          <w:rFonts w:eastAsia="宋体" w:hint="eastAsia"/>
          <w:b/>
          <w:bCs/>
          <w:color w:val="FF0000"/>
        </w:rPr>
      </w:pPr>
      <w:r w:rsidRPr="004B2DE7">
        <w:rPr>
          <w:rFonts w:eastAsia="宋体" w:hint="eastAsia"/>
          <w:b/>
          <w:bCs/>
          <w:color w:val="FF0000"/>
        </w:rPr>
        <w:t>三、直接证据与间接证据</w:t>
      </w:r>
      <w:bookmarkEnd w:id="24"/>
    </w:p>
    <w:p w14:paraId="1CE0E457" w14:textId="77777777" w:rsidR="005D6284" w:rsidRPr="00E65A6D" w:rsidRDefault="005D6284" w:rsidP="000C7343">
      <w:pPr>
        <w:spacing w:line="240" w:lineRule="exact"/>
        <w:ind w:firstLine="420"/>
        <w:rPr>
          <w:rFonts w:eastAsia="宋体" w:hint="eastAsia"/>
        </w:rPr>
      </w:pPr>
      <w:bookmarkStart w:id="25" w:name="_Toc4844110"/>
      <w:bookmarkStart w:id="26" w:name="_Toc64384683"/>
      <w:r w:rsidRPr="00E65A6D">
        <w:rPr>
          <w:rFonts w:eastAsia="宋体" w:hint="eastAsia"/>
        </w:rPr>
        <w:t>直接证据</w:t>
      </w:r>
      <w:r w:rsidRPr="00E65A6D">
        <w:rPr>
          <w:rFonts w:eastAsia="宋体" w:hint="eastAsia"/>
          <w:lang w:eastAsia="zh-Hans"/>
        </w:rPr>
        <w:t>指</w:t>
      </w:r>
      <w:r w:rsidRPr="00E65A6D">
        <w:rPr>
          <w:rFonts w:eastAsia="宋体" w:hint="eastAsia"/>
          <w:b/>
          <w:bCs/>
          <w:color w:val="FF0000"/>
          <w:kern w:val="0"/>
        </w:rPr>
        <w:t>证明内容是能够单独、直接地反映案件的主要事实</w:t>
      </w:r>
      <w:r w:rsidRPr="00E65A6D">
        <w:rPr>
          <w:rFonts w:eastAsia="宋体" w:hint="eastAsia"/>
          <w:kern w:val="0"/>
        </w:rPr>
        <w:t>，</w:t>
      </w:r>
      <w:r w:rsidRPr="00E65A6D">
        <w:rPr>
          <w:rFonts w:eastAsia="宋体" w:hint="eastAsia"/>
        </w:rPr>
        <w:t>间接证据则不能单独、直接地反映案件的主要事实</w:t>
      </w:r>
      <w:r w:rsidRPr="00E65A6D">
        <w:rPr>
          <w:rFonts w:eastAsia="宋体"/>
        </w:rPr>
        <w:t>。</w:t>
      </w:r>
      <w:bookmarkEnd w:id="25"/>
      <w:bookmarkEnd w:id="26"/>
    </w:p>
    <w:p w14:paraId="6F0AB721" w14:textId="28EE4F79" w:rsidR="00327B61" w:rsidRPr="00224980" w:rsidRDefault="00327B61" w:rsidP="000C7343">
      <w:pPr>
        <w:pStyle w:val="1"/>
        <w:spacing w:before="0" w:line="240" w:lineRule="exact"/>
        <w:rPr>
          <w:rFonts w:ascii="宋体" w:eastAsia="宋体" w:hAnsi="宋体" w:hint="eastAsia"/>
          <w:b/>
          <w:bCs w:val="0"/>
          <w:sz w:val="21"/>
          <w:szCs w:val="21"/>
        </w:rPr>
      </w:pPr>
      <w:r w:rsidRPr="00224980">
        <w:rPr>
          <w:rFonts w:ascii="宋体" w:eastAsia="宋体" w:hAnsi="宋体" w:hint="eastAsia"/>
          <w:b/>
          <w:bCs w:val="0"/>
          <w:color w:val="auto"/>
          <w:sz w:val="21"/>
          <w:szCs w:val="21"/>
        </w:rPr>
        <w:t>考点1</w:t>
      </w:r>
      <w:r w:rsidR="004B2DE7">
        <w:rPr>
          <w:rFonts w:ascii="宋体" w:eastAsia="宋体" w:hAnsi="宋体" w:hint="eastAsia"/>
          <w:b/>
          <w:bCs w:val="0"/>
          <w:color w:val="auto"/>
          <w:sz w:val="21"/>
          <w:szCs w:val="21"/>
        </w:rPr>
        <w:t>6</w:t>
      </w:r>
      <w:r w:rsidRPr="00224980">
        <w:rPr>
          <w:rFonts w:ascii="宋体" w:eastAsia="宋体" w:hAnsi="宋体"/>
          <w:b/>
          <w:bCs w:val="0"/>
          <w:color w:val="auto"/>
          <w:sz w:val="21"/>
          <w:szCs w:val="21"/>
        </w:rPr>
        <w:t xml:space="preserve">  </w:t>
      </w:r>
      <w:r w:rsidRPr="00224980">
        <w:rPr>
          <w:rFonts w:ascii="宋体" w:eastAsia="宋体" w:hAnsi="宋体" w:hint="eastAsia"/>
          <w:b/>
          <w:bCs w:val="0"/>
          <w:color w:val="auto"/>
          <w:sz w:val="21"/>
          <w:szCs w:val="21"/>
        </w:rPr>
        <w:t>非法证据排除规则</w:t>
      </w:r>
      <w:bookmarkEnd w:id="0"/>
      <w:r w:rsidRPr="00224980">
        <w:rPr>
          <w:rFonts w:ascii="宋体" w:eastAsia="宋体" w:hAnsi="宋体" w:hint="eastAsia"/>
          <w:b/>
          <w:bCs w:val="0"/>
          <w:color w:val="auto"/>
          <w:sz w:val="21"/>
          <w:szCs w:val="21"/>
        </w:rPr>
        <w:t>（</w:t>
      </w:r>
      <w:r w:rsidR="004B2DE7" w:rsidRPr="000A6432">
        <w:rPr>
          <w:rFonts w:ascii="宋体" w:eastAsia="宋体" w:hAnsi="宋体" w:hint="eastAsia"/>
          <w:b/>
          <w:bCs w:val="0"/>
          <w:color w:val="auto"/>
          <w:sz w:val="21"/>
          <w:szCs w:val="21"/>
        </w:rPr>
        <w:t>2</w:t>
      </w:r>
      <w:r w:rsidR="00F149DC" w:rsidRPr="000A6432">
        <w:rPr>
          <w:rFonts w:ascii="宋体" w:eastAsia="宋体" w:hAnsi="宋体" w:hint="eastAsia"/>
          <w:b/>
          <w:bCs w:val="0"/>
          <w:color w:val="auto"/>
          <w:sz w:val="21"/>
          <w:szCs w:val="21"/>
        </w:rPr>
        <w:t>2</w:t>
      </w:r>
      <w:r w:rsidRPr="000A6432">
        <w:rPr>
          <w:rFonts w:ascii="宋体" w:eastAsia="宋体" w:hAnsi="宋体"/>
          <w:b/>
          <w:bCs w:val="0"/>
          <w:color w:val="auto"/>
          <w:sz w:val="21"/>
          <w:szCs w:val="21"/>
        </w:rPr>
        <w:t>:</w:t>
      </w:r>
      <w:r w:rsidR="000A6432" w:rsidRPr="000A6432">
        <w:rPr>
          <w:rFonts w:ascii="宋体" w:eastAsia="宋体" w:hAnsi="宋体" w:hint="eastAsia"/>
          <w:b/>
          <w:bCs w:val="0"/>
          <w:color w:val="auto"/>
          <w:sz w:val="21"/>
          <w:szCs w:val="21"/>
        </w:rPr>
        <w:t>23</w:t>
      </w:r>
      <w:r w:rsidRPr="000A6432">
        <w:rPr>
          <w:rFonts w:ascii="宋体" w:eastAsia="宋体" w:hAnsi="宋体"/>
          <w:b/>
          <w:bCs w:val="0"/>
          <w:color w:val="auto"/>
          <w:sz w:val="21"/>
          <w:szCs w:val="21"/>
        </w:rPr>
        <w:t>:00-</w:t>
      </w:r>
      <w:r w:rsidR="007F3AA2" w:rsidRPr="000A6432">
        <w:rPr>
          <w:rFonts w:ascii="宋体" w:eastAsia="宋体" w:hAnsi="宋体" w:hint="eastAsia"/>
          <w:b/>
          <w:bCs w:val="0"/>
          <w:color w:val="auto"/>
          <w:sz w:val="21"/>
          <w:szCs w:val="21"/>
        </w:rPr>
        <w:t>22</w:t>
      </w:r>
      <w:r w:rsidRPr="000A6432">
        <w:rPr>
          <w:rFonts w:ascii="宋体" w:eastAsia="宋体" w:hAnsi="宋体"/>
          <w:b/>
          <w:bCs w:val="0"/>
          <w:color w:val="auto"/>
          <w:sz w:val="21"/>
          <w:szCs w:val="21"/>
        </w:rPr>
        <w:t>:</w:t>
      </w:r>
      <w:r w:rsidR="00F2578F">
        <w:rPr>
          <w:rFonts w:ascii="宋体" w:eastAsia="宋体" w:hAnsi="宋体" w:hint="eastAsia"/>
          <w:b/>
          <w:bCs w:val="0"/>
          <w:color w:val="auto"/>
          <w:sz w:val="21"/>
          <w:szCs w:val="21"/>
        </w:rPr>
        <w:t>38</w:t>
      </w:r>
      <w:r w:rsidRPr="000A6432">
        <w:rPr>
          <w:rFonts w:ascii="宋体" w:eastAsia="宋体" w:hAnsi="宋体"/>
          <w:b/>
          <w:bCs w:val="0"/>
          <w:color w:val="auto"/>
          <w:sz w:val="21"/>
          <w:szCs w:val="21"/>
        </w:rPr>
        <w:t>:00</w:t>
      </w:r>
      <w:r w:rsidRPr="00224980">
        <w:rPr>
          <w:rFonts w:ascii="宋体" w:eastAsia="宋体" w:hAnsi="宋体"/>
          <w:b/>
          <w:bCs w:val="0"/>
          <w:color w:val="auto"/>
          <w:sz w:val="21"/>
          <w:szCs w:val="21"/>
        </w:rPr>
        <w:t>）</w:t>
      </w:r>
    </w:p>
    <w:p w14:paraId="09204DE0" w14:textId="77777777" w:rsidR="00327B61" w:rsidRPr="00224980" w:rsidRDefault="00327B61" w:rsidP="000C7343">
      <w:pPr>
        <w:pStyle w:val="3"/>
        <w:spacing w:line="240" w:lineRule="exact"/>
        <w:ind w:firstLineChars="200" w:firstLine="420"/>
        <w:jc w:val="both"/>
        <w:rPr>
          <w:rFonts w:eastAsia="宋体" w:hint="eastAsia"/>
          <w:sz w:val="21"/>
        </w:rPr>
      </w:pPr>
      <w:bookmarkStart w:id="27" w:name="_Toc510879016"/>
      <w:r w:rsidRPr="00224980">
        <w:rPr>
          <w:rFonts w:eastAsia="宋体" w:hint="eastAsia"/>
          <w:sz w:val="21"/>
        </w:rPr>
        <w:t>一、非法证据排除的范围</w:t>
      </w:r>
      <w:bookmarkEnd w:id="27"/>
    </w:p>
    <w:p w14:paraId="33BDE3FC" w14:textId="77777777" w:rsidR="00E518E0" w:rsidRDefault="00327B61" w:rsidP="000C7343">
      <w:pPr>
        <w:spacing w:line="240" w:lineRule="exact"/>
        <w:ind w:firstLine="420"/>
        <w:rPr>
          <w:rFonts w:eastAsia="宋体" w:cs="仿宋_GB2312" w:hint="eastAsia"/>
          <w:bCs/>
        </w:rPr>
      </w:pPr>
      <w:r>
        <w:rPr>
          <w:rFonts w:eastAsia="宋体" w:hint="eastAsia"/>
        </w:rPr>
        <w:t>1</w:t>
      </w:r>
      <w:r>
        <w:rPr>
          <w:rFonts w:eastAsia="宋体"/>
        </w:rPr>
        <w:t>.</w:t>
      </w:r>
      <w:r w:rsidRPr="006A0B3C">
        <w:rPr>
          <w:rFonts w:eastAsia="宋体" w:hint="eastAsia"/>
          <w:shd w:val="clear" w:color="auto" w:fill="FFFFFF"/>
        </w:rPr>
        <w:t xml:space="preserve"> </w:t>
      </w:r>
      <w:r w:rsidRPr="00224980">
        <w:rPr>
          <w:rFonts w:eastAsia="宋体" w:hint="eastAsia"/>
          <w:shd w:val="clear" w:color="auto" w:fill="FFFFFF"/>
        </w:rPr>
        <w:t>犯罪嫌疑人、被告人供述</w:t>
      </w:r>
      <w:r>
        <w:rPr>
          <w:rFonts w:eastAsia="宋体" w:hint="eastAsia"/>
          <w:shd w:val="clear" w:color="auto" w:fill="FFFFFF"/>
        </w:rPr>
        <w:t>——</w:t>
      </w:r>
      <w:r w:rsidRPr="00224980">
        <w:rPr>
          <w:rFonts w:eastAsia="宋体" w:cs="仿宋_GB2312" w:hint="eastAsia"/>
          <w:bCs/>
        </w:rPr>
        <w:t>暴力方法或变相肉刑</w:t>
      </w:r>
      <w:r>
        <w:rPr>
          <w:rFonts w:eastAsia="宋体" w:cs="仿宋_GB2312" w:hint="eastAsia"/>
          <w:bCs/>
        </w:rPr>
        <w:t>、</w:t>
      </w:r>
      <w:r w:rsidRPr="00224980">
        <w:rPr>
          <w:rFonts w:eastAsia="宋体" w:cs="仿宋_GB2312" w:hint="eastAsia"/>
          <w:bCs/>
        </w:rPr>
        <w:t>威胁</w:t>
      </w:r>
      <w:r>
        <w:rPr>
          <w:rFonts w:eastAsia="宋体" w:cs="仿宋_GB2312" w:hint="eastAsia"/>
          <w:bCs/>
        </w:rPr>
        <w:t>、</w:t>
      </w:r>
      <w:r w:rsidRPr="00224980">
        <w:rPr>
          <w:rFonts w:eastAsia="宋体" w:cs="仿宋_GB2312" w:hint="eastAsia"/>
          <w:bCs/>
        </w:rPr>
        <w:t>非法限制人身自由</w:t>
      </w:r>
      <w:r>
        <w:rPr>
          <w:rFonts w:eastAsia="宋体" w:cs="仿宋_GB2312" w:hint="eastAsia"/>
          <w:bCs/>
        </w:rPr>
        <w:t>。</w:t>
      </w:r>
    </w:p>
    <w:p w14:paraId="3758389B" w14:textId="62856D45" w:rsidR="00327B61" w:rsidRDefault="00327B61" w:rsidP="000C7343">
      <w:pPr>
        <w:spacing w:line="240" w:lineRule="exact"/>
        <w:ind w:firstLine="420"/>
        <w:rPr>
          <w:rFonts w:eastAsia="宋体" w:hint="eastAsia"/>
          <w:shd w:val="clear" w:color="auto" w:fill="FFFFFF"/>
        </w:rPr>
      </w:pPr>
      <w:r>
        <w:rPr>
          <w:rFonts w:eastAsia="宋体" w:cs="仿宋_GB2312" w:hint="eastAsia"/>
          <w:bCs/>
        </w:rPr>
        <w:t>注意</w:t>
      </w:r>
      <w:r w:rsidRPr="00224980">
        <w:rPr>
          <w:rFonts w:eastAsia="宋体" w:cs="仿宋_GB2312" w:hint="eastAsia"/>
          <w:bCs/>
        </w:rPr>
        <w:t>重复性供述</w:t>
      </w:r>
      <w:r>
        <w:rPr>
          <w:rFonts w:eastAsia="宋体" w:cs="仿宋_GB2312" w:hint="eastAsia"/>
          <w:bCs/>
        </w:rPr>
        <w:t>（</w:t>
      </w:r>
      <w:r w:rsidRPr="00224980">
        <w:rPr>
          <w:rFonts w:eastAsia="宋体" w:hint="eastAsia"/>
          <w:color w:val="FF0000"/>
        </w:rPr>
        <w:t>换人；告知；自愿</w:t>
      </w:r>
      <w:r>
        <w:rPr>
          <w:rFonts w:eastAsia="宋体" w:cs="仿宋_GB2312" w:hint="eastAsia"/>
          <w:bCs/>
        </w:rPr>
        <w:t>）</w:t>
      </w:r>
    </w:p>
    <w:p w14:paraId="4E806EEB" w14:textId="77777777" w:rsidR="00327B61" w:rsidRDefault="00327B61" w:rsidP="000C7343">
      <w:pPr>
        <w:spacing w:line="240" w:lineRule="exact"/>
        <w:ind w:firstLine="420"/>
        <w:rPr>
          <w:rFonts w:eastAsia="宋体" w:hint="eastAsia"/>
          <w:shd w:val="clear" w:color="auto" w:fill="FFFFFF"/>
        </w:rPr>
      </w:pPr>
      <w:r>
        <w:rPr>
          <w:rFonts w:eastAsia="宋体" w:hint="eastAsia"/>
          <w:shd w:val="clear" w:color="auto" w:fill="FFFFFF"/>
        </w:rPr>
        <w:t>2</w:t>
      </w:r>
      <w:r>
        <w:rPr>
          <w:rFonts w:eastAsia="宋体"/>
          <w:shd w:val="clear" w:color="auto" w:fill="FFFFFF"/>
        </w:rPr>
        <w:t>.</w:t>
      </w:r>
      <w:r w:rsidRPr="006A0B3C">
        <w:rPr>
          <w:rFonts w:eastAsia="宋体" w:hint="eastAsia"/>
          <w:shd w:val="clear" w:color="auto" w:fill="FFFFFF"/>
        </w:rPr>
        <w:t xml:space="preserve"> </w:t>
      </w:r>
      <w:r w:rsidRPr="00224980">
        <w:rPr>
          <w:rFonts w:eastAsia="宋体" w:hint="eastAsia"/>
          <w:shd w:val="clear" w:color="auto" w:fill="FFFFFF"/>
        </w:rPr>
        <w:t>证人证言、被害人陈述</w:t>
      </w:r>
      <w:r>
        <w:rPr>
          <w:rFonts w:eastAsia="宋体" w:hint="eastAsia"/>
          <w:shd w:val="clear" w:color="auto" w:fill="FFFFFF"/>
        </w:rPr>
        <w:t>——</w:t>
      </w:r>
      <w:r w:rsidRPr="006A0B3C">
        <w:rPr>
          <w:rFonts w:eastAsia="宋体" w:hint="eastAsia"/>
          <w:shd w:val="clear" w:color="auto" w:fill="FFFFFF"/>
        </w:rPr>
        <w:t>暴力</w:t>
      </w:r>
      <w:r>
        <w:rPr>
          <w:rFonts w:eastAsia="宋体" w:hint="eastAsia"/>
          <w:shd w:val="clear" w:color="auto" w:fill="FFFFFF"/>
        </w:rPr>
        <w:t>、</w:t>
      </w:r>
      <w:r w:rsidRPr="006A0B3C">
        <w:rPr>
          <w:rFonts w:eastAsia="宋体" w:hint="eastAsia"/>
          <w:shd w:val="clear" w:color="auto" w:fill="FFFFFF"/>
        </w:rPr>
        <w:t>威胁</w:t>
      </w:r>
      <w:r>
        <w:rPr>
          <w:rFonts w:eastAsia="宋体" w:hint="eastAsia"/>
          <w:shd w:val="clear" w:color="auto" w:fill="FFFFFF"/>
        </w:rPr>
        <w:t>、</w:t>
      </w:r>
      <w:r w:rsidRPr="006A0B3C">
        <w:rPr>
          <w:rFonts w:eastAsia="宋体" w:hint="eastAsia"/>
          <w:shd w:val="clear" w:color="auto" w:fill="FFFFFF"/>
        </w:rPr>
        <w:t>非法限制人身自由等</w:t>
      </w:r>
    </w:p>
    <w:p w14:paraId="302C1AB1" w14:textId="77777777" w:rsidR="00327B61" w:rsidRPr="00224980" w:rsidRDefault="00327B61" w:rsidP="000C7343">
      <w:pPr>
        <w:spacing w:line="240" w:lineRule="exact"/>
        <w:ind w:firstLine="420"/>
        <w:rPr>
          <w:rFonts w:eastAsia="宋体" w:hint="eastAsia"/>
        </w:rPr>
      </w:pPr>
      <w:r>
        <w:rPr>
          <w:rFonts w:eastAsia="宋体" w:hint="eastAsia"/>
          <w:shd w:val="clear" w:color="auto" w:fill="FFFFFF"/>
        </w:rPr>
        <w:t>3</w:t>
      </w:r>
      <w:r>
        <w:rPr>
          <w:rFonts w:eastAsia="宋体"/>
          <w:shd w:val="clear" w:color="auto" w:fill="FFFFFF"/>
        </w:rPr>
        <w:t>.</w:t>
      </w:r>
      <w:r w:rsidRPr="006A0B3C">
        <w:rPr>
          <w:rFonts w:eastAsia="宋体" w:cs="仿宋_GB2312" w:hint="eastAsia"/>
          <w:bCs/>
        </w:rPr>
        <w:t xml:space="preserve"> </w:t>
      </w:r>
      <w:r w:rsidRPr="00224980">
        <w:rPr>
          <w:rFonts w:eastAsia="宋体" w:cs="仿宋_GB2312" w:hint="eastAsia"/>
          <w:bCs/>
        </w:rPr>
        <w:t>物证、书证</w:t>
      </w:r>
      <w:r>
        <w:rPr>
          <w:rFonts w:eastAsia="宋体" w:cs="仿宋_GB2312" w:hint="eastAsia"/>
          <w:bCs/>
        </w:rPr>
        <w:t>——</w:t>
      </w:r>
      <w:r w:rsidRPr="00224980">
        <w:rPr>
          <w:rFonts w:eastAsia="宋体" w:hint="eastAsia"/>
          <w:shd w:val="clear" w:color="auto" w:fill="FFFFFF"/>
        </w:rPr>
        <w:t>不符合法定程序，可能严重影响司法公正，不能补正或作出合理解释</w:t>
      </w:r>
      <w:bookmarkEnd w:id="1"/>
      <w:bookmarkEnd w:id="2"/>
      <w:bookmarkEnd w:id="3"/>
      <w:bookmarkEnd w:id="4"/>
    </w:p>
    <w:sectPr w:rsidR="00327B61" w:rsidRPr="002249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B97A" w14:textId="77777777" w:rsidR="00A27188" w:rsidRDefault="00A27188" w:rsidP="00891FBE">
      <w:pPr>
        <w:spacing w:line="240" w:lineRule="auto"/>
        <w:ind w:firstLine="420"/>
        <w:rPr>
          <w:rFonts w:hint="eastAsia"/>
        </w:rPr>
      </w:pPr>
      <w:r>
        <w:separator/>
      </w:r>
    </w:p>
  </w:endnote>
  <w:endnote w:type="continuationSeparator" w:id="0">
    <w:p w14:paraId="7C5DE675" w14:textId="77777777" w:rsidR="00A27188" w:rsidRDefault="00A27188" w:rsidP="00891FBE">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汉仪中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0F83" w14:textId="77777777" w:rsidR="00CE4798" w:rsidRDefault="00CE4798">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D624" w14:textId="77777777" w:rsidR="00CE4798" w:rsidRDefault="00CE4798">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246D" w14:textId="77777777" w:rsidR="00CE4798" w:rsidRDefault="00CE4798">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D2AF" w14:textId="77777777" w:rsidR="00A27188" w:rsidRDefault="00A27188" w:rsidP="00891FBE">
      <w:pPr>
        <w:spacing w:line="240" w:lineRule="auto"/>
        <w:ind w:firstLine="420"/>
        <w:rPr>
          <w:rFonts w:hint="eastAsia"/>
        </w:rPr>
      </w:pPr>
      <w:r>
        <w:separator/>
      </w:r>
    </w:p>
  </w:footnote>
  <w:footnote w:type="continuationSeparator" w:id="0">
    <w:p w14:paraId="6F43C08A" w14:textId="77777777" w:rsidR="00A27188" w:rsidRDefault="00A27188" w:rsidP="00891FBE">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487A" w14:textId="77777777" w:rsidR="00CE4798" w:rsidRDefault="00CE4798">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1CF6" w14:textId="4B15B047" w:rsidR="00CE4798" w:rsidRDefault="00CE4798" w:rsidP="00E06E51">
    <w:pPr>
      <w:pStyle w:val="af"/>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AF276" w14:textId="77777777" w:rsidR="00CE4798" w:rsidRDefault="00CE4798">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5191"/>
    <w:multiLevelType w:val="hybridMultilevel"/>
    <w:tmpl w:val="1F345726"/>
    <w:lvl w:ilvl="0" w:tplc="036218C2">
      <w:start w:val="1"/>
      <w:numFmt w:val="japaneseCounting"/>
      <w:lvlText w:val="（%1）"/>
      <w:lvlJc w:val="left"/>
      <w:pPr>
        <w:ind w:left="972" w:hanging="720"/>
      </w:pPr>
      <w:rPr>
        <w:rFonts w:hint="default"/>
      </w:rPr>
    </w:lvl>
    <w:lvl w:ilvl="1" w:tplc="04090019" w:tentative="1">
      <w:start w:val="1"/>
      <w:numFmt w:val="lowerLetter"/>
      <w:lvlText w:val="%2)"/>
      <w:lvlJc w:val="left"/>
      <w:pPr>
        <w:ind w:left="1132" w:hanging="440"/>
      </w:pPr>
    </w:lvl>
    <w:lvl w:ilvl="2" w:tplc="0409001B" w:tentative="1">
      <w:start w:val="1"/>
      <w:numFmt w:val="lowerRoman"/>
      <w:lvlText w:val="%3."/>
      <w:lvlJc w:val="right"/>
      <w:pPr>
        <w:ind w:left="1572" w:hanging="440"/>
      </w:pPr>
    </w:lvl>
    <w:lvl w:ilvl="3" w:tplc="0409000F" w:tentative="1">
      <w:start w:val="1"/>
      <w:numFmt w:val="decimal"/>
      <w:lvlText w:val="%4."/>
      <w:lvlJc w:val="left"/>
      <w:pPr>
        <w:ind w:left="2012" w:hanging="440"/>
      </w:pPr>
    </w:lvl>
    <w:lvl w:ilvl="4" w:tplc="04090019" w:tentative="1">
      <w:start w:val="1"/>
      <w:numFmt w:val="lowerLetter"/>
      <w:lvlText w:val="%5)"/>
      <w:lvlJc w:val="left"/>
      <w:pPr>
        <w:ind w:left="2452" w:hanging="440"/>
      </w:pPr>
    </w:lvl>
    <w:lvl w:ilvl="5" w:tplc="0409001B" w:tentative="1">
      <w:start w:val="1"/>
      <w:numFmt w:val="lowerRoman"/>
      <w:lvlText w:val="%6."/>
      <w:lvlJc w:val="right"/>
      <w:pPr>
        <w:ind w:left="2892" w:hanging="440"/>
      </w:pPr>
    </w:lvl>
    <w:lvl w:ilvl="6" w:tplc="0409000F" w:tentative="1">
      <w:start w:val="1"/>
      <w:numFmt w:val="decimal"/>
      <w:lvlText w:val="%7."/>
      <w:lvlJc w:val="left"/>
      <w:pPr>
        <w:ind w:left="3332" w:hanging="440"/>
      </w:pPr>
    </w:lvl>
    <w:lvl w:ilvl="7" w:tplc="04090019" w:tentative="1">
      <w:start w:val="1"/>
      <w:numFmt w:val="lowerLetter"/>
      <w:lvlText w:val="%8)"/>
      <w:lvlJc w:val="left"/>
      <w:pPr>
        <w:ind w:left="3772" w:hanging="440"/>
      </w:pPr>
    </w:lvl>
    <w:lvl w:ilvl="8" w:tplc="0409001B" w:tentative="1">
      <w:start w:val="1"/>
      <w:numFmt w:val="lowerRoman"/>
      <w:lvlText w:val="%9."/>
      <w:lvlJc w:val="right"/>
      <w:pPr>
        <w:ind w:left="4212" w:hanging="440"/>
      </w:pPr>
    </w:lvl>
  </w:abstractNum>
  <w:abstractNum w:abstractNumId="1" w15:restartNumberingAfterBreak="0">
    <w:nsid w:val="35E37D05"/>
    <w:multiLevelType w:val="multilevel"/>
    <w:tmpl w:val="35E37D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18585361">
    <w:abstractNumId w:val="1"/>
  </w:num>
  <w:num w:numId="2" w16cid:durableId="15990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BE"/>
    <w:rsid w:val="000023CA"/>
    <w:rsid w:val="000408BA"/>
    <w:rsid w:val="000666BB"/>
    <w:rsid w:val="000968BE"/>
    <w:rsid w:val="000A6432"/>
    <w:rsid w:val="000C54D2"/>
    <w:rsid w:val="000C7343"/>
    <w:rsid w:val="00106B6C"/>
    <w:rsid w:val="00146AA0"/>
    <w:rsid w:val="0014776B"/>
    <w:rsid w:val="00166FA7"/>
    <w:rsid w:val="0017586F"/>
    <w:rsid w:val="00176C86"/>
    <w:rsid w:val="00183CAA"/>
    <w:rsid w:val="001B5AE3"/>
    <w:rsid w:val="001C42B5"/>
    <w:rsid w:val="001F0145"/>
    <w:rsid w:val="00210C4D"/>
    <w:rsid w:val="00221D8C"/>
    <w:rsid w:val="00222677"/>
    <w:rsid w:val="002450D8"/>
    <w:rsid w:val="00254145"/>
    <w:rsid w:val="00283B29"/>
    <w:rsid w:val="00294CEC"/>
    <w:rsid w:val="002A45BB"/>
    <w:rsid w:val="002D2260"/>
    <w:rsid w:val="002E41A5"/>
    <w:rsid w:val="002E57E3"/>
    <w:rsid w:val="00305EEC"/>
    <w:rsid w:val="003178F7"/>
    <w:rsid w:val="00327B61"/>
    <w:rsid w:val="00334F90"/>
    <w:rsid w:val="00344FCF"/>
    <w:rsid w:val="003504C6"/>
    <w:rsid w:val="003B42BC"/>
    <w:rsid w:val="00406A32"/>
    <w:rsid w:val="0040760F"/>
    <w:rsid w:val="00407DCF"/>
    <w:rsid w:val="00412D27"/>
    <w:rsid w:val="00450081"/>
    <w:rsid w:val="0045273C"/>
    <w:rsid w:val="00457781"/>
    <w:rsid w:val="0047582F"/>
    <w:rsid w:val="00496540"/>
    <w:rsid w:val="004B148D"/>
    <w:rsid w:val="004B1F6F"/>
    <w:rsid w:val="004B2DE7"/>
    <w:rsid w:val="00502C23"/>
    <w:rsid w:val="00503113"/>
    <w:rsid w:val="00516F3A"/>
    <w:rsid w:val="00522338"/>
    <w:rsid w:val="00531223"/>
    <w:rsid w:val="00532865"/>
    <w:rsid w:val="00534F22"/>
    <w:rsid w:val="005367E6"/>
    <w:rsid w:val="00557CA9"/>
    <w:rsid w:val="00570517"/>
    <w:rsid w:val="00574B57"/>
    <w:rsid w:val="005833E3"/>
    <w:rsid w:val="005876F0"/>
    <w:rsid w:val="005B6D6F"/>
    <w:rsid w:val="005D6284"/>
    <w:rsid w:val="005E15AB"/>
    <w:rsid w:val="005E7082"/>
    <w:rsid w:val="006518E7"/>
    <w:rsid w:val="00661299"/>
    <w:rsid w:val="006915AD"/>
    <w:rsid w:val="006A0BF0"/>
    <w:rsid w:val="006B7AB7"/>
    <w:rsid w:val="006D6C27"/>
    <w:rsid w:val="006E15EE"/>
    <w:rsid w:val="006E6E29"/>
    <w:rsid w:val="006F44BF"/>
    <w:rsid w:val="00701EEB"/>
    <w:rsid w:val="0076088F"/>
    <w:rsid w:val="007A0434"/>
    <w:rsid w:val="007B661F"/>
    <w:rsid w:val="007C3366"/>
    <w:rsid w:val="007F08A1"/>
    <w:rsid w:val="007F3AA2"/>
    <w:rsid w:val="007F7E0F"/>
    <w:rsid w:val="008244CC"/>
    <w:rsid w:val="00833B2C"/>
    <w:rsid w:val="008520F8"/>
    <w:rsid w:val="008600D0"/>
    <w:rsid w:val="00876EF9"/>
    <w:rsid w:val="00891FBE"/>
    <w:rsid w:val="008B0FD0"/>
    <w:rsid w:val="008E1775"/>
    <w:rsid w:val="00900FE7"/>
    <w:rsid w:val="00901C2E"/>
    <w:rsid w:val="009126D3"/>
    <w:rsid w:val="00940920"/>
    <w:rsid w:val="009529E7"/>
    <w:rsid w:val="0096166E"/>
    <w:rsid w:val="00962C54"/>
    <w:rsid w:val="00984024"/>
    <w:rsid w:val="009D3AE9"/>
    <w:rsid w:val="00A27188"/>
    <w:rsid w:val="00A430B0"/>
    <w:rsid w:val="00A43A56"/>
    <w:rsid w:val="00A56C18"/>
    <w:rsid w:val="00A7156C"/>
    <w:rsid w:val="00AB7CB8"/>
    <w:rsid w:val="00AD6FF3"/>
    <w:rsid w:val="00B4586B"/>
    <w:rsid w:val="00B837B3"/>
    <w:rsid w:val="00B971D6"/>
    <w:rsid w:val="00B974E5"/>
    <w:rsid w:val="00BC5ECC"/>
    <w:rsid w:val="00BE250C"/>
    <w:rsid w:val="00BF7C97"/>
    <w:rsid w:val="00C00D6A"/>
    <w:rsid w:val="00C35A03"/>
    <w:rsid w:val="00C427BC"/>
    <w:rsid w:val="00C63CD9"/>
    <w:rsid w:val="00C73F58"/>
    <w:rsid w:val="00CC71CD"/>
    <w:rsid w:val="00CE4798"/>
    <w:rsid w:val="00D17AF9"/>
    <w:rsid w:val="00D205D0"/>
    <w:rsid w:val="00D25978"/>
    <w:rsid w:val="00D308F1"/>
    <w:rsid w:val="00D56675"/>
    <w:rsid w:val="00D64EFE"/>
    <w:rsid w:val="00D7659A"/>
    <w:rsid w:val="00D83714"/>
    <w:rsid w:val="00D95DA3"/>
    <w:rsid w:val="00DA66C5"/>
    <w:rsid w:val="00DD615E"/>
    <w:rsid w:val="00DE5155"/>
    <w:rsid w:val="00E02D47"/>
    <w:rsid w:val="00E06E51"/>
    <w:rsid w:val="00E2118D"/>
    <w:rsid w:val="00E516D1"/>
    <w:rsid w:val="00E518E0"/>
    <w:rsid w:val="00E6549B"/>
    <w:rsid w:val="00E70E40"/>
    <w:rsid w:val="00EA1D62"/>
    <w:rsid w:val="00EB158B"/>
    <w:rsid w:val="00EC4189"/>
    <w:rsid w:val="00EC6703"/>
    <w:rsid w:val="00EF7D01"/>
    <w:rsid w:val="00F149DC"/>
    <w:rsid w:val="00F15ACB"/>
    <w:rsid w:val="00F2578F"/>
    <w:rsid w:val="00F96EB9"/>
    <w:rsid w:val="00FC0372"/>
    <w:rsid w:val="00FD11BE"/>
    <w:rsid w:val="00FD3819"/>
    <w:rsid w:val="00FD6CEB"/>
    <w:rsid w:val="00FE3160"/>
    <w:rsid w:val="00FF217D"/>
    <w:rsid w:val="00FF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B5421"/>
  <w15:chartTrackingRefBased/>
  <w15:docId w15:val="{C362CFEB-7413-4710-9192-B99B4C09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BE"/>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891FBE"/>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891FBE"/>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891FBE"/>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891FBE"/>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rsid w:val="00891FBE"/>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891FBE"/>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891FBE"/>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891FBE"/>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891FBE"/>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sid w:val="00891FBE"/>
    <w:rPr>
      <w:rFonts w:ascii="宋体" w:eastAsia="汉仪中黑简" w:hAnsi="宋体" w:cs="宋体"/>
      <w:bCs/>
      <w:color w:val="000000" w:themeColor="text1"/>
      <w:szCs w:val="21"/>
    </w:rPr>
  </w:style>
  <w:style w:type="paragraph" w:styleId="TOC7">
    <w:name w:val="toc 7"/>
    <w:basedOn w:val="a"/>
    <w:next w:val="a"/>
    <w:uiPriority w:val="39"/>
    <w:unhideWhenUsed/>
    <w:qFormat/>
    <w:rsid w:val="00891FBE"/>
    <w:pPr>
      <w:ind w:left="1260"/>
    </w:pPr>
  </w:style>
  <w:style w:type="paragraph" w:styleId="a3">
    <w:name w:val="Document Map"/>
    <w:basedOn w:val="a"/>
    <w:link w:val="a4"/>
    <w:uiPriority w:val="99"/>
    <w:semiHidden/>
    <w:unhideWhenUsed/>
    <w:qFormat/>
    <w:rsid w:val="00891FBE"/>
    <w:rPr>
      <w:sz w:val="24"/>
      <w:szCs w:val="24"/>
    </w:rPr>
  </w:style>
  <w:style w:type="character" w:customStyle="1" w:styleId="a4">
    <w:name w:val="文档结构图 字符"/>
    <w:basedOn w:val="a0"/>
    <w:link w:val="a3"/>
    <w:uiPriority w:val="99"/>
    <w:semiHidden/>
    <w:qFormat/>
    <w:rsid w:val="00891FBE"/>
    <w:rPr>
      <w:rFonts w:ascii="宋体" w:eastAsia="汉仪书宋二简" w:hAnsi="宋体" w:cs="宋体"/>
      <w:color w:val="000000" w:themeColor="text1"/>
      <w:sz w:val="24"/>
      <w:szCs w:val="24"/>
    </w:rPr>
  </w:style>
  <w:style w:type="paragraph" w:styleId="a5">
    <w:name w:val="annotation text"/>
    <w:basedOn w:val="a"/>
    <w:link w:val="a6"/>
    <w:uiPriority w:val="99"/>
    <w:semiHidden/>
    <w:unhideWhenUsed/>
    <w:qFormat/>
    <w:rsid w:val="00891FBE"/>
    <w:pPr>
      <w:jc w:val="left"/>
    </w:pPr>
  </w:style>
  <w:style w:type="character" w:customStyle="1" w:styleId="a6">
    <w:name w:val="批注文字 字符"/>
    <w:basedOn w:val="a0"/>
    <w:link w:val="a5"/>
    <w:uiPriority w:val="99"/>
    <w:semiHidden/>
    <w:qFormat/>
    <w:rsid w:val="00891FBE"/>
    <w:rPr>
      <w:rFonts w:ascii="宋体" w:eastAsia="汉仪书宋二简" w:hAnsi="宋体" w:cs="宋体"/>
      <w:color w:val="000000" w:themeColor="text1"/>
      <w:szCs w:val="21"/>
    </w:rPr>
  </w:style>
  <w:style w:type="paragraph" w:styleId="TOC5">
    <w:name w:val="toc 5"/>
    <w:basedOn w:val="a"/>
    <w:next w:val="a"/>
    <w:uiPriority w:val="39"/>
    <w:unhideWhenUsed/>
    <w:qFormat/>
    <w:rsid w:val="00891FBE"/>
    <w:pPr>
      <w:ind w:left="840"/>
    </w:pPr>
  </w:style>
  <w:style w:type="paragraph" w:styleId="TOC3">
    <w:name w:val="toc 3"/>
    <w:basedOn w:val="a"/>
    <w:next w:val="a"/>
    <w:uiPriority w:val="39"/>
    <w:unhideWhenUsed/>
    <w:qFormat/>
    <w:rsid w:val="00891FBE"/>
    <w:pPr>
      <w:ind w:left="420"/>
    </w:pPr>
  </w:style>
  <w:style w:type="paragraph" w:styleId="a7">
    <w:name w:val="Plain Text"/>
    <w:basedOn w:val="a"/>
    <w:link w:val="a8"/>
    <w:uiPriority w:val="99"/>
    <w:unhideWhenUsed/>
    <w:qFormat/>
    <w:rsid w:val="00891FBE"/>
    <w:rPr>
      <w:rFonts w:hAnsi="Courier New" w:cs="Courier New"/>
      <w:kern w:val="0"/>
      <w:sz w:val="20"/>
    </w:rPr>
  </w:style>
  <w:style w:type="character" w:customStyle="1" w:styleId="a8">
    <w:name w:val="纯文本 字符"/>
    <w:basedOn w:val="a0"/>
    <w:link w:val="a7"/>
    <w:uiPriority w:val="99"/>
    <w:qFormat/>
    <w:rsid w:val="00891FBE"/>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891FBE"/>
    <w:pPr>
      <w:ind w:left="1470"/>
    </w:pPr>
  </w:style>
  <w:style w:type="paragraph" w:styleId="a9">
    <w:name w:val="endnote text"/>
    <w:basedOn w:val="a"/>
    <w:link w:val="aa"/>
    <w:uiPriority w:val="99"/>
    <w:semiHidden/>
    <w:unhideWhenUsed/>
    <w:qFormat/>
    <w:rsid w:val="00891FBE"/>
    <w:pPr>
      <w:snapToGrid w:val="0"/>
      <w:jc w:val="left"/>
    </w:pPr>
  </w:style>
  <w:style w:type="character" w:customStyle="1" w:styleId="aa">
    <w:name w:val="尾注文本 字符"/>
    <w:basedOn w:val="a0"/>
    <w:link w:val="a9"/>
    <w:uiPriority w:val="99"/>
    <w:semiHidden/>
    <w:qFormat/>
    <w:rsid w:val="00891FBE"/>
    <w:rPr>
      <w:rFonts w:ascii="宋体" w:eastAsia="汉仪书宋二简" w:hAnsi="宋体" w:cs="宋体"/>
      <w:color w:val="000000" w:themeColor="text1"/>
      <w:szCs w:val="21"/>
    </w:rPr>
  </w:style>
  <w:style w:type="paragraph" w:styleId="ab">
    <w:name w:val="Balloon Text"/>
    <w:basedOn w:val="a"/>
    <w:link w:val="ac"/>
    <w:uiPriority w:val="99"/>
    <w:semiHidden/>
    <w:unhideWhenUsed/>
    <w:qFormat/>
    <w:rsid w:val="00891FBE"/>
    <w:rPr>
      <w:sz w:val="18"/>
      <w:szCs w:val="18"/>
    </w:rPr>
  </w:style>
  <w:style w:type="character" w:customStyle="1" w:styleId="ac">
    <w:name w:val="批注框文本 字符"/>
    <w:basedOn w:val="a0"/>
    <w:link w:val="ab"/>
    <w:uiPriority w:val="99"/>
    <w:semiHidden/>
    <w:qFormat/>
    <w:rsid w:val="00891FBE"/>
    <w:rPr>
      <w:rFonts w:ascii="宋体" w:eastAsia="汉仪书宋二简" w:hAnsi="宋体" w:cs="宋体"/>
      <w:color w:val="000000" w:themeColor="text1"/>
      <w:sz w:val="18"/>
      <w:szCs w:val="18"/>
    </w:rPr>
  </w:style>
  <w:style w:type="paragraph" w:styleId="ad">
    <w:name w:val="footer"/>
    <w:basedOn w:val="a"/>
    <w:link w:val="ae"/>
    <w:uiPriority w:val="99"/>
    <w:unhideWhenUsed/>
    <w:qFormat/>
    <w:rsid w:val="00891FBE"/>
    <w:pPr>
      <w:tabs>
        <w:tab w:val="clear" w:pos="420"/>
        <w:tab w:val="center" w:pos="4153"/>
        <w:tab w:val="right" w:pos="8306"/>
      </w:tabs>
      <w:snapToGrid w:val="0"/>
      <w:jc w:val="left"/>
    </w:pPr>
    <w:rPr>
      <w:sz w:val="18"/>
      <w:szCs w:val="18"/>
    </w:rPr>
  </w:style>
  <w:style w:type="character" w:customStyle="1" w:styleId="ae">
    <w:name w:val="页脚 字符"/>
    <w:basedOn w:val="a0"/>
    <w:link w:val="ad"/>
    <w:uiPriority w:val="99"/>
    <w:qFormat/>
    <w:rsid w:val="00891FBE"/>
    <w:rPr>
      <w:rFonts w:ascii="宋体" w:eastAsia="汉仪书宋二简" w:hAnsi="宋体" w:cs="宋体"/>
      <w:color w:val="000000" w:themeColor="text1"/>
      <w:sz w:val="18"/>
      <w:szCs w:val="18"/>
    </w:rPr>
  </w:style>
  <w:style w:type="paragraph" w:styleId="af">
    <w:name w:val="header"/>
    <w:basedOn w:val="a"/>
    <w:link w:val="af0"/>
    <w:uiPriority w:val="99"/>
    <w:unhideWhenUsed/>
    <w:qFormat/>
    <w:rsid w:val="00891FBE"/>
    <w:pPr>
      <w:pBdr>
        <w:bottom w:val="single" w:sz="6" w:space="1" w:color="auto"/>
      </w:pBdr>
      <w:tabs>
        <w:tab w:val="clear" w:pos="420"/>
        <w:tab w:val="center" w:pos="4153"/>
        <w:tab w:val="right" w:pos="8306"/>
      </w:tabs>
      <w:snapToGrid w:val="0"/>
      <w:jc w:val="center"/>
    </w:pPr>
    <w:rPr>
      <w:sz w:val="18"/>
      <w:szCs w:val="18"/>
    </w:rPr>
  </w:style>
  <w:style w:type="character" w:customStyle="1" w:styleId="af0">
    <w:name w:val="页眉 字符"/>
    <w:basedOn w:val="a0"/>
    <w:link w:val="af"/>
    <w:uiPriority w:val="99"/>
    <w:qFormat/>
    <w:rsid w:val="00891FBE"/>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891FBE"/>
  </w:style>
  <w:style w:type="paragraph" w:styleId="TOC4">
    <w:name w:val="toc 4"/>
    <w:basedOn w:val="a"/>
    <w:next w:val="a"/>
    <w:uiPriority w:val="39"/>
    <w:unhideWhenUsed/>
    <w:qFormat/>
    <w:rsid w:val="00891FBE"/>
    <w:pPr>
      <w:ind w:left="630"/>
    </w:pPr>
  </w:style>
  <w:style w:type="paragraph" w:styleId="af1">
    <w:name w:val="footnote text"/>
    <w:basedOn w:val="a"/>
    <w:link w:val="af2"/>
    <w:semiHidden/>
    <w:unhideWhenUsed/>
    <w:qFormat/>
    <w:rsid w:val="00891FBE"/>
    <w:pPr>
      <w:snapToGrid w:val="0"/>
      <w:jc w:val="left"/>
    </w:pPr>
    <w:rPr>
      <w:sz w:val="18"/>
      <w:szCs w:val="18"/>
    </w:rPr>
  </w:style>
  <w:style w:type="character" w:customStyle="1" w:styleId="af2">
    <w:name w:val="脚注文本 字符"/>
    <w:basedOn w:val="a0"/>
    <w:link w:val="af1"/>
    <w:semiHidden/>
    <w:qFormat/>
    <w:rsid w:val="00891FBE"/>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891FBE"/>
    <w:pPr>
      <w:ind w:left="1050"/>
    </w:pPr>
  </w:style>
  <w:style w:type="paragraph" w:styleId="TOC2">
    <w:name w:val="toc 2"/>
    <w:basedOn w:val="a"/>
    <w:next w:val="a"/>
    <w:uiPriority w:val="39"/>
    <w:unhideWhenUsed/>
    <w:qFormat/>
    <w:rsid w:val="00891FBE"/>
    <w:pPr>
      <w:ind w:left="210"/>
    </w:pPr>
  </w:style>
  <w:style w:type="paragraph" w:styleId="TOC9">
    <w:name w:val="toc 9"/>
    <w:basedOn w:val="a"/>
    <w:next w:val="a"/>
    <w:uiPriority w:val="39"/>
    <w:unhideWhenUsed/>
    <w:qFormat/>
    <w:rsid w:val="00891FBE"/>
    <w:pPr>
      <w:ind w:left="1680"/>
    </w:pPr>
  </w:style>
  <w:style w:type="paragraph" w:styleId="HTML">
    <w:name w:val="HTML Preformatted"/>
    <w:basedOn w:val="a"/>
    <w:link w:val="HTML0"/>
    <w:uiPriority w:val="99"/>
    <w:semiHidden/>
    <w:unhideWhenUsed/>
    <w:qFormat/>
    <w:rsid w:val="00891FBE"/>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uiPriority w:val="99"/>
    <w:semiHidden/>
    <w:qFormat/>
    <w:rsid w:val="00891FBE"/>
    <w:rPr>
      <w:rFonts w:ascii="Courier New" w:hAnsi="Courier New" w:cs="Courier New"/>
      <w:kern w:val="0"/>
      <w:sz w:val="20"/>
      <w:szCs w:val="20"/>
    </w:rPr>
  </w:style>
  <w:style w:type="paragraph" w:styleId="af3">
    <w:name w:val="Normal (Web)"/>
    <w:basedOn w:val="a"/>
    <w:uiPriority w:val="99"/>
    <w:unhideWhenUsed/>
    <w:qFormat/>
    <w:rsid w:val="00891FBE"/>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rsid w:val="00891FBE"/>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qFormat/>
    <w:rsid w:val="00891FBE"/>
    <w:rPr>
      <w:rFonts w:asciiTheme="majorHAnsi" w:eastAsiaTheme="majorEastAsia" w:hAnsiTheme="majorHAnsi" w:cstheme="majorBidi"/>
      <w:b/>
      <w:bCs/>
      <w:color w:val="000000" w:themeColor="text1"/>
      <w:sz w:val="32"/>
      <w:szCs w:val="32"/>
    </w:rPr>
  </w:style>
  <w:style w:type="paragraph" w:styleId="af6">
    <w:name w:val="annotation subject"/>
    <w:basedOn w:val="a5"/>
    <w:next w:val="a5"/>
    <w:link w:val="af7"/>
    <w:uiPriority w:val="99"/>
    <w:semiHidden/>
    <w:unhideWhenUsed/>
    <w:qFormat/>
    <w:rsid w:val="00891FBE"/>
    <w:rPr>
      <w:b/>
      <w:bCs/>
    </w:rPr>
  </w:style>
  <w:style w:type="character" w:customStyle="1" w:styleId="af7">
    <w:name w:val="批注主题 字符"/>
    <w:basedOn w:val="a6"/>
    <w:link w:val="af6"/>
    <w:uiPriority w:val="99"/>
    <w:semiHidden/>
    <w:qFormat/>
    <w:rsid w:val="00891FBE"/>
    <w:rPr>
      <w:rFonts w:ascii="宋体" w:eastAsia="汉仪书宋二简" w:hAnsi="宋体" w:cs="宋体"/>
      <w:b/>
      <w:bCs/>
      <w:color w:val="000000" w:themeColor="text1"/>
      <w:szCs w:val="21"/>
    </w:rPr>
  </w:style>
  <w:style w:type="table" w:styleId="af8">
    <w:name w:val="Table Grid"/>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891FBE"/>
    <w:rPr>
      <w:b/>
      <w:bCs/>
    </w:rPr>
  </w:style>
  <w:style w:type="character" w:styleId="afa">
    <w:name w:val="endnote reference"/>
    <w:basedOn w:val="a0"/>
    <w:uiPriority w:val="99"/>
    <w:semiHidden/>
    <w:unhideWhenUsed/>
    <w:qFormat/>
    <w:rsid w:val="00891FBE"/>
    <w:rPr>
      <w:vertAlign w:val="superscript"/>
    </w:rPr>
  </w:style>
  <w:style w:type="character" w:styleId="afb">
    <w:name w:val="page number"/>
    <w:basedOn w:val="a0"/>
    <w:uiPriority w:val="99"/>
    <w:semiHidden/>
    <w:unhideWhenUsed/>
    <w:qFormat/>
    <w:rsid w:val="00891FBE"/>
  </w:style>
  <w:style w:type="character" w:styleId="afc">
    <w:name w:val="Emphasis"/>
    <w:basedOn w:val="a0"/>
    <w:uiPriority w:val="20"/>
    <w:qFormat/>
    <w:rsid w:val="00891FBE"/>
    <w:rPr>
      <w:i/>
      <w:iCs/>
    </w:rPr>
  </w:style>
  <w:style w:type="character" w:styleId="afd">
    <w:name w:val="Hyperlink"/>
    <w:basedOn w:val="a0"/>
    <w:uiPriority w:val="99"/>
    <w:unhideWhenUsed/>
    <w:qFormat/>
    <w:rsid w:val="00891FBE"/>
    <w:rPr>
      <w:color w:val="0563C1" w:themeColor="hyperlink"/>
      <w:u w:val="single"/>
    </w:rPr>
  </w:style>
  <w:style w:type="character" w:styleId="afe">
    <w:name w:val="annotation reference"/>
    <w:basedOn w:val="a0"/>
    <w:uiPriority w:val="99"/>
    <w:semiHidden/>
    <w:unhideWhenUsed/>
    <w:qFormat/>
    <w:rsid w:val="00891FBE"/>
    <w:rPr>
      <w:sz w:val="21"/>
      <w:szCs w:val="21"/>
    </w:rPr>
  </w:style>
  <w:style w:type="character" w:styleId="aff">
    <w:name w:val="footnote reference"/>
    <w:basedOn w:val="a0"/>
    <w:semiHidden/>
    <w:unhideWhenUsed/>
    <w:qFormat/>
    <w:rsid w:val="00891FBE"/>
    <w:rPr>
      <w:vertAlign w:val="superscript"/>
    </w:rPr>
  </w:style>
  <w:style w:type="paragraph" w:styleId="aff0">
    <w:name w:val="List Paragraph"/>
    <w:basedOn w:val="a"/>
    <w:uiPriority w:val="34"/>
    <w:qFormat/>
    <w:rsid w:val="00891FBE"/>
    <w:pPr>
      <w:ind w:firstLine="420"/>
    </w:pPr>
  </w:style>
  <w:style w:type="table" w:customStyle="1" w:styleId="11">
    <w:name w:val="网格型1"/>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rsid w:val="00891FBE"/>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891FBE"/>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891FBE"/>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rsid w:val="00891FBE"/>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rsid w:val="00891FBE"/>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891FBE"/>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891FBE"/>
    <w:rPr>
      <w:rFonts w:ascii="宋体" w:eastAsia="汉仪书宋二简" w:hAnsi="宋体" w:cs="宋体"/>
      <w:color w:val="000000" w:themeColor="text1"/>
      <w:szCs w:val="21"/>
    </w:rPr>
  </w:style>
  <w:style w:type="character" w:customStyle="1" w:styleId="apple-converted-space">
    <w:name w:val="apple-converted-space"/>
    <w:basedOn w:val="a0"/>
    <w:qFormat/>
    <w:rsid w:val="00891FBE"/>
  </w:style>
  <w:style w:type="table" w:customStyle="1" w:styleId="110">
    <w:name w:val="网格型11"/>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891FBE"/>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891FB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891FBE"/>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891FBE"/>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891FBE"/>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891FBE"/>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891FBE"/>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1654</Words>
  <Characters>1705</Characters>
  <Application>Microsoft Office Word</Application>
  <DocSecurity>0</DocSecurity>
  <Lines>63</Lines>
  <Paragraphs>73</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129</cp:revision>
  <dcterms:created xsi:type="dcterms:W3CDTF">2023-04-28T12:47:00Z</dcterms:created>
  <dcterms:modified xsi:type="dcterms:W3CDTF">2025-04-10T14:39:00Z</dcterms:modified>
</cp:coreProperties>
</file>