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1C94" w14:textId="77777777" w:rsidR="0070580C" w:rsidRDefault="00000000">
      <w:pPr>
        <w:pStyle w:val="1"/>
        <w:spacing w:before="0" w:line="240" w:lineRule="auto"/>
        <w:rPr>
          <w:rFonts w:ascii="宋体" w:eastAsia="宋体" w:hAnsi="宋体" w:hint="eastAsia"/>
          <w:b/>
          <w:bCs w:val="0"/>
          <w:color w:val="auto"/>
          <w:sz w:val="22"/>
          <w:szCs w:val="22"/>
        </w:rPr>
      </w:pPr>
      <w:bookmarkStart w:id="0" w:name="_Toc64384674"/>
      <w:bookmarkStart w:id="1" w:name="_Toc126331767"/>
      <w:bookmarkStart w:id="2" w:name="_Toc4844101"/>
      <w:bookmarkStart w:id="3" w:name="_Toc4844104"/>
      <w:bookmarkStart w:id="4" w:name="_Toc64384677"/>
      <w:bookmarkStart w:id="5" w:name="_Toc126331770"/>
      <w:bookmarkStart w:id="6" w:name="_Toc126331771"/>
      <w:r>
        <w:rPr>
          <w:rFonts w:ascii="宋体" w:eastAsia="宋体" w:hAnsi="宋体" w:hint="eastAsia"/>
          <w:b/>
          <w:bCs w:val="0"/>
          <w:color w:val="auto"/>
          <w:sz w:val="22"/>
          <w:szCs w:val="22"/>
        </w:rPr>
        <w:t>考点6  特殊管辖</w:t>
      </w:r>
      <w:bookmarkEnd w:id="0"/>
      <w:bookmarkEnd w:id="1"/>
      <w:bookmarkEnd w:id="2"/>
      <w:r>
        <w:rPr>
          <w:rFonts w:ascii="宋体" w:eastAsia="宋体" w:hAnsi="宋体" w:hint="eastAsia"/>
          <w:b/>
          <w:bCs w:val="0"/>
          <w:color w:val="auto"/>
          <w:sz w:val="22"/>
          <w:szCs w:val="22"/>
        </w:rPr>
        <w:t>（19</w:t>
      </w:r>
      <w:r>
        <w:rPr>
          <w:rFonts w:ascii="宋体" w:eastAsia="宋体" w:hAnsi="宋体"/>
          <w:b/>
          <w:bCs w:val="0"/>
          <w:color w:val="auto"/>
          <w:sz w:val="22"/>
          <w:szCs w:val="22"/>
        </w:rPr>
        <w:t>:</w:t>
      </w:r>
      <w:r>
        <w:rPr>
          <w:rFonts w:ascii="宋体" w:eastAsia="宋体" w:hAnsi="宋体" w:hint="eastAsia"/>
          <w:b/>
          <w:bCs w:val="0"/>
          <w:color w:val="auto"/>
          <w:sz w:val="22"/>
          <w:szCs w:val="22"/>
        </w:rPr>
        <w:t>30</w:t>
      </w:r>
      <w:r>
        <w:rPr>
          <w:rFonts w:ascii="宋体" w:eastAsia="宋体" w:hAnsi="宋体"/>
          <w:b/>
          <w:bCs w:val="0"/>
          <w:color w:val="auto"/>
          <w:sz w:val="22"/>
          <w:szCs w:val="22"/>
        </w:rPr>
        <w:t>:00-</w:t>
      </w:r>
      <w:r>
        <w:rPr>
          <w:rFonts w:ascii="宋体" w:eastAsia="宋体" w:hAnsi="宋体" w:hint="eastAsia"/>
          <w:b/>
          <w:bCs w:val="0"/>
          <w:color w:val="auto"/>
          <w:sz w:val="22"/>
          <w:szCs w:val="22"/>
        </w:rPr>
        <w:t>19</w:t>
      </w:r>
      <w:r>
        <w:rPr>
          <w:rFonts w:ascii="宋体" w:eastAsia="宋体" w:hAnsi="宋体"/>
          <w:b/>
          <w:bCs w:val="0"/>
          <w:color w:val="auto"/>
          <w:sz w:val="22"/>
          <w:szCs w:val="22"/>
        </w:rPr>
        <w:t>:</w:t>
      </w:r>
      <w:r>
        <w:rPr>
          <w:rFonts w:ascii="宋体" w:eastAsia="宋体" w:hAnsi="宋体" w:hint="eastAsia"/>
          <w:b/>
          <w:bCs w:val="0"/>
          <w:color w:val="auto"/>
          <w:sz w:val="22"/>
          <w:szCs w:val="22"/>
        </w:rPr>
        <w:t>44</w:t>
      </w:r>
      <w:r>
        <w:rPr>
          <w:rFonts w:ascii="宋体" w:eastAsia="宋体" w:hAnsi="宋体"/>
          <w:b/>
          <w:bCs w:val="0"/>
          <w:color w:val="auto"/>
          <w:sz w:val="22"/>
          <w:szCs w:val="22"/>
        </w:rPr>
        <w:t>:00）</w:t>
      </w:r>
    </w:p>
    <w:p w14:paraId="0B3E4178" w14:textId="77777777" w:rsidR="0070580C" w:rsidRDefault="00000000">
      <w:pPr>
        <w:spacing w:line="240" w:lineRule="auto"/>
        <w:ind w:firstLine="420"/>
        <w:rPr>
          <w:rFonts w:eastAsia="宋体" w:hint="eastAsia"/>
        </w:rPr>
      </w:pPr>
      <w:r>
        <w:rPr>
          <w:rFonts w:eastAsia="宋体" w:hint="eastAsia"/>
        </w:rPr>
        <w:t>（</w:t>
      </w:r>
      <w:r>
        <w:rPr>
          <w:rFonts w:eastAsia="宋体"/>
        </w:rPr>
        <w:t>1）在领域外的中国船舶内的犯罪；（2）在领域外的中国航空器内的犯罪；（3）在国际列车上的犯罪；（4）中国公民在中国驻外使、领馆内的犯罪；（5）中国公民在域外的犯罪；（6）外国人在域外对中华人民共和国国家或者公民犯罪，根据《中华人民共和国刑法》应当受处罚的；（7）对中国缔结或者参加的国际条约所规定的罪行，中国在所承担条约义务的范围内，行使刑事管辖权的；（8）正在服刑的罪犯在判决宣告前还有其他罪没有判决的（漏罪）；（9）罪犯在服刑期间又犯罪的（服刑期间犯新罪）；（10）罪犯在脱逃期间犯罪的</w:t>
      </w:r>
    </w:p>
    <w:p w14:paraId="6E625B0D" w14:textId="77777777" w:rsidR="0070580C" w:rsidRDefault="00000000">
      <w:pPr>
        <w:pStyle w:val="1"/>
        <w:spacing w:before="0" w:line="240" w:lineRule="auto"/>
        <w:rPr>
          <w:rFonts w:ascii="宋体" w:eastAsia="宋体" w:hAnsi="宋体" w:hint="eastAsia"/>
          <w:b/>
          <w:bCs w:val="0"/>
          <w:color w:val="auto"/>
          <w:sz w:val="22"/>
          <w:szCs w:val="22"/>
        </w:rPr>
      </w:pPr>
      <w:bookmarkStart w:id="7" w:name="_Toc4844102"/>
      <w:bookmarkStart w:id="8" w:name="_Toc64384675"/>
      <w:bookmarkStart w:id="9" w:name="_Toc126331768"/>
      <w:r>
        <w:rPr>
          <w:rFonts w:ascii="宋体" w:eastAsia="宋体" w:hAnsi="宋体" w:hint="eastAsia"/>
          <w:b/>
          <w:bCs w:val="0"/>
          <w:color w:val="auto"/>
          <w:sz w:val="22"/>
          <w:szCs w:val="22"/>
        </w:rPr>
        <w:t>考点7</w:t>
      </w:r>
      <w:r>
        <w:rPr>
          <w:rFonts w:ascii="宋体" w:eastAsia="宋体" w:hAnsi="宋体"/>
          <w:b/>
          <w:bCs w:val="0"/>
          <w:color w:val="auto"/>
          <w:sz w:val="22"/>
          <w:szCs w:val="22"/>
        </w:rPr>
        <w:t xml:space="preserve">  </w:t>
      </w:r>
      <w:r>
        <w:rPr>
          <w:rFonts w:ascii="宋体" w:eastAsia="宋体" w:hAnsi="宋体" w:hint="eastAsia"/>
          <w:b/>
          <w:bCs w:val="0"/>
          <w:color w:val="auto"/>
          <w:sz w:val="22"/>
          <w:szCs w:val="22"/>
        </w:rPr>
        <w:t>回避</w:t>
      </w:r>
      <w:bookmarkEnd w:id="7"/>
      <w:bookmarkEnd w:id="8"/>
      <w:bookmarkEnd w:id="9"/>
      <w:r>
        <w:rPr>
          <w:rFonts w:ascii="宋体" w:eastAsia="宋体" w:hAnsi="宋体" w:hint="eastAsia"/>
          <w:b/>
          <w:bCs w:val="0"/>
          <w:color w:val="auto"/>
          <w:sz w:val="22"/>
          <w:szCs w:val="22"/>
        </w:rPr>
        <w:t>（19</w:t>
      </w:r>
      <w:r>
        <w:rPr>
          <w:rFonts w:ascii="宋体" w:eastAsia="宋体" w:hAnsi="宋体"/>
          <w:b/>
          <w:bCs w:val="0"/>
          <w:color w:val="auto"/>
          <w:sz w:val="22"/>
          <w:szCs w:val="22"/>
        </w:rPr>
        <w:t>:</w:t>
      </w:r>
      <w:r>
        <w:rPr>
          <w:rFonts w:ascii="宋体" w:eastAsia="宋体" w:hAnsi="宋体" w:hint="eastAsia"/>
          <w:b/>
          <w:bCs w:val="0"/>
          <w:color w:val="auto"/>
          <w:sz w:val="22"/>
          <w:szCs w:val="22"/>
        </w:rPr>
        <w:t>44</w:t>
      </w:r>
      <w:r>
        <w:rPr>
          <w:rFonts w:ascii="宋体" w:eastAsia="宋体" w:hAnsi="宋体"/>
          <w:b/>
          <w:bCs w:val="0"/>
          <w:color w:val="auto"/>
          <w:sz w:val="22"/>
          <w:szCs w:val="22"/>
        </w:rPr>
        <w:t>:00-</w:t>
      </w:r>
      <w:r>
        <w:rPr>
          <w:rFonts w:ascii="宋体" w:eastAsia="宋体" w:hAnsi="宋体" w:hint="eastAsia"/>
          <w:b/>
          <w:bCs w:val="0"/>
          <w:color w:val="auto"/>
          <w:sz w:val="22"/>
          <w:szCs w:val="22"/>
        </w:rPr>
        <w:t>20</w:t>
      </w:r>
      <w:r>
        <w:rPr>
          <w:rFonts w:ascii="宋体" w:eastAsia="宋体" w:hAnsi="宋体"/>
          <w:b/>
          <w:bCs w:val="0"/>
          <w:color w:val="auto"/>
          <w:sz w:val="22"/>
          <w:szCs w:val="22"/>
        </w:rPr>
        <w:t>:</w:t>
      </w:r>
      <w:r>
        <w:rPr>
          <w:rFonts w:ascii="宋体" w:eastAsia="宋体" w:hAnsi="宋体" w:hint="eastAsia"/>
          <w:b/>
          <w:bCs w:val="0"/>
          <w:color w:val="auto"/>
          <w:sz w:val="22"/>
          <w:szCs w:val="22"/>
        </w:rPr>
        <w:t>12</w:t>
      </w:r>
      <w:r>
        <w:rPr>
          <w:rFonts w:ascii="宋体" w:eastAsia="宋体" w:hAnsi="宋体"/>
          <w:b/>
          <w:bCs w:val="0"/>
          <w:color w:val="auto"/>
          <w:sz w:val="22"/>
          <w:szCs w:val="22"/>
        </w:rPr>
        <w:t>:00）</w:t>
      </w:r>
    </w:p>
    <w:p w14:paraId="4E4C0658" w14:textId="77777777" w:rsidR="0070580C" w:rsidRDefault="00000000">
      <w:pPr>
        <w:pStyle w:val="3"/>
        <w:numPr>
          <w:ilvl w:val="0"/>
          <w:numId w:val="1"/>
        </w:numPr>
        <w:spacing w:line="240" w:lineRule="auto"/>
        <w:rPr>
          <w:rFonts w:eastAsia="宋体" w:hint="eastAsia"/>
          <w:sz w:val="21"/>
        </w:rPr>
      </w:pPr>
      <w:r>
        <w:rPr>
          <w:rFonts w:eastAsia="宋体" w:hint="eastAsia"/>
          <w:sz w:val="21"/>
        </w:rPr>
        <w:t>回避的事由</w:t>
      </w:r>
    </w:p>
    <w:p w14:paraId="559C4B4A" w14:textId="77777777" w:rsidR="0070580C" w:rsidRDefault="00000000">
      <w:pPr>
        <w:spacing w:line="240" w:lineRule="auto"/>
        <w:ind w:firstLine="420"/>
        <w:rPr>
          <w:rFonts w:eastAsia="宋体" w:hint="eastAsia"/>
        </w:rPr>
      </w:pPr>
      <w:r>
        <w:rPr>
          <w:rFonts w:eastAsia="宋体" w:hint="eastAsia"/>
        </w:rPr>
        <w:t>固有原因、不当行为、先前参与【参加过本案其他阶段或程序的办案活动（</w:t>
      </w:r>
      <w:r>
        <w:rPr>
          <w:rFonts w:eastAsia="宋体" w:hint="eastAsia"/>
          <w:color w:val="FF0000"/>
        </w:rPr>
        <w:t>注意：</w:t>
      </w:r>
      <w:r>
        <w:rPr>
          <w:rFonts w:eastAsia="宋体" w:hint="eastAsia"/>
        </w:rPr>
        <w:t>审判程序中限于合议庭组成人员或者独任审判员）】</w:t>
      </w:r>
    </w:p>
    <w:p w14:paraId="6801303F" w14:textId="77777777" w:rsidR="0070580C" w:rsidRDefault="00000000">
      <w:pPr>
        <w:pStyle w:val="3"/>
        <w:spacing w:line="240" w:lineRule="auto"/>
        <w:ind w:firstLineChars="200" w:firstLine="420"/>
        <w:rPr>
          <w:rFonts w:eastAsia="宋体" w:hint="eastAsia"/>
          <w:sz w:val="21"/>
        </w:rPr>
      </w:pPr>
      <w:r>
        <w:rPr>
          <w:rFonts w:eastAsia="宋体" w:hint="eastAsia"/>
          <w:sz w:val="21"/>
        </w:rPr>
        <w:t>二、回避的程序</w:t>
      </w:r>
    </w:p>
    <w:p w14:paraId="10A4BCFA"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（一）回避的提出</w:t>
      </w:r>
    </w:p>
    <w:p w14:paraId="1AF27F5D" w14:textId="77777777" w:rsidR="0070580C" w:rsidRDefault="00000000">
      <w:pPr>
        <w:spacing w:line="240" w:lineRule="auto"/>
        <w:ind w:firstLine="420"/>
        <w:rPr>
          <w:rFonts w:eastAsia="宋体" w:hint="eastAsia"/>
        </w:rPr>
      </w:pPr>
      <w:r>
        <w:rPr>
          <w:rFonts w:eastAsia="宋体" w:hint="eastAsia"/>
        </w:rPr>
        <w:t>回避的种类：自行回避、申请回避、指令回避</w:t>
      </w:r>
    </w:p>
    <w:p w14:paraId="640CE3A2" w14:textId="77777777" w:rsidR="0070580C" w:rsidRDefault="00000000">
      <w:pPr>
        <w:spacing w:line="240" w:lineRule="auto"/>
        <w:ind w:firstLine="420"/>
        <w:rPr>
          <w:rFonts w:eastAsia="宋体" w:hint="eastAsia"/>
          <w:color w:val="FF0000"/>
        </w:rPr>
      </w:pPr>
      <w:r>
        <w:rPr>
          <w:rFonts w:eastAsia="宋体" w:hint="eastAsia"/>
        </w:rPr>
        <w:t>申请回避的主体：当事人及其法定代理人、</w:t>
      </w:r>
      <w:r>
        <w:rPr>
          <w:rFonts w:eastAsia="宋体" w:hint="eastAsia"/>
          <w:color w:val="FF0000"/>
        </w:rPr>
        <w:t>辩护人、诉讼代理人</w:t>
      </w:r>
    </w:p>
    <w:p w14:paraId="5D859751" w14:textId="77777777" w:rsidR="0070580C" w:rsidRDefault="00000000">
      <w:pPr>
        <w:spacing w:line="240" w:lineRule="auto"/>
        <w:ind w:firstLine="420"/>
        <w:rPr>
          <w:rFonts w:eastAsia="宋体" w:hint="eastAsia"/>
        </w:rPr>
      </w:pPr>
      <w:r>
        <w:rPr>
          <w:rFonts w:eastAsia="宋体" w:hint="eastAsia"/>
        </w:rPr>
        <w:t>形式：口头或书面</w:t>
      </w:r>
    </w:p>
    <w:p w14:paraId="690AD39E" w14:textId="77777777" w:rsidR="0070580C" w:rsidRDefault="00000000">
      <w:pPr>
        <w:spacing w:line="240" w:lineRule="auto"/>
        <w:ind w:firstLine="420"/>
        <w:rPr>
          <w:rFonts w:eastAsia="宋体" w:hint="eastAsia"/>
        </w:rPr>
      </w:pPr>
      <w:r>
        <w:rPr>
          <w:rFonts w:eastAsia="宋体" w:hint="eastAsia"/>
        </w:rPr>
        <w:t>时间：任何诉讼阶段</w:t>
      </w:r>
    </w:p>
    <w:p w14:paraId="5F654264" w14:textId="77777777" w:rsidR="0070580C" w:rsidRDefault="00000000">
      <w:pPr>
        <w:pStyle w:val="4"/>
        <w:spacing w:line="240" w:lineRule="auto"/>
        <w:ind w:firstLineChars="200" w:firstLine="420"/>
        <w:rPr>
          <w:rFonts w:ascii="宋体" w:eastAsia="宋体" w:hAnsi="宋体" w:hint="eastAsia"/>
          <w:color w:val="FF0000"/>
          <w:sz w:val="21"/>
          <w:szCs w:val="21"/>
        </w:rPr>
      </w:pPr>
      <w:r>
        <w:rPr>
          <w:rFonts w:ascii="宋体" w:eastAsia="宋体" w:hAnsi="宋体" w:hint="eastAsia"/>
          <w:sz w:val="21"/>
          <w:szCs w:val="21"/>
        </w:rPr>
        <w:t>（二）回避的决定：</w:t>
      </w:r>
      <w:r>
        <w:rPr>
          <w:rFonts w:ascii="宋体" w:eastAsia="宋体" w:hAnsi="宋体" w:hint="eastAsia"/>
          <w:color w:val="FF0000"/>
          <w:sz w:val="21"/>
          <w:szCs w:val="21"/>
        </w:rPr>
        <w:t>根据身份归属，不是诉讼阶段</w:t>
      </w:r>
    </w:p>
    <w:p w14:paraId="4AB0E90B" w14:textId="77777777" w:rsidR="0070580C" w:rsidRDefault="00000000">
      <w:pPr>
        <w:spacing w:line="240" w:lineRule="auto"/>
        <w:ind w:firstLine="420"/>
        <w:rPr>
          <w:rFonts w:eastAsia="宋体" w:hint="eastAsia"/>
        </w:rPr>
      </w:pPr>
      <w:r>
        <w:rPr>
          <w:rFonts w:eastAsia="宋体" w:hint="eastAsia"/>
          <w:bCs/>
        </w:rPr>
        <w:t>审判人员——</w:t>
      </w:r>
      <w:r>
        <w:rPr>
          <w:rFonts w:eastAsia="宋体" w:hint="eastAsia"/>
        </w:rPr>
        <w:t>本院院长；院长由本院的审判委员会决定</w:t>
      </w:r>
    </w:p>
    <w:p w14:paraId="7FE9285A" w14:textId="77777777" w:rsidR="0070580C" w:rsidRDefault="00000000">
      <w:pPr>
        <w:spacing w:line="240" w:lineRule="auto"/>
        <w:ind w:firstLine="420"/>
        <w:rPr>
          <w:rFonts w:eastAsia="宋体" w:hint="eastAsia"/>
        </w:rPr>
      </w:pPr>
      <w:r>
        <w:rPr>
          <w:rFonts w:eastAsia="宋体" w:hint="eastAsia"/>
          <w:bCs/>
        </w:rPr>
        <w:t>检察人员——</w:t>
      </w:r>
      <w:r>
        <w:rPr>
          <w:rFonts w:eastAsia="宋体" w:hint="eastAsia"/>
        </w:rPr>
        <w:t>本院检察长；检察长由本院的检察委员会决定</w:t>
      </w:r>
    </w:p>
    <w:p w14:paraId="2EBE1156" w14:textId="77777777" w:rsidR="0070580C" w:rsidRDefault="00000000">
      <w:pPr>
        <w:spacing w:line="240" w:lineRule="auto"/>
        <w:ind w:firstLine="420"/>
        <w:rPr>
          <w:rFonts w:eastAsia="宋体" w:hint="eastAsia"/>
        </w:rPr>
      </w:pPr>
      <w:r>
        <w:rPr>
          <w:rFonts w:eastAsia="宋体" w:hint="eastAsia"/>
          <w:bCs/>
        </w:rPr>
        <w:t>侦查人员——</w:t>
      </w:r>
      <w:r>
        <w:rPr>
          <w:rFonts w:eastAsia="宋体" w:hint="eastAsia"/>
        </w:rPr>
        <w:t>首先须判断是哪种侦查机关，尤其是要注意通过罪名判断到底是公安机关的侦查人员还是检察院的侦查员。公安机关侦查人员由公安机关负责人决定，公安机关负责人由同级检察院检委会决定；检察机关侦查人员由本院检察长决定</w:t>
      </w:r>
    </w:p>
    <w:p w14:paraId="4CABE7D5" w14:textId="77777777" w:rsidR="0070580C" w:rsidRDefault="00000000">
      <w:pPr>
        <w:spacing w:line="240" w:lineRule="auto"/>
        <w:ind w:firstLine="420"/>
        <w:rPr>
          <w:rFonts w:eastAsia="宋体" w:hint="eastAsia"/>
        </w:rPr>
      </w:pPr>
      <w:r>
        <w:rPr>
          <w:rFonts w:eastAsia="宋体" w:hint="eastAsia"/>
          <w:bCs/>
        </w:rPr>
        <w:t>翻译人员</w:t>
      </w:r>
      <w:r>
        <w:rPr>
          <w:rFonts w:eastAsia="宋体" w:hint="eastAsia"/>
        </w:rPr>
        <w:t>、</w:t>
      </w:r>
      <w:r>
        <w:rPr>
          <w:rFonts w:eastAsia="宋体" w:hint="eastAsia"/>
          <w:bCs/>
          <w:color w:val="FF0000"/>
        </w:rPr>
        <w:t>书记员</w:t>
      </w:r>
      <w:r>
        <w:rPr>
          <w:rFonts w:eastAsia="宋体" w:hint="eastAsia"/>
          <w:bCs/>
        </w:rPr>
        <w:t>——</w:t>
      </w:r>
      <w:r>
        <w:rPr>
          <w:rFonts w:eastAsia="宋体" w:hint="eastAsia"/>
        </w:rPr>
        <w:t>关键是看他是属于哪个机关的，由其所在机关的负责人决定</w:t>
      </w:r>
    </w:p>
    <w:p w14:paraId="79E9BD2D" w14:textId="77777777" w:rsidR="0070580C" w:rsidRDefault="00000000">
      <w:pPr>
        <w:spacing w:line="240" w:lineRule="auto"/>
        <w:ind w:firstLine="420"/>
        <w:rPr>
          <w:rFonts w:eastAsia="宋体" w:hint="eastAsia"/>
        </w:rPr>
      </w:pPr>
      <w:r>
        <w:rPr>
          <w:rFonts w:eastAsia="宋体" w:hint="eastAsia"/>
          <w:bCs/>
        </w:rPr>
        <w:t>鉴定人——</w:t>
      </w:r>
      <w:r>
        <w:rPr>
          <w:rFonts w:eastAsia="宋体" w:hint="eastAsia"/>
        </w:rPr>
        <w:t>关键是看是由哪个机关指派或者聘请，由指派或者聘请的单位的负责人决定</w:t>
      </w:r>
    </w:p>
    <w:p w14:paraId="170B6FA5" w14:textId="77777777" w:rsidR="0070580C" w:rsidRDefault="00000000">
      <w:pPr>
        <w:spacing w:line="240" w:lineRule="auto"/>
        <w:ind w:firstLine="420"/>
        <w:rPr>
          <w:rFonts w:eastAsia="宋体" w:hint="eastAsia"/>
          <w:color w:val="FF0000"/>
        </w:rPr>
      </w:pPr>
      <w:r>
        <w:rPr>
          <w:rFonts w:eastAsia="宋体" w:hint="eastAsia"/>
          <w:color w:val="FF0000"/>
        </w:rPr>
        <w:t>注意：书记员也要回避。证人不适用回避。</w:t>
      </w:r>
    </w:p>
    <w:p w14:paraId="2CC6D001"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（三）对驳回回避申请的复议</w:t>
      </w:r>
    </w:p>
    <w:p w14:paraId="62267FA4" w14:textId="77777777" w:rsidR="0070580C" w:rsidRDefault="00000000">
      <w:pPr>
        <w:tabs>
          <w:tab w:val="clear" w:pos="420"/>
        </w:tabs>
        <w:spacing w:line="240" w:lineRule="auto"/>
        <w:ind w:firstLine="420"/>
        <w:jc w:val="left"/>
        <w:rPr>
          <w:rFonts w:eastAsia="宋体" w:cs="汉仪中黑简" w:hint="eastAsia"/>
          <w:bCs/>
          <w:kern w:val="44"/>
        </w:rPr>
      </w:pPr>
      <w:r>
        <w:rPr>
          <w:rFonts w:eastAsia="宋体" w:cs="汉仪中黑简"/>
          <w:bCs/>
          <w:kern w:val="44"/>
        </w:rPr>
        <w:t>1．</w:t>
      </w:r>
      <w:r>
        <w:rPr>
          <w:rFonts w:eastAsia="宋体" w:cs="汉仪中黑简" w:hint="eastAsia"/>
          <w:bCs/>
          <w:kern w:val="44"/>
        </w:rPr>
        <w:t>法院：</w:t>
      </w:r>
      <w:r>
        <w:rPr>
          <w:rFonts w:eastAsia="宋体" w:hint="eastAsia"/>
        </w:rPr>
        <w:t>对驳回回避申请的决定，当事人、法定代理人、辩护人、诉讼代理人可以在接到决定时申请复议一次。</w:t>
      </w:r>
      <w:r>
        <w:rPr>
          <w:rFonts w:eastAsia="宋体" w:hint="eastAsia"/>
          <w:color w:val="FF0000"/>
        </w:rPr>
        <w:t>对于不属于法定回避事由的，由法庭当庭驳回，并不得申请复议</w:t>
      </w:r>
      <w:r>
        <w:rPr>
          <w:rFonts w:eastAsia="宋体" w:hint="eastAsia"/>
        </w:rPr>
        <w:t>。</w:t>
      </w:r>
    </w:p>
    <w:p w14:paraId="79FBA924" w14:textId="77777777" w:rsidR="0070580C" w:rsidRDefault="00000000">
      <w:pPr>
        <w:tabs>
          <w:tab w:val="clear" w:pos="420"/>
        </w:tabs>
        <w:spacing w:line="240" w:lineRule="auto"/>
        <w:ind w:firstLine="420"/>
        <w:jc w:val="left"/>
        <w:rPr>
          <w:rFonts w:eastAsia="宋体" w:cs="汉仪中黑简" w:hint="eastAsia"/>
          <w:bCs/>
          <w:kern w:val="44"/>
        </w:rPr>
      </w:pPr>
      <w:r>
        <w:rPr>
          <w:rFonts w:eastAsia="宋体" w:cs="汉仪中黑简" w:hint="eastAsia"/>
          <w:bCs/>
          <w:kern w:val="44"/>
        </w:rPr>
        <w:t>2</w:t>
      </w:r>
      <w:r>
        <w:rPr>
          <w:rFonts w:eastAsia="宋体" w:cs="汉仪中黑简"/>
          <w:bCs/>
          <w:kern w:val="44"/>
        </w:rPr>
        <w:t>．</w:t>
      </w:r>
      <w:r>
        <w:rPr>
          <w:rFonts w:eastAsia="宋体" w:cs="汉仪中黑简" w:hint="eastAsia"/>
          <w:bCs/>
          <w:kern w:val="44"/>
        </w:rPr>
        <w:t>检察院：</w:t>
      </w:r>
      <w:r>
        <w:rPr>
          <w:rFonts w:eastAsia="宋体" w:hint="eastAsia"/>
        </w:rPr>
        <w:t>检察院作出驳回回避申请的决定后，应当告知当事人及其法定代理人、辩护人、诉讼代理人如不服本决定，有权在收到驳回回避的决定书后5日以内向原决定机关申请复议一次；对于复议申请，决定机关应当在3日内作出复议决定并书面通知申请人。</w:t>
      </w:r>
    </w:p>
    <w:p w14:paraId="4694BFDE" w14:textId="77777777" w:rsidR="0070580C" w:rsidRDefault="00000000">
      <w:pPr>
        <w:tabs>
          <w:tab w:val="clear" w:pos="420"/>
        </w:tabs>
        <w:spacing w:line="240" w:lineRule="auto"/>
        <w:ind w:firstLine="420"/>
        <w:jc w:val="left"/>
        <w:rPr>
          <w:rFonts w:eastAsia="宋体" w:cs="汉仪中黑简" w:hint="eastAsia"/>
          <w:bCs/>
          <w:kern w:val="44"/>
        </w:rPr>
      </w:pPr>
      <w:r>
        <w:rPr>
          <w:rFonts w:eastAsia="宋体" w:cs="汉仪中黑简" w:hint="eastAsia"/>
          <w:bCs/>
          <w:kern w:val="44"/>
        </w:rPr>
        <w:t>3</w:t>
      </w:r>
      <w:r>
        <w:rPr>
          <w:rFonts w:eastAsia="宋体" w:cs="汉仪中黑简"/>
          <w:bCs/>
          <w:kern w:val="44"/>
        </w:rPr>
        <w:t>．</w:t>
      </w:r>
      <w:r>
        <w:rPr>
          <w:rFonts w:eastAsia="宋体" w:cs="汉仪中黑简" w:hint="eastAsia"/>
          <w:bCs/>
          <w:kern w:val="44"/>
        </w:rPr>
        <w:t>公安机关</w:t>
      </w:r>
    </w:p>
    <w:p w14:paraId="53916FCE" w14:textId="77777777" w:rsidR="0070580C" w:rsidRDefault="00000000">
      <w:pPr>
        <w:spacing w:line="240" w:lineRule="auto"/>
        <w:ind w:firstLine="420"/>
        <w:rPr>
          <w:rFonts w:eastAsia="宋体" w:hint="eastAsia"/>
        </w:rPr>
      </w:pPr>
      <w:r>
        <w:rPr>
          <w:rFonts w:eastAsia="宋体" w:hint="eastAsia"/>
        </w:rPr>
        <w:t>当事人及其法定代理人、辩护人、诉讼代理人如不服驳回回避申请的决定，可以在收到驳回回避的决定书后5日以内</w:t>
      </w:r>
      <w:r>
        <w:rPr>
          <w:rFonts w:eastAsia="宋体" w:hint="eastAsia"/>
          <w:color w:val="FF0000"/>
        </w:rPr>
        <w:t>向作出决定的公安机关申请</w:t>
      </w:r>
      <w:r>
        <w:rPr>
          <w:rFonts w:eastAsia="宋体" w:hint="eastAsia"/>
        </w:rPr>
        <w:t>。对于复议申请，决定机关应当在收到申请后</w:t>
      </w:r>
      <w:r>
        <w:rPr>
          <w:rFonts w:eastAsia="宋体"/>
        </w:rPr>
        <w:t>5</w:t>
      </w:r>
      <w:r>
        <w:rPr>
          <w:rFonts w:eastAsia="宋体" w:hint="eastAsia"/>
        </w:rPr>
        <w:t>日内作出复议决定并书面通知申请人。</w:t>
      </w:r>
    </w:p>
    <w:p w14:paraId="0D7B089B"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（四）回避的效力</w:t>
      </w:r>
    </w:p>
    <w:p w14:paraId="4405E2D2" w14:textId="77777777" w:rsidR="0070580C" w:rsidRDefault="00000000">
      <w:pPr>
        <w:spacing w:line="240" w:lineRule="auto"/>
        <w:ind w:firstLine="420"/>
        <w:rPr>
          <w:rFonts w:eastAsia="宋体" w:hint="eastAsia"/>
        </w:rPr>
      </w:pPr>
      <w:r>
        <w:rPr>
          <w:rFonts w:eastAsia="宋体" w:hint="eastAsia"/>
        </w:rPr>
        <w:t>提出回避申请后，审查期间原则上程序暂停，但侦查程序不得停止；</w:t>
      </w:r>
    </w:p>
    <w:p w14:paraId="30DB7B31" w14:textId="77777777" w:rsidR="0070580C" w:rsidRDefault="00000000">
      <w:pPr>
        <w:spacing w:line="240" w:lineRule="auto"/>
        <w:ind w:firstLine="420"/>
        <w:rPr>
          <w:rFonts w:eastAsia="宋体" w:cs="汉仪书宋二简" w:hint="eastAsia"/>
          <w:kern w:val="0"/>
        </w:rPr>
      </w:pPr>
      <w:r>
        <w:rPr>
          <w:rFonts w:eastAsia="宋体" w:hint="eastAsia"/>
        </w:rPr>
        <w:t>在回避决定作出以前所取得的证据和进行的诉讼行为是否有效，</w:t>
      </w:r>
      <w:r>
        <w:rPr>
          <w:rFonts w:eastAsia="宋体" w:hint="eastAsia"/>
          <w:color w:val="FF0000"/>
        </w:rPr>
        <w:t>由回避的决定主体</w:t>
      </w:r>
      <w:r>
        <w:rPr>
          <w:rFonts w:eastAsia="宋体" w:hint="eastAsia"/>
        </w:rPr>
        <w:t>在作出是否回避的决定时一并决定。</w:t>
      </w:r>
      <w:bookmarkStart w:id="10" w:name="_Toc64384676"/>
      <w:bookmarkStart w:id="11" w:name="_Toc4844103"/>
    </w:p>
    <w:p w14:paraId="6F11C5AA" w14:textId="77777777" w:rsidR="0070580C" w:rsidRDefault="00000000">
      <w:pPr>
        <w:pStyle w:val="1"/>
        <w:spacing w:before="0" w:line="240" w:lineRule="auto"/>
        <w:rPr>
          <w:rFonts w:ascii="宋体" w:eastAsia="宋体" w:hAnsi="宋体" w:hint="eastAsia"/>
          <w:b/>
          <w:bCs w:val="0"/>
          <w:color w:val="auto"/>
          <w:sz w:val="22"/>
          <w:szCs w:val="22"/>
        </w:rPr>
      </w:pPr>
      <w:bookmarkStart w:id="12" w:name="_Toc126331769"/>
      <w:r>
        <w:rPr>
          <w:rFonts w:ascii="宋体" w:eastAsia="宋体" w:hAnsi="宋体" w:hint="eastAsia"/>
          <w:b/>
          <w:bCs w:val="0"/>
          <w:color w:val="auto"/>
          <w:sz w:val="22"/>
          <w:szCs w:val="22"/>
        </w:rPr>
        <w:t>考点8</w:t>
      </w:r>
      <w:r>
        <w:rPr>
          <w:rFonts w:ascii="宋体" w:eastAsia="宋体" w:hAnsi="宋体"/>
          <w:b/>
          <w:bCs w:val="0"/>
          <w:color w:val="auto"/>
          <w:sz w:val="22"/>
          <w:szCs w:val="22"/>
        </w:rPr>
        <w:t xml:space="preserve">  </w:t>
      </w:r>
      <w:r>
        <w:rPr>
          <w:rFonts w:ascii="宋体" w:eastAsia="宋体" w:hAnsi="宋体" w:hint="eastAsia"/>
          <w:b/>
          <w:bCs w:val="0"/>
          <w:color w:val="auto"/>
          <w:sz w:val="22"/>
          <w:szCs w:val="22"/>
        </w:rPr>
        <w:t>辩护概述</w:t>
      </w:r>
      <w:bookmarkEnd w:id="10"/>
      <w:bookmarkEnd w:id="11"/>
      <w:bookmarkEnd w:id="12"/>
      <w:r>
        <w:rPr>
          <w:rFonts w:ascii="宋体" w:eastAsia="宋体" w:hAnsi="宋体" w:hint="eastAsia"/>
          <w:b/>
          <w:bCs w:val="0"/>
          <w:color w:val="auto"/>
          <w:sz w:val="22"/>
          <w:szCs w:val="22"/>
        </w:rPr>
        <w:t>（</w:t>
      </w:r>
      <w:r>
        <w:rPr>
          <w:rFonts w:ascii="宋体" w:eastAsia="宋体" w:hAnsi="宋体"/>
          <w:b/>
          <w:bCs w:val="0"/>
          <w:color w:val="auto"/>
          <w:sz w:val="22"/>
          <w:szCs w:val="22"/>
        </w:rPr>
        <w:t>2</w:t>
      </w:r>
      <w:r>
        <w:rPr>
          <w:rFonts w:ascii="宋体" w:eastAsia="宋体" w:hAnsi="宋体" w:hint="eastAsia"/>
          <w:b/>
          <w:bCs w:val="0"/>
          <w:color w:val="auto"/>
          <w:sz w:val="22"/>
          <w:szCs w:val="22"/>
        </w:rPr>
        <w:t>0</w:t>
      </w:r>
      <w:r>
        <w:rPr>
          <w:rFonts w:ascii="宋体" w:eastAsia="宋体" w:hAnsi="宋体"/>
          <w:b/>
          <w:bCs w:val="0"/>
          <w:color w:val="auto"/>
          <w:sz w:val="22"/>
          <w:szCs w:val="22"/>
        </w:rPr>
        <w:t>:</w:t>
      </w:r>
      <w:r>
        <w:rPr>
          <w:rFonts w:ascii="宋体" w:eastAsia="宋体" w:hAnsi="宋体" w:hint="eastAsia"/>
          <w:b/>
          <w:bCs w:val="0"/>
          <w:color w:val="auto"/>
          <w:sz w:val="22"/>
          <w:szCs w:val="22"/>
        </w:rPr>
        <w:t>12</w:t>
      </w:r>
      <w:r>
        <w:rPr>
          <w:rFonts w:ascii="宋体" w:eastAsia="宋体" w:hAnsi="宋体"/>
          <w:b/>
          <w:bCs w:val="0"/>
          <w:color w:val="auto"/>
          <w:sz w:val="22"/>
          <w:szCs w:val="22"/>
        </w:rPr>
        <w:t>:00-2</w:t>
      </w:r>
      <w:r>
        <w:rPr>
          <w:rFonts w:ascii="宋体" w:eastAsia="宋体" w:hAnsi="宋体" w:hint="eastAsia"/>
          <w:b/>
          <w:bCs w:val="0"/>
          <w:color w:val="auto"/>
          <w:sz w:val="22"/>
          <w:szCs w:val="22"/>
        </w:rPr>
        <w:t>0</w:t>
      </w:r>
      <w:r>
        <w:rPr>
          <w:rFonts w:ascii="宋体" w:eastAsia="宋体" w:hAnsi="宋体"/>
          <w:b/>
          <w:bCs w:val="0"/>
          <w:color w:val="auto"/>
          <w:sz w:val="22"/>
          <w:szCs w:val="22"/>
        </w:rPr>
        <w:t>:</w:t>
      </w:r>
      <w:r>
        <w:rPr>
          <w:rFonts w:ascii="宋体" w:eastAsia="宋体" w:hAnsi="宋体" w:hint="eastAsia"/>
          <w:b/>
          <w:bCs w:val="0"/>
          <w:color w:val="auto"/>
          <w:sz w:val="22"/>
          <w:szCs w:val="22"/>
        </w:rPr>
        <w:t>40</w:t>
      </w:r>
      <w:r>
        <w:rPr>
          <w:rFonts w:ascii="宋体" w:eastAsia="宋体" w:hAnsi="宋体"/>
          <w:b/>
          <w:bCs w:val="0"/>
          <w:color w:val="auto"/>
          <w:sz w:val="22"/>
          <w:szCs w:val="22"/>
        </w:rPr>
        <w:t>:00）</w:t>
      </w:r>
    </w:p>
    <w:p w14:paraId="17D8F3CF" w14:textId="77777777" w:rsidR="0070580C" w:rsidRDefault="00000000">
      <w:pPr>
        <w:pStyle w:val="3"/>
        <w:spacing w:line="240" w:lineRule="auto"/>
        <w:ind w:firstLineChars="200" w:firstLine="420"/>
        <w:rPr>
          <w:rFonts w:eastAsia="宋体" w:hint="eastAsia"/>
          <w:sz w:val="21"/>
        </w:rPr>
      </w:pPr>
      <w:r>
        <w:rPr>
          <w:rFonts w:eastAsia="宋体" w:hint="eastAsia"/>
          <w:sz w:val="21"/>
        </w:rPr>
        <w:t>一、有效辩护原则</w:t>
      </w:r>
    </w:p>
    <w:p w14:paraId="790E1926" w14:textId="77777777" w:rsidR="0070580C" w:rsidRDefault="00000000">
      <w:pPr>
        <w:spacing w:line="240" w:lineRule="auto"/>
        <w:ind w:firstLine="420"/>
        <w:rPr>
          <w:rFonts w:eastAsia="宋体" w:hint="eastAsia"/>
        </w:rPr>
      </w:pPr>
      <w:r>
        <w:rPr>
          <w:rFonts w:eastAsia="宋体" w:hint="eastAsia"/>
        </w:rPr>
        <w:t>辩护应当对保护犯罪嫌疑人、被告人的权利</w:t>
      </w:r>
      <w:r>
        <w:rPr>
          <w:rFonts w:eastAsia="宋体" w:hint="eastAsia"/>
          <w:color w:val="FF0000"/>
        </w:rPr>
        <w:t>具有实质意义。</w:t>
      </w:r>
    </w:p>
    <w:p w14:paraId="2CE7B58D" w14:textId="77777777" w:rsidR="0070580C" w:rsidRDefault="00000000">
      <w:pPr>
        <w:pStyle w:val="3"/>
        <w:spacing w:line="240" w:lineRule="auto"/>
        <w:ind w:firstLineChars="200" w:firstLine="420"/>
        <w:rPr>
          <w:rFonts w:eastAsia="宋体" w:hint="eastAsia"/>
          <w:sz w:val="21"/>
        </w:rPr>
      </w:pPr>
      <w:r>
        <w:rPr>
          <w:rFonts w:eastAsia="宋体" w:hint="eastAsia"/>
          <w:sz w:val="21"/>
        </w:rPr>
        <w:lastRenderedPageBreak/>
        <w:t>二、辩护人的诉讼地位：独立的诉讼地位</w:t>
      </w:r>
    </w:p>
    <w:p w14:paraId="502CA7AE" w14:textId="77777777" w:rsidR="0070580C" w:rsidRDefault="00000000">
      <w:pPr>
        <w:spacing w:line="240" w:lineRule="auto"/>
        <w:ind w:firstLine="420"/>
        <w:rPr>
          <w:rFonts w:eastAsia="宋体" w:hint="eastAsia"/>
          <w:color w:val="FF0000"/>
        </w:rPr>
      </w:pPr>
      <w:r>
        <w:rPr>
          <w:rFonts w:eastAsia="宋体" w:hint="eastAsia"/>
        </w:rPr>
        <w:t>1．辩护人</w:t>
      </w:r>
      <w:r>
        <w:rPr>
          <w:rFonts w:eastAsia="宋体" w:hint="eastAsia"/>
          <w:color w:val="FF0000"/>
        </w:rPr>
        <w:t>只承担辩护职能</w:t>
      </w:r>
      <w:r>
        <w:rPr>
          <w:rFonts w:eastAsia="宋体" w:hint="eastAsia"/>
        </w:rPr>
        <w:t>2</w:t>
      </w:r>
      <w:r>
        <w:rPr>
          <w:rFonts w:eastAsia="宋体"/>
        </w:rPr>
        <w:t>．</w:t>
      </w:r>
      <w:r>
        <w:rPr>
          <w:rFonts w:eastAsia="宋体" w:hint="eastAsia"/>
        </w:rPr>
        <w:t>辩护人</w:t>
      </w:r>
      <w:r>
        <w:rPr>
          <w:rFonts w:eastAsia="宋体" w:hint="eastAsia"/>
          <w:color w:val="FF0000"/>
        </w:rPr>
        <w:t>不是犯罪嫌疑人、被告人的“代言人”</w:t>
      </w:r>
    </w:p>
    <w:p w14:paraId="5C29A6A9" w14:textId="77777777" w:rsidR="0070580C" w:rsidRDefault="00000000">
      <w:pPr>
        <w:pStyle w:val="3"/>
        <w:spacing w:line="240" w:lineRule="auto"/>
        <w:ind w:firstLineChars="200" w:firstLine="420"/>
        <w:rPr>
          <w:rFonts w:eastAsia="宋体" w:hint="eastAsia"/>
          <w:sz w:val="21"/>
        </w:rPr>
      </w:pPr>
      <w:bookmarkStart w:id="13" w:name="_Hlk534881805"/>
      <w:r>
        <w:rPr>
          <w:rFonts w:eastAsia="宋体" w:hint="eastAsia"/>
          <w:sz w:val="21"/>
        </w:rPr>
        <w:t>三、辩护人的范围</w:t>
      </w:r>
    </w:p>
    <w:bookmarkEnd w:id="13"/>
    <w:p w14:paraId="44EB832D" w14:textId="77777777" w:rsidR="0070580C" w:rsidRDefault="00000000">
      <w:pPr>
        <w:spacing w:line="240" w:lineRule="auto"/>
        <w:ind w:firstLine="412"/>
        <w:rPr>
          <w:rFonts w:eastAsia="宋体" w:hint="eastAsia"/>
          <w:spacing w:val="-2"/>
        </w:rPr>
      </w:pPr>
      <w:r>
        <w:rPr>
          <w:rFonts w:eastAsia="宋体" w:hint="eastAsia"/>
          <w:spacing w:val="-2"/>
        </w:rPr>
        <w:t>可以担任辩护人：律师；人民团体或者犯罪嫌疑人、被告人所在单位推荐的人；监护人、亲友。</w:t>
      </w:r>
    </w:p>
    <w:p w14:paraId="1A1430C3"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禁止担任辩护人：</w:t>
      </w:r>
    </w:p>
    <w:p w14:paraId="139F7366"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（一）绝对禁止</w:t>
      </w:r>
    </w:p>
    <w:p w14:paraId="671AB943" w14:textId="77777777" w:rsidR="0070580C" w:rsidRDefault="00000000">
      <w:pPr>
        <w:spacing w:line="240" w:lineRule="auto"/>
        <w:ind w:firstLine="420"/>
        <w:rPr>
          <w:rFonts w:eastAsia="宋体" w:hint="eastAsia"/>
        </w:rPr>
      </w:pPr>
      <w:r>
        <w:rPr>
          <w:rFonts w:eastAsia="宋体" w:hint="eastAsia"/>
        </w:rPr>
        <w:t>1</w:t>
      </w:r>
      <w:r>
        <w:rPr>
          <w:rFonts w:eastAsia="宋体"/>
        </w:rPr>
        <w:t>．</w:t>
      </w:r>
      <w:r>
        <w:rPr>
          <w:rFonts w:eastAsia="宋体" w:hint="eastAsia"/>
        </w:rPr>
        <w:t>正在被执行刑罚或者依法被剥夺、限制人身自由的人（含处于缓刑、假释考验期间的人）；2</w:t>
      </w:r>
      <w:r>
        <w:rPr>
          <w:rFonts w:eastAsia="宋体"/>
        </w:rPr>
        <w:t>．</w:t>
      </w:r>
      <w:r>
        <w:rPr>
          <w:rFonts w:eastAsia="宋体" w:hint="eastAsia"/>
        </w:rPr>
        <w:t>无行为能力或限制行为能力人。</w:t>
      </w:r>
    </w:p>
    <w:p w14:paraId="07423BCD" w14:textId="77777777" w:rsidR="0070580C" w:rsidRDefault="00000000">
      <w:pPr>
        <w:pStyle w:val="4"/>
        <w:spacing w:line="240" w:lineRule="auto"/>
        <w:ind w:firstLineChars="200" w:firstLine="420"/>
        <w:rPr>
          <w:rFonts w:ascii="宋体" w:eastAsia="宋体" w:hAnsi="宋体" w:hint="eastAsia"/>
          <w:sz w:val="21"/>
          <w:szCs w:val="21"/>
        </w:rPr>
      </w:pPr>
      <w:bookmarkStart w:id="14" w:name="_Hlk534880632"/>
      <w:r>
        <w:rPr>
          <w:rFonts w:ascii="宋体" w:eastAsia="宋体" w:hAnsi="宋体" w:hint="eastAsia"/>
          <w:sz w:val="21"/>
          <w:szCs w:val="21"/>
        </w:rPr>
        <w:t>（二）相对禁止</w:t>
      </w:r>
      <w:bookmarkEnd w:id="14"/>
    </w:p>
    <w:p w14:paraId="12FCCFA3" w14:textId="77777777" w:rsidR="0070580C" w:rsidRDefault="00000000">
      <w:pPr>
        <w:spacing w:line="240" w:lineRule="auto"/>
        <w:ind w:firstLine="420"/>
        <w:rPr>
          <w:rFonts w:eastAsia="宋体" w:hint="eastAsia"/>
        </w:rPr>
      </w:pPr>
      <w:r>
        <w:rPr>
          <w:rFonts w:eastAsia="宋体" w:hint="eastAsia"/>
        </w:rPr>
        <w:t>1</w:t>
      </w:r>
      <w:r>
        <w:rPr>
          <w:rFonts w:eastAsia="宋体"/>
        </w:rPr>
        <w:t>．</w:t>
      </w:r>
      <w:r>
        <w:rPr>
          <w:rFonts w:eastAsia="宋体" w:hint="eastAsia"/>
        </w:rPr>
        <w:t>人民法院、人民检察院、</w:t>
      </w:r>
      <w:r>
        <w:rPr>
          <w:rFonts w:eastAsia="宋体" w:hint="eastAsia"/>
          <w:color w:val="FF0000"/>
        </w:rPr>
        <w:t>监察机关</w:t>
      </w:r>
      <w:r>
        <w:rPr>
          <w:rFonts w:eastAsia="宋体" w:hint="eastAsia"/>
        </w:rPr>
        <w:t>、公安机关、国家安全机关、监狱的现职人员；2</w:t>
      </w:r>
      <w:r>
        <w:rPr>
          <w:rFonts w:eastAsia="宋体"/>
        </w:rPr>
        <w:t>．</w:t>
      </w:r>
      <w:r>
        <w:rPr>
          <w:rFonts w:eastAsia="宋体" w:hint="eastAsia"/>
        </w:rPr>
        <w:t>人民陪审员；3</w:t>
      </w:r>
      <w:r>
        <w:rPr>
          <w:rFonts w:eastAsia="宋体"/>
        </w:rPr>
        <w:t>．</w:t>
      </w:r>
      <w:r>
        <w:rPr>
          <w:rFonts w:eastAsia="宋体" w:hint="eastAsia"/>
        </w:rPr>
        <w:t>与本案审理结果有利害关系的人；4</w:t>
      </w:r>
      <w:r>
        <w:rPr>
          <w:rFonts w:eastAsia="宋体"/>
        </w:rPr>
        <w:t>．</w:t>
      </w:r>
      <w:r>
        <w:rPr>
          <w:rFonts w:eastAsia="宋体" w:hint="eastAsia"/>
        </w:rPr>
        <w:t>外国人或者无国籍人；5</w:t>
      </w:r>
      <w:r>
        <w:rPr>
          <w:rFonts w:eastAsia="宋体"/>
        </w:rPr>
        <w:t>．</w:t>
      </w:r>
      <w:r>
        <w:rPr>
          <w:rFonts w:eastAsia="宋体" w:hint="eastAsia"/>
          <w:color w:val="FF0000"/>
        </w:rPr>
        <w:t>被开除公职和被吊销律师、公证员执业证书的人</w:t>
      </w:r>
      <w:r>
        <w:rPr>
          <w:rFonts w:eastAsia="宋体" w:hint="eastAsia"/>
        </w:rPr>
        <w:t>。</w:t>
      </w:r>
      <w:r>
        <w:rPr>
          <w:rFonts w:eastAsia="宋体" w:hint="eastAsia"/>
          <w:color w:val="FF0000"/>
        </w:rPr>
        <w:t>上述人员如果是被告人的监护人、近亲属，由被告人委托担任辩护人的，可以准许</w:t>
      </w:r>
      <w:r>
        <w:rPr>
          <w:rFonts w:eastAsia="宋体" w:hint="eastAsia"/>
        </w:rPr>
        <w:t>。</w:t>
      </w:r>
    </w:p>
    <w:p w14:paraId="07B6617B"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（三）审判人员、检察人员及相关人员的从业禁止</w:t>
      </w:r>
    </w:p>
    <w:p w14:paraId="7AC6672C" w14:textId="77777777" w:rsidR="0070580C" w:rsidRDefault="00000000">
      <w:pPr>
        <w:spacing w:line="240" w:lineRule="auto"/>
        <w:ind w:firstLine="420"/>
        <w:rPr>
          <w:rFonts w:eastAsia="宋体" w:hint="eastAsia"/>
          <w:color w:val="FF0000"/>
        </w:rPr>
      </w:pPr>
      <w:r>
        <w:rPr>
          <w:rFonts w:eastAsia="宋体" w:hint="eastAsia"/>
        </w:rPr>
        <w:t>1</w:t>
      </w:r>
      <w:r>
        <w:rPr>
          <w:rFonts w:eastAsia="宋体"/>
        </w:rPr>
        <w:t>．</w:t>
      </w:r>
      <w:r>
        <w:rPr>
          <w:rFonts w:eastAsia="宋体" w:hint="eastAsia"/>
        </w:rPr>
        <w:t>审判人员和法院其他工作人员从法院离任后</w:t>
      </w:r>
      <w:r>
        <w:rPr>
          <w:rFonts w:eastAsia="宋体" w:hint="eastAsia"/>
          <w:color w:val="FF0000"/>
        </w:rPr>
        <w:t>二年内</w:t>
      </w:r>
      <w:r>
        <w:rPr>
          <w:rFonts w:eastAsia="宋体" w:hint="eastAsia"/>
        </w:rPr>
        <w:t>，检察人员从检察院离任后二年以内，不得</w:t>
      </w:r>
      <w:r>
        <w:rPr>
          <w:rFonts w:eastAsia="宋体" w:hint="eastAsia"/>
          <w:color w:val="FF0000"/>
        </w:rPr>
        <w:t>以律师身份担任辩护人。</w:t>
      </w:r>
      <w:r>
        <w:rPr>
          <w:rFonts w:eastAsia="宋体" w:hint="eastAsia"/>
        </w:rPr>
        <w:t>2</w:t>
      </w:r>
      <w:r>
        <w:rPr>
          <w:rFonts w:eastAsia="宋体"/>
        </w:rPr>
        <w:t>．</w:t>
      </w:r>
      <w:r>
        <w:rPr>
          <w:rFonts w:eastAsia="宋体" w:hint="eastAsia"/>
        </w:rPr>
        <w:t>审判人员和法院其他工作人员从法院离任后，或者检察人员从检察院离任后，不得担任</w:t>
      </w:r>
      <w:r>
        <w:rPr>
          <w:rFonts w:eastAsia="宋体" w:hint="eastAsia"/>
          <w:color w:val="FF0000"/>
        </w:rPr>
        <w:t>原任职法院或者检察院</w:t>
      </w:r>
      <w:r>
        <w:rPr>
          <w:rFonts w:eastAsia="宋体" w:hint="eastAsia"/>
        </w:rPr>
        <w:t>所办理案件的辩护人（</w:t>
      </w:r>
      <w:r>
        <w:rPr>
          <w:rFonts w:eastAsia="宋体" w:hint="eastAsia"/>
          <w:color w:val="FF0000"/>
        </w:rPr>
        <w:t>注意：此处是终生限制</w:t>
      </w:r>
      <w:r>
        <w:rPr>
          <w:rFonts w:eastAsia="宋体" w:hint="eastAsia"/>
        </w:rPr>
        <w:t>）。</w:t>
      </w:r>
      <w:r>
        <w:rPr>
          <w:rFonts w:eastAsia="宋体" w:hint="eastAsia"/>
          <w:color w:val="FF0000"/>
        </w:rPr>
        <w:t>但是作为犯罪嫌疑人、被告人的监护人、近亲属进行辩护的除外。</w:t>
      </w:r>
      <w:r>
        <w:rPr>
          <w:rFonts w:eastAsia="宋体" w:hint="eastAsia"/>
        </w:rPr>
        <w:t>3</w:t>
      </w:r>
      <w:r>
        <w:rPr>
          <w:rFonts w:eastAsia="宋体"/>
        </w:rPr>
        <w:t>．</w:t>
      </w:r>
      <w:r>
        <w:rPr>
          <w:rFonts w:eastAsia="宋体" w:hint="eastAsia"/>
        </w:rPr>
        <w:t>审判人员和法院其他工作人员的</w:t>
      </w:r>
      <w:r>
        <w:rPr>
          <w:rFonts w:eastAsia="宋体" w:hint="eastAsia"/>
          <w:color w:val="FF0000"/>
        </w:rPr>
        <w:t>配偶、子女或者父母不得担任其任职法院所审理案件的辩护人，但作为被告人的监护人、近亲属进行辩护的除外</w:t>
      </w:r>
      <w:r>
        <w:rPr>
          <w:rFonts w:eastAsia="宋体" w:hint="eastAsia"/>
        </w:rPr>
        <w:t>。检察人员的</w:t>
      </w:r>
      <w:r>
        <w:rPr>
          <w:rFonts w:eastAsia="宋体" w:hint="eastAsia"/>
          <w:color w:val="FF0000"/>
        </w:rPr>
        <w:t>配偶、子女不得担任该检察人员所任职检察院办理案件的辩护人</w:t>
      </w:r>
      <w:r>
        <w:rPr>
          <w:rFonts w:eastAsia="宋体" w:hint="eastAsia"/>
        </w:rPr>
        <w:t>。</w:t>
      </w:r>
    </w:p>
    <w:p w14:paraId="28710BBB" w14:textId="77777777" w:rsidR="0070580C" w:rsidRDefault="00000000">
      <w:pPr>
        <w:pStyle w:val="3"/>
        <w:spacing w:line="240" w:lineRule="auto"/>
        <w:ind w:firstLineChars="200" w:firstLine="420"/>
        <w:rPr>
          <w:rFonts w:eastAsia="宋体" w:hint="eastAsia"/>
          <w:sz w:val="21"/>
        </w:rPr>
      </w:pPr>
      <w:bookmarkStart w:id="15" w:name="_Hlk535154296"/>
      <w:r>
        <w:rPr>
          <w:rFonts w:eastAsia="宋体" w:hint="eastAsia"/>
          <w:sz w:val="21"/>
        </w:rPr>
        <w:t>四、辩护人的人数</w:t>
      </w:r>
    </w:p>
    <w:bookmarkEnd w:id="15"/>
    <w:p w14:paraId="13DBCB72" w14:textId="77777777" w:rsidR="0070580C" w:rsidRDefault="00000000">
      <w:pPr>
        <w:spacing w:line="240" w:lineRule="auto"/>
        <w:ind w:firstLine="420"/>
        <w:rPr>
          <w:rFonts w:eastAsia="宋体" w:hint="eastAsia"/>
        </w:rPr>
      </w:pPr>
      <w:r>
        <w:rPr>
          <w:rFonts w:eastAsia="宋体" w:hint="eastAsia"/>
        </w:rPr>
        <w:t>1</w:t>
      </w:r>
      <w:r>
        <w:rPr>
          <w:rFonts w:eastAsia="宋体"/>
        </w:rPr>
        <w:t>．</w:t>
      </w:r>
      <w:r>
        <w:rPr>
          <w:rFonts w:eastAsia="宋体" w:hint="eastAsia"/>
        </w:rPr>
        <w:t>一名犯罪嫌疑人、被告人可以委托</w:t>
      </w:r>
      <w:r>
        <w:rPr>
          <w:rFonts w:eastAsia="宋体" w:hint="eastAsia"/>
          <w:color w:val="FF0000"/>
        </w:rPr>
        <w:t>1-2名</w:t>
      </w:r>
      <w:r>
        <w:rPr>
          <w:rFonts w:eastAsia="宋体" w:hint="eastAsia"/>
        </w:rPr>
        <w:t>辩护人；</w:t>
      </w:r>
    </w:p>
    <w:p w14:paraId="721884F7" w14:textId="77777777" w:rsidR="0070580C" w:rsidRDefault="00000000">
      <w:pPr>
        <w:spacing w:line="240" w:lineRule="auto"/>
        <w:ind w:firstLine="420"/>
        <w:rPr>
          <w:rFonts w:eastAsia="宋体" w:hint="eastAsia"/>
        </w:rPr>
      </w:pPr>
      <w:r>
        <w:rPr>
          <w:rFonts w:eastAsia="宋体" w:hint="eastAsia"/>
        </w:rPr>
        <w:t>2</w:t>
      </w:r>
      <w:r>
        <w:rPr>
          <w:rFonts w:eastAsia="宋体"/>
        </w:rPr>
        <w:t>．</w:t>
      </w:r>
      <w:r>
        <w:rPr>
          <w:rFonts w:eastAsia="宋体" w:hint="eastAsia"/>
        </w:rPr>
        <w:t>一名辩护人</w:t>
      </w:r>
      <w:r>
        <w:rPr>
          <w:rFonts w:eastAsia="宋体" w:hint="eastAsia"/>
          <w:color w:val="FF0000"/>
        </w:rPr>
        <w:t>不得为两名以上</w:t>
      </w:r>
      <w:r>
        <w:rPr>
          <w:rFonts w:eastAsia="宋体" w:hint="eastAsia"/>
        </w:rPr>
        <w:t>（含2名）的同案犯罪嫌疑人、被告人；或者未同案处理但犯罪事实存在关联的犯罪嫌疑人、被告人辩护。</w:t>
      </w:r>
    </w:p>
    <w:p w14:paraId="31B1EC8B" w14:textId="77777777" w:rsidR="0070580C" w:rsidRDefault="00000000">
      <w:pPr>
        <w:pStyle w:val="3"/>
        <w:spacing w:line="240" w:lineRule="auto"/>
        <w:ind w:firstLineChars="200" w:firstLine="420"/>
        <w:rPr>
          <w:rFonts w:eastAsia="宋体" w:hint="eastAsia"/>
          <w:sz w:val="21"/>
        </w:rPr>
      </w:pPr>
      <w:r>
        <w:rPr>
          <w:rFonts w:eastAsia="宋体" w:hint="eastAsia"/>
          <w:sz w:val="21"/>
        </w:rPr>
        <w:t>五、辩护的种类</w:t>
      </w:r>
    </w:p>
    <w:p w14:paraId="11CC713B"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（一）自行辩护</w:t>
      </w:r>
    </w:p>
    <w:p w14:paraId="6B20AB04" w14:textId="77777777" w:rsidR="0070580C" w:rsidRDefault="00000000">
      <w:pPr>
        <w:spacing w:line="240" w:lineRule="auto"/>
        <w:ind w:firstLine="420"/>
        <w:rPr>
          <w:rFonts w:eastAsia="宋体" w:hint="eastAsia"/>
        </w:rPr>
      </w:pPr>
      <w:r>
        <w:rPr>
          <w:rFonts w:eastAsia="宋体" w:hint="eastAsia"/>
        </w:rPr>
        <w:t>犯罪嫌疑人、被告人贯穿于诉讼始终的权利</w:t>
      </w:r>
    </w:p>
    <w:p w14:paraId="5F4D9656"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（二）委托辩护</w:t>
      </w:r>
    </w:p>
    <w:p w14:paraId="3E8D5202" w14:textId="77777777" w:rsidR="0070580C" w:rsidRDefault="00000000">
      <w:pPr>
        <w:spacing w:line="240" w:lineRule="auto"/>
        <w:ind w:firstLine="420"/>
        <w:rPr>
          <w:rFonts w:eastAsia="宋体" w:hint="eastAsia"/>
        </w:rPr>
      </w:pPr>
      <w:r>
        <w:rPr>
          <w:rFonts w:eastAsia="宋体" w:hint="eastAsia"/>
        </w:rPr>
        <w:t>1</w:t>
      </w:r>
      <w:r>
        <w:rPr>
          <w:rFonts w:eastAsia="宋体"/>
        </w:rPr>
        <w:t>．</w:t>
      </w:r>
      <w:r>
        <w:rPr>
          <w:rFonts w:eastAsia="宋体" w:hint="eastAsia"/>
        </w:rPr>
        <w:t>公诉案件：自被侦查机关第一次讯问或采取强制措施之日起2</w:t>
      </w:r>
      <w:r>
        <w:rPr>
          <w:rFonts w:eastAsia="宋体"/>
        </w:rPr>
        <w:t>．</w:t>
      </w:r>
      <w:r>
        <w:rPr>
          <w:rFonts w:eastAsia="宋体" w:hint="eastAsia"/>
        </w:rPr>
        <w:t>自诉案件：随时委托</w:t>
      </w:r>
    </w:p>
    <w:p w14:paraId="4E8FFEBA" w14:textId="77777777" w:rsidR="0070580C" w:rsidRDefault="00000000">
      <w:pPr>
        <w:pStyle w:val="4"/>
        <w:spacing w:line="240" w:lineRule="auto"/>
        <w:ind w:firstLineChars="200" w:firstLine="420"/>
        <w:rPr>
          <w:rFonts w:ascii="宋体" w:eastAsia="宋体" w:hAnsi="宋体" w:hint="eastAsia"/>
          <w:color w:val="auto"/>
          <w:sz w:val="21"/>
          <w:szCs w:val="21"/>
        </w:rPr>
      </w:pPr>
      <w:r>
        <w:rPr>
          <w:rFonts w:ascii="宋体" w:eastAsia="宋体" w:hAnsi="宋体" w:hint="eastAsia"/>
          <w:color w:val="auto"/>
          <w:sz w:val="21"/>
          <w:szCs w:val="21"/>
        </w:rPr>
        <w:t>（三）法律援助辩护</w:t>
      </w:r>
    </w:p>
    <w:p w14:paraId="052C03E9" w14:textId="222E8A11" w:rsidR="0070580C" w:rsidRDefault="00000000">
      <w:pPr>
        <w:pStyle w:val="1"/>
        <w:spacing w:before="0" w:line="240" w:lineRule="auto"/>
        <w:rPr>
          <w:rFonts w:ascii="宋体" w:eastAsia="宋体" w:hAnsi="宋体" w:hint="eastAsia"/>
          <w:b/>
          <w:bCs w:val="0"/>
          <w:color w:val="auto"/>
          <w:sz w:val="22"/>
          <w:szCs w:val="22"/>
        </w:rPr>
      </w:pPr>
      <w:r>
        <w:rPr>
          <w:rFonts w:ascii="宋体" w:eastAsia="宋体" w:hAnsi="宋体" w:hint="eastAsia"/>
          <w:b/>
          <w:bCs w:val="0"/>
          <w:color w:val="auto"/>
          <w:sz w:val="22"/>
          <w:szCs w:val="22"/>
        </w:rPr>
        <w:t>考点9  辩护人的权利</w:t>
      </w:r>
      <w:bookmarkEnd w:id="3"/>
      <w:bookmarkEnd w:id="4"/>
      <w:bookmarkEnd w:id="5"/>
      <w:r>
        <w:rPr>
          <w:rFonts w:ascii="宋体" w:eastAsia="宋体" w:hAnsi="宋体" w:hint="eastAsia"/>
          <w:b/>
          <w:bCs w:val="0"/>
          <w:color w:val="auto"/>
          <w:sz w:val="22"/>
          <w:szCs w:val="22"/>
        </w:rPr>
        <w:t>（20</w:t>
      </w:r>
      <w:r>
        <w:rPr>
          <w:rFonts w:ascii="宋体" w:eastAsia="宋体" w:hAnsi="宋体"/>
          <w:b/>
          <w:bCs w:val="0"/>
          <w:color w:val="auto"/>
          <w:sz w:val="22"/>
          <w:szCs w:val="22"/>
        </w:rPr>
        <w:t>:</w:t>
      </w:r>
      <w:r>
        <w:rPr>
          <w:rFonts w:ascii="宋体" w:eastAsia="宋体" w:hAnsi="宋体" w:hint="eastAsia"/>
          <w:b/>
          <w:bCs w:val="0"/>
          <w:color w:val="auto"/>
          <w:sz w:val="22"/>
          <w:szCs w:val="22"/>
        </w:rPr>
        <w:t>50</w:t>
      </w:r>
      <w:r>
        <w:rPr>
          <w:rFonts w:ascii="宋体" w:eastAsia="宋体" w:hAnsi="宋体"/>
          <w:b/>
          <w:bCs w:val="0"/>
          <w:color w:val="auto"/>
          <w:sz w:val="22"/>
          <w:szCs w:val="22"/>
        </w:rPr>
        <w:t>:00-</w:t>
      </w:r>
      <w:r>
        <w:rPr>
          <w:rFonts w:ascii="宋体" w:eastAsia="宋体" w:hAnsi="宋体" w:hint="eastAsia"/>
          <w:b/>
          <w:bCs w:val="0"/>
          <w:color w:val="auto"/>
          <w:sz w:val="22"/>
          <w:szCs w:val="22"/>
        </w:rPr>
        <w:t>2</w:t>
      </w:r>
      <w:r w:rsidR="00A27410">
        <w:rPr>
          <w:rFonts w:ascii="宋体" w:eastAsia="宋体" w:hAnsi="宋体" w:hint="eastAsia"/>
          <w:b/>
          <w:bCs w:val="0"/>
          <w:color w:val="auto"/>
          <w:sz w:val="22"/>
          <w:szCs w:val="22"/>
        </w:rPr>
        <w:t>2</w:t>
      </w:r>
      <w:r>
        <w:rPr>
          <w:rFonts w:ascii="宋体" w:eastAsia="宋体" w:hAnsi="宋体"/>
          <w:b/>
          <w:bCs w:val="0"/>
          <w:color w:val="auto"/>
          <w:sz w:val="22"/>
          <w:szCs w:val="22"/>
        </w:rPr>
        <w:t>:</w:t>
      </w:r>
      <w:r w:rsidR="00A27410">
        <w:rPr>
          <w:rFonts w:ascii="宋体" w:eastAsia="宋体" w:hAnsi="宋体" w:hint="eastAsia"/>
          <w:b/>
          <w:bCs w:val="0"/>
          <w:color w:val="auto"/>
          <w:sz w:val="22"/>
          <w:szCs w:val="22"/>
        </w:rPr>
        <w:t>15</w:t>
      </w:r>
      <w:r>
        <w:rPr>
          <w:rFonts w:ascii="宋体" w:eastAsia="宋体" w:hAnsi="宋体"/>
          <w:b/>
          <w:bCs w:val="0"/>
          <w:color w:val="auto"/>
          <w:sz w:val="22"/>
          <w:szCs w:val="22"/>
        </w:rPr>
        <w:t>:00）</w:t>
      </w:r>
    </w:p>
    <w:p w14:paraId="049EA910" w14:textId="77777777" w:rsidR="0070580C" w:rsidRDefault="00000000">
      <w:pPr>
        <w:pStyle w:val="3"/>
        <w:spacing w:line="240" w:lineRule="auto"/>
        <w:ind w:firstLineChars="200" w:firstLine="420"/>
        <w:rPr>
          <w:rFonts w:eastAsia="宋体" w:hint="eastAsia"/>
          <w:sz w:val="21"/>
        </w:rPr>
      </w:pPr>
      <w:bookmarkStart w:id="16" w:name="_Toc510878992"/>
      <w:r>
        <w:rPr>
          <w:rFonts w:eastAsia="宋体" w:hint="eastAsia"/>
          <w:sz w:val="21"/>
        </w:rPr>
        <w:t>一、知情权（获得通知权）</w:t>
      </w:r>
      <w:bookmarkEnd w:id="16"/>
    </w:p>
    <w:p w14:paraId="55C86CC1" w14:textId="77777777" w:rsidR="0070580C" w:rsidRDefault="00000000">
      <w:pPr>
        <w:spacing w:line="240" w:lineRule="auto"/>
        <w:ind w:firstLine="420"/>
        <w:rPr>
          <w:rFonts w:eastAsia="宋体" w:hint="eastAsia"/>
        </w:rPr>
      </w:pPr>
      <w:r>
        <w:rPr>
          <w:rFonts w:eastAsia="宋体" w:hint="eastAsia"/>
        </w:rPr>
        <w:t>办案机关应依法及时告知：办案机关作出移送审查起诉、退回补充侦查、提起公诉、延期审理、二审不开庭审理、宣告判决等重大程序性决定</w:t>
      </w:r>
    </w:p>
    <w:p w14:paraId="05010CD2" w14:textId="77777777" w:rsidR="0070580C" w:rsidRDefault="00000000">
      <w:pPr>
        <w:pStyle w:val="3"/>
        <w:spacing w:line="240" w:lineRule="auto"/>
        <w:ind w:firstLineChars="200" w:firstLine="422"/>
        <w:rPr>
          <w:rFonts w:eastAsia="宋体" w:hint="eastAsia"/>
          <w:b/>
          <w:bCs/>
          <w:color w:val="FF0000"/>
          <w:sz w:val="21"/>
        </w:rPr>
      </w:pPr>
      <w:bookmarkStart w:id="17" w:name="_Toc510878993"/>
      <w:r>
        <w:rPr>
          <w:rFonts w:eastAsia="宋体" w:hint="eastAsia"/>
          <w:b/>
          <w:bCs/>
          <w:color w:val="FF0000"/>
          <w:sz w:val="21"/>
        </w:rPr>
        <w:t>二、会见通信权</w:t>
      </w:r>
      <w:bookmarkEnd w:id="17"/>
    </w:p>
    <w:p w14:paraId="14558C90"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（一）会见通信权的行使主体、对象与时间</w:t>
      </w:r>
    </w:p>
    <w:p w14:paraId="30FE3399" w14:textId="77777777" w:rsidR="0070580C" w:rsidRDefault="00000000">
      <w:pPr>
        <w:spacing w:line="240" w:lineRule="auto"/>
        <w:ind w:firstLine="420"/>
        <w:rPr>
          <w:rFonts w:eastAsia="宋体" w:hint="eastAsia"/>
        </w:rPr>
      </w:pPr>
      <w:r>
        <w:rPr>
          <w:rFonts w:eastAsia="宋体" w:hint="eastAsia"/>
        </w:rPr>
        <w:t>第一，会见通信权的行使对象是</w:t>
      </w:r>
      <w:r>
        <w:rPr>
          <w:rFonts w:eastAsia="宋体" w:hint="eastAsia"/>
          <w:color w:val="FF0000"/>
        </w:rPr>
        <w:t>在押的或被监视居住的犯罪嫌疑人、被告人</w:t>
      </w:r>
      <w:r>
        <w:rPr>
          <w:rFonts w:eastAsia="宋体" w:hint="eastAsia"/>
        </w:rPr>
        <w:t>。</w:t>
      </w:r>
    </w:p>
    <w:p w14:paraId="230E52C5" w14:textId="77777777" w:rsidR="0070580C" w:rsidRDefault="00000000">
      <w:pPr>
        <w:spacing w:line="240" w:lineRule="auto"/>
        <w:ind w:firstLine="420"/>
        <w:rPr>
          <w:rFonts w:eastAsia="宋体" w:hint="eastAsia"/>
        </w:rPr>
      </w:pPr>
      <w:r>
        <w:rPr>
          <w:rFonts w:eastAsia="宋体" w:hint="eastAsia"/>
        </w:rPr>
        <w:t>第二，会见通信权的行使主体是</w:t>
      </w:r>
      <w:r>
        <w:rPr>
          <w:rFonts w:eastAsia="宋体" w:hint="eastAsia"/>
          <w:color w:val="FF0000"/>
        </w:rPr>
        <w:t>辩护律师和其他辩护人</w:t>
      </w:r>
      <w:r>
        <w:rPr>
          <w:rFonts w:eastAsia="宋体" w:hint="eastAsia"/>
        </w:rPr>
        <w:t>，但是辩护律师的会见通信权没有阶段限制，既可在侦查阶段行使，也可在审查起诉和审判阶段行使；</w:t>
      </w:r>
      <w:r>
        <w:rPr>
          <w:rFonts w:eastAsia="宋体" w:hint="eastAsia"/>
          <w:color w:val="FF0000"/>
        </w:rPr>
        <w:t>其他辩护人在侦查阶段则不享有会见通信权</w:t>
      </w:r>
      <w:r>
        <w:rPr>
          <w:rFonts w:eastAsia="宋体" w:hint="eastAsia"/>
        </w:rPr>
        <w:t>，只在审查起诉和审判阶段享有会见通信权。</w:t>
      </w:r>
    </w:p>
    <w:p w14:paraId="778A0F67" w14:textId="77777777" w:rsidR="0070580C" w:rsidRDefault="00000000">
      <w:pPr>
        <w:spacing w:line="240" w:lineRule="auto"/>
        <w:ind w:firstLine="420"/>
        <w:rPr>
          <w:rFonts w:eastAsia="宋体" w:hint="eastAsia"/>
        </w:rPr>
      </w:pPr>
      <w:r>
        <w:rPr>
          <w:rFonts w:eastAsia="宋体" w:hint="eastAsia"/>
        </w:rPr>
        <w:t>第三，辩护律师行使会见通信权一般无需经许可，只是</w:t>
      </w:r>
      <w:r>
        <w:rPr>
          <w:rFonts w:eastAsia="宋体" w:hint="eastAsia"/>
          <w:color w:val="FF0000"/>
        </w:rPr>
        <w:t>在侦查阶段</w:t>
      </w:r>
      <w:r>
        <w:rPr>
          <w:rFonts w:eastAsia="宋体" w:hint="eastAsia"/>
        </w:rPr>
        <w:t>会见在押的或被监视居住的犯罪嫌疑人时，如果是</w:t>
      </w:r>
      <w:r>
        <w:rPr>
          <w:rFonts w:eastAsia="宋体" w:hint="eastAsia"/>
          <w:color w:val="FF0000"/>
        </w:rPr>
        <w:t>危害国家安全犯罪、恐怖活动犯罪</w:t>
      </w:r>
      <w:r>
        <w:rPr>
          <w:rFonts w:eastAsia="宋体" w:hint="eastAsia"/>
        </w:rPr>
        <w:t>应当经侦查机关的许可。</w:t>
      </w:r>
      <w:r>
        <w:rPr>
          <w:rFonts w:eastAsia="宋体" w:hint="eastAsia"/>
          <w:b/>
          <w:bCs/>
          <w:color w:val="FF0000"/>
        </w:rPr>
        <w:t>（补</w:t>
      </w:r>
      <w:r>
        <w:rPr>
          <w:rFonts w:eastAsia="宋体" w:hint="eastAsia"/>
          <w:b/>
          <w:bCs/>
          <w:color w:val="FF0000"/>
        </w:rPr>
        <w:lastRenderedPageBreak/>
        <w:t>充：如果进入审查起诉、审判阶段不需要许可）</w:t>
      </w:r>
      <w:r>
        <w:rPr>
          <w:rFonts w:eastAsia="宋体" w:hint="eastAsia"/>
        </w:rPr>
        <w:t>其他辩护人在侦查阶段没有会见通信权，在审查起诉和审判阶段行使会见通信权则需经人民检察院或人民法院许可。</w:t>
      </w:r>
    </w:p>
    <w:p w14:paraId="067DD955"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（二）关于会见权的具体规定</w:t>
      </w:r>
    </w:p>
    <w:p w14:paraId="25074F8C" w14:textId="77777777" w:rsidR="0070580C" w:rsidRDefault="00000000">
      <w:pPr>
        <w:tabs>
          <w:tab w:val="clear" w:pos="420"/>
        </w:tabs>
        <w:spacing w:line="240" w:lineRule="auto"/>
        <w:ind w:firstLine="420"/>
        <w:jc w:val="left"/>
        <w:rPr>
          <w:rFonts w:eastAsia="宋体" w:cs="汉仪中黑简" w:hint="eastAsia"/>
          <w:bCs/>
          <w:kern w:val="44"/>
        </w:rPr>
      </w:pPr>
      <w:r>
        <w:rPr>
          <w:rFonts w:eastAsia="宋体" w:cs="汉仪中黑简" w:hint="eastAsia"/>
          <w:bCs/>
          <w:kern w:val="44"/>
        </w:rPr>
        <w:t>1．关于辩护律师会见权的一般规定</w:t>
      </w:r>
    </w:p>
    <w:p w14:paraId="24837425" w14:textId="77777777" w:rsidR="0070580C" w:rsidRDefault="00000000">
      <w:pPr>
        <w:tabs>
          <w:tab w:val="clear" w:pos="420"/>
        </w:tabs>
        <w:spacing w:line="240" w:lineRule="auto"/>
        <w:ind w:firstLine="420"/>
        <w:jc w:val="left"/>
        <w:rPr>
          <w:rFonts w:eastAsia="宋体" w:cs="汉仪中黑简" w:hint="eastAsia"/>
          <w:bCs/>
          <w:kern w:val="44"/>
        </w:rPr>
      </w:pPr>
      <w:r>
        <w:rPr>
          <w:rFonts w:eastAsia="宋体" w:cs="Courier New" w:hint="eastAsia"/>
        </w:rPr>
        <w:t>注意：自案件移送审查起诉之日起，</w:t>
      </w:r>
      <w:r>
        <w:rPr>
          <w:rFonts w:eastAsia="宋体" w:cs="Courier New" w:hint="eastAsia"/>
          <w:color w:val="FF0000"/>
        </w:rPr>
        <w:t>可以向犯罪嫌疑人、被告人核实有关证据</w:t>
      </w:r>
    </w:p>
    <w:p w14:paraId="620B7174" w14:textId="77777777" w:rsidR="0070580C" w:rsidRDefault="00000000">
      <w:pPr>
        <w:tabs>
          <w:tab w:val="clear" w:pos="420"/>
        </w:tabs>
        <w:spacing w:line="240" w:lineRule="auto"/>
        <w:ind w:firstLine="420"/>
        <w:jc w:val="left"/>
        <w:rPr>
          <w:rFonts w:eastAsia="宋体" w:cs="汉仪中黑简" w:hint="eastAsia"/>
          <w:bCs/>
          <w:kern w:val="44"/>
        </w:rPr>
      </w:pPr>
      <w:r>
        <w:rPr>
          <w:rFonts w:eastAsia="宋体" w:cs="汉仪中黑简" w:hint="eastAsia"/>
          <w:bCs/>
          <w:kern w:val="44"/>
        </w:rPr>
        <w:t>2．关于侦查阶段辩护律师会见权的特殊规定</w:t>
      </w:r>
    </w:p>
    <w:p w14:paraId="6C0C49F4" w14:textId="77777777" w:rsidR="0070580C" w:rsidRDefault="00000000">
      <w:pPr>
        <w:tabs>
          <w:tab w:val="clear" w:pos="420"/>
        </w:tabs>
        <w:spacing w:line="240" w:lineRule="auto"/>
        <w:ind w:firstLine="420"/>
        <w:jc w:val="left"/>
        <w:rPr>
          <w:rFonts w:eastAsia="宋体" w:cs="Times New Roman" w:hint="eastAsia"/>
        </w:rPr>
      </w:pPr>
      <w:r>
        <w:rPr>
          <w:rFonts w:eastAsia="宋体" w:cs="Times New Roman" w:hint="eastAsia"/>
        </w:rPr>
        <w:t>需经许可：危害国家安全犯罪、恐怖活动犯罪，</w:t>
      </w:r>
      <w:r>
        <w:rPr>
          <w:rFonts w:eastAsia="宋体" w:hint="eastAsia"/>
        </w:rPr>
        <w:t>有碍侦查或可能泄露国家秘密的情形消失后，应当许可会见，并及时通知看守所和辩护律师</w:t>
      </w:r>
    </w:p>
    <w:p w14:paraId="2E7DF52D" w14:textId="77777777" w:rsidR="0070580C" w:rsidRDefault="00000000">
      <w:pPr>
        <w:spacing w:line="240" w:lineRule="auto"/>
        <w:ind w:firstLine="420"/>
        <w:rPr>
          <w:rFonts w:eastAsia="宋体" w:hint="eastAsia"/>
        </w:rPr>
      </w:pPr>
      <w:r>
        <w:rPr>
          <w:rFonts w:eastAsia="宋体" w:hint="eastAsia"/>
          <w:color w:val="FF0000"/>
        </w:rPr>
        <w:t>辩护律师在侦查期间会见在押的犯罪嫌疑人，可以向侦查机关了解犯罪嫌疑人涉嫌的罪名和案件有关情况，</w:t>
      </w:r>
      <w:r>
        <w:rPr>
          <w:rFonts w:eastAsia="宋体" w:hint="eastAsia"/>
          <w:b/>
          <w:bCs/>
          <w:color w:val="FF0000"/>
        </w:rPr>
        <w:t>但不能向犯罪嫌疑人核实证据</w:t>
      </w:r>
      <w:r>
        <w:rPr>
          <w:rFonts w:eastAsia="宋体" w:hint="eastAsia"/>
          <w:b/>
          <w:bCs/>
        </w:rPr>
        <w:t>。</w:t>
      </w:r>
    </w:p>
    <w:p w14:paraId="3133899A"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（三）关于通信权的具体规定</w:t>
      </w:r>
    </w:p>
    <w:p w14:paraId="2132B303" w14:textId="77777777" w:rsidR="0070580C" w:rsidRDefault="00000000">
      <w:pPr>
        <w:spacing w:line="240" w:lineRule="auto"/>
        <w:ind w:firstLine="420"/>
        <w:rPr>
          <w:rFonts w:eastAsia="宋体" w:hint="eastAsia"/>
          <w:kern w:val="0"/>
        </w:rPr>
      </w:pPr>
      <w:r>
        <w:rPr>
          <w:rFonts w:eastAsia="宋体" w:hint="eastAsia"/>
          <w:kern w:val="0"/>
        </w:rPr>
        <w:t>看守所应当</w:t>
      </w:r>
      <w:r>
        <w:rPr>
          <w:rFonts w:eastAsia="宋体" w:hint="eastAsia"/>
          <w:color w:val="FF0000"/>
          <w:kern w:val="0"/>
        </w:rPr>
        <w:t>及时传递</w:t>
      </w:r>
      <w:r>
        <w:rPr>
          <w:rFonts w:eastAsia="宋体" w:hint="eastAsia"/>
          <w:kern w:val="0"/>
        </w:rPr>
        <w:t>辩护律师同犯罪嫌疑人、被告人的往来信件。看守所可以对信件进行</w:t>
      </w:r>
      <w:r>
        <w:rPr>
          <w:rFonts w:eastAsia="宋体" w:hint="eastAsia"/>
          <w:color w:val="FF0000"/>
          <w:kern w:val="0"/>
        </w:rPr>
        <w:t>必要的检查</w:t>
      </w:r>
      <w:r>
        <w:rPr>
          <w:rFonts w:eastAsia="宋体" w:hint="eastAsia"/>
          <w:kern w:val="0"/>
        </w:rPr>
        <w:t>，但</w:t>
      </w:r>
      <w:r>
        <w:rPr>
          <w:rFonts w:eastAsia="宋体" w:hint="eastAsia"/>
          <w:color w:val="FF0000"/>
          <w:kern w:val="0"/>
        </w:rPr>
        <w:t>不得截留、复制、删改信件</w:t>
      </w:r>
      <w:r>
        <w:rPr>
          <w:rFonts w:eastAsia="宋体" w:hint="eastAsia"/>
          <w:kern w:val="0"/>
        </w:rPr>
        <w:t>，</w:t>
      </w:r>
      <w:r>
        <w:rPr>
          <w:rFonts w:eastAsia="宋体" w:hint="eastAsia"/>
          <w:color w:val="FF0000"/>
          <w:kern w:val="0"/>
        </w:rPr>
        <w:t>不得向办案机关提供信件内容</w:t>
      </w:r>
      <w:r>
        <w:rPr>
          <w:rFonts w:eastAsia="宋体" w:hint="eastAsia"/>
          <w:kern w:val="0"/>
        </w:rPr>
        <w:t>，但信件内容</w:t>
      </w:r>
      <w:r>
        <w:rPr>
          <w:rFonts w:eastAsia="宋体" w:hint="eastAsia"/>
          <w:color w:val="FF0000"/>
          <w:kern w:val="0"/>
        </w:rPr>
        <w:t>涉及危害国家安全、公共安全、严重危害他人人身安全</w:t>
      </w:r>
      <w:r>
        <w:rPr>
          <w:rFonts w:eastAsia="宋体" w:hint="eastAsia"/>
          <w:kern w:val="0"/>
        </w:rPr>
        <w:t>以及</w:t>
      </w:r>
      <w:r>
        <w:rPr>
          <w:rFonts w:eastAsia="宋体" w:hint="eastAsia"/>
          <w:color w:val="FF0000"/>
          <w:kern w:val="0"/>
        </w:rPr>
        <w:t>涉嫌串供、毁灭证据等</w:t>
      </w:r>
      <w:r>
        <w:rPr>
          <w:rFonts w:eastAsia="宋体" w:hint="eastAsia"/>
          <w:kern w:val="0"/>
        </w:rPr>
        <w:t>情形的除外。</w:t>
      </w:r>
      <w:bookmarkStart w:id="18" w:name="_Toc510878994"/>
    </w:p>
    <w:p w14:paraId="310A3A4E" w14:textId="77777777" w:rsidR="0070580C" w:rsidRDefault="00000000">
      <w:pPr>
        <w:pStyle w:val="3"/>
        <w:spacing w:line="240" w:lineRule="auto"/>
        <w:ind w:firstLineChars="200" w:firstLine="420"/>
        <w:rPr>
          <w:rFonts w:eastAsia="宋体" w:hint="eastAsia"/>
          <w:sz w:val="21"/>
        </w:rPr>
      </w:pPr>
      <w:r>
        <w:rPr>
          <w:rFonts w:eastAsia="宋体" w:hint="eastAsia"/>
          <w:sz w:val="21"/>
        </w:rPr>
        <w:t>三、阅卷权</w:t>
      </w:r>
      <w:bookmarkEnd w:id="18"/>
    </w:p>
    <w:p w14:paraId="706B8F5C" w14:textId="77777777" w:rsidR="0070580C" w:rsidRDefault="00000000">
      <w:pPr>
        <w:spacing w:line="240" w:lineRule="auto"/>
        <w:ind w:firstLine="420"/>
        <w:rPr>
          <w:rFonts w:hint="eastAsia"/>
        </w:rPr>
      </w:pPr>
      <w:r>
        <w:rPr>
          <w:rFonts w:eastAsia="宋体" w:hint="eastAsia"/>
        </w:rPr>
        <w:t>辩护律师不需要经人民法院、人民检察院许可；其他辩护人需经人民法院、人民检察院许可。</w:t>
      </w:r>
      <w:r>
        <w:rPr>
          <w:rFonts w:eastAsia="宋体" w:hint="eastAsia"/>
          <w:color w:val="FF0000"/>
        </w:rPr>
        <w:t>注意：不得将案卷材料给当事人</w:t>
      </w:r>
    </w:p>
    <w:p w14:paraId="6967B222" w14:textId="77777777" w:rsidR="0070580C" w:rsidRDefault="00000000">
      <w:pPr>
        <w:pStyle w:val="3"/>
        <w:spacing w:line="240" w:lineRule="auto"/>
        <w:ind w:firstLineChars="200" w:firstLine="422"/>
        <w:rPr>
          <w:rFonts w:eastAsia="宋体" w:hint="eastAsia"/>
          <w:b/>
          <w:bCs/>
          <w:color w:val="FF0000"/>
          <w:sz w:val="21"/>
        </w:rPr>
      </w:pPr>
      <w:bookmarkStart w:id="19" w:name="_Toc510878995"/>
      <w:r>
        <w:rPr>
          <w:rFonts w:eastAsia="宋体" w:hint="eastAsia"/>
          <w:b/>
          <w:bCs/>
          <w:color w:val="FF0000"/>
          <w:sz w:val="21"/>
        </w:rPr>
        <w:t>四、调查取证权</w:t>
      </w:r>
      <w:bookmarkEnd w:id="19"/>
    </w:p>
    <w:p w14:paraId="4A29A9FA" w14:textId="77777777" w:rsidR="0070580C" w:rsidRDefault="00000000">
      <w:pPr>
        <w:spacing w:line="240" w:lineRule="auto"/>
        <w:ind w:firstLine="420"/>
        <w:rPr>
          <w:rFonts w:eastAsia="宋体" w:hint="eastAsia"/>
          <w:color w:val="FF0000"/>
        </w:rPr>
      </w:pPr>
      <w:r>
        <w:rPr>
          <w:rFonts w:eastAsia="宋体" w:hint="eastAsia"/>
        </w:rPr>
        <w:t>辩护律师的</w:t>
      </w:r>
      <w:r>
        <w:rPr>
          <w:rFonts w:eastAsia="宋体"/>
        </w:rPr>
        <w:t>调查取证权</w:t>
      </w:r>
      <w:r>
        <w:rPr>
          <w:rFonts w:eastAsia="宋体" w:hint="eastAsia"/>
        </w:rPr>
        <w:t>的</w:t>
      </w:r>
      <w:r>
        <w:rPr>
          <w:rFonts w:eastAsia="宋体"/>
        </w:rPr>
        <w:t>行使方式有两种</w:t>
      </w:r>
      <w:r>
        <w:rPr>
          <w:rFonts w:eastAsia="宋体" w:hint="eastAsia"/>
        </w:rPr>
        <w:t>：</w:t>
      </w:r>
      <w:r>
        <w:rPr>
          <w:rFonts w:eastAsia="宋体" w:hint="eastAsia"/>
          <w:color w:val="FF0000"/>
        </w:rPr>
        <w:t>自行收集和申请人民法院、人民检察院调取。</w:t>
      </w:r>
    </w:p>
    <w:p w14:paraId="3B6ABDAD" w14:textId="77777777" w:rsidR="0070580C" w:rsidRDefault="00000000">
      <w:pPr>
        <w:pStyle w:val="4"/>
        <w:numPr>
          <w:ilvl w:val="0"/>
          <w:numId w:val="2"/>
        </w:numPr>
        <w:spacing w:line="240" w:lineRule="auto"/>
        <w:ind w:left="720" w:hanging="360"/>
        <w:rPr>
          <w:rFonts w:ascii="宋体" w:eastAsia="宋体" w:hAnsi="宋体" w:hint="eastAsia"/>
          <w:sz w:val="21"/>
          <w:szCs w:val="21"/>
        </w:rPr>
      </w:pPr>
      <w:r>
        <w:rPr>
          <w:rFonts w:ascii="宋体" w:eastAsia="宋体" w:hAnsi="宋体" w:hint="eastAsia"/>
          <w:sz w:val="21"/>
          <w:szCs w:val="21"/>
        </w:rPr>
        <w:t>自行收集</w:t>
      </w:r>
    </w:p>
    <w:p w14:paraId="08FB783B" w14:textId="77777777" w:rsidR="0070580C" w:rsidRDefault="00000000">
      <w:pPr>
        <w:spacing w:line="240" w:lineRule="auto"/>
        <w:ind w:firstLine="420"/>
        <w:rPr>
          <w:rFonts w:eastAsia="宋体" w:hint="eastAsia"/>
        </w:rPr>
      </w:pPr>
      <w:r>
        <w:rPr>
          <w:rFonts w:eastAsia="宋体" w:hint="eastAsia"/>
        </w:rPr>
        <w:t>证人、其他有关单位或个人——无需许可，需调查对象同意</w:t>
      </w:r>
    </w:p>
    <w:p w14:paraId="324035DE" w14:textId="77777777" w:rsidR="0070580C" w:rsidRDefault="00000000">
      <w:pPr>
        <w:spacing w:line="240" w:lineRule="auto"/>
        <w:ind w:firstLine="420"/>
        <w:rPr>
          <w:rFonts w:eastAsia="宋体" w:hint="eastAsia"/>
        </w:rPr>
      </w:pPr>
      <w:r>
        <w:rPr>
          <w:rFonts w:eastAsia="宋体" w:hint="eastAsia"/>
        </w:rPr>
        <w:t>被害人或者其近亲属、被害人提供的证人——需经许可，需调查对象同意</w:t>
      </w:r>
    </w:p>
    <w:p w14:paraId="645F5598" w14:textId="77777777" w:rsidR="0070580C" w:rsidRDefault="00000000">
      <w:pPr>
        <w:spacing w:line="240" w:lineRule="auto"/>
        <w:ind w:firstLine="420"/>
        <w:rPr>
          <w:rFonts w:eastAsia="宋体" w:hint="eastAsia"/>
        </w:rPr>
      </w:pPr>
      <w:r>
        <w:rPr>
          <w:rFonts w:eastAsia="宋体" w:hint="eastAsia"/>
        </w:rPr>
        <w:t>正在服刑的罪犯——无需许可（除非系被害人或其近亲属、被害人方证人），，需调查对象同意</w:t>
      </w:r>
    </w:p>
    <w:p w14:paraId="3863A127"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（二）申请调取证据</w:t>
      </w:r>
    </w:p>
    <w:p w14:paraId="612A3573" w14:textId="77777777" w:rsidR="0070580C" w:rsidRDefault="00000000">
      <w:pPr>
        <w:pStyle w:val="3"/>
        <w:spacing w:line="240" w:lineRule="auto"/>
        <w:ind w:firstLineChars="200" w:firstLine="420"/>
        <w:rPr>
          <w:rFonts w:eastAsia="宋体" w:hint="eastAsia"/>
          <w:sz w:val="21"/>
        </w:rPr>
      </w:pPr>
      <w:bookmarkStart w:id="20" w:name="_Toc510878996"/>
      <w:r>
        <w:rPr>
          <w:rFonts w:eastAsia="宋体" w:hint="eastAsia"/>
          <w:sz w:val="21"/>
        </w:rPr>
        <w:t>只能法院、检察院自己调取。在侦查、审查起诉期间收集但未提交的证明犯罪嫌疑人、被告人无罪或罪轻的证据材料，经审查决定不予调取的，书面说明理由。</w:t>
      </w:r>
    </w:p>
    <w:p w14:paraId="2B516647" w14:textId="77777777" w:rsidR="0070580C" w:rsidRDefault="00000000">
      <w:pPr>
        <w:pStyle w:val="3"/>
        <w:spacing w:line="240" w:lineRule="auto"/>
        <w:ind w:firstLineChars="200" w:firstLine="420"/>
        <w:rPr>
          <w:rFonts w:eastAsia="宋体" w:hint="eastAsia"/>
          <w:color w:val="FF0000"/>
          <w:sz w:val="21"/>
        </w:rPr>
      </w:pPr>
      <w:r>
        <w:rPr>
          <w:rFonts w:eastAsia="宋体" w:hint="eastAsia"/>
          <w:color w:val="FF0000"/>
          <w:sz w:val="21"/>
        </w:rPr>
        <w:t>辩护人的开示义务：不在犯罪现场、未达到刑事责任年龄、属于依法不负刑事责任的精神病人</w:t>
      </w:r>
    </w:p>
    <w:p w14:paraId="6CCD820A" w14:textId="77777777" w:rsidR="0070580C" w:rsidRDefault="00000000">
      <w:pPr>
        <w:pStyle w:val="3"/>
        <w:spacing w:line="240" w:lineRule="auto"/>
        <w:ind w:firstLineChars="200" w:firstLine="420"/>
        <w:rPr>
          <w:rFonts w:eastAsia="宋体" w:hint="eastAsia"/>
          <w:sz w:val="21"/>
        </w:rPr>
      </w:pPr>
      <w:r>
        <w:rPr>
          <w:rFonts w:eastAsia="宋体" w:hint="eastAsia"/>
          <w:sz w:val="21"/>
        </w:rPr>
        <w:t>五、申请变更或解除强制措施权</w:t>
      </w:r>
      <w:bookmarkEnd w:id="20"/>
    </w:p>
    <w:p w14:paraId="2302A814" w14:textId="77777777" w:rsidR="0070580C" w:rsidRDefault="00000000">
      <w:pPr>
        <w:spacing w:line="240" w:lineRule="auto"/>
        <w:ind w:firstLine="420"/>
        <w:rPr>
          <w:rFonts w:eastAsia="宋体" w:hint="eastAsia"/>
          <w:kern w:val="0"/>
        </w:rPr>
      </w:pPr>
      <w:r>
        <w:rPr>
          <w:rFonts w:eastAsia="宋体"/>
          <w:kern w:val="0"/>
        </w:rPr>
        <w:t>犯罪嫌疑人、被告人及其法定代理人、近亲属或者</w:t>
      </w:r>
      <w:r>
        <w:rPr>
          <w:rFonts w:eastAsia="宋体"/>
          <w:color w:val="FF0000"/>
          <w:kern w:val="0"/>
        </w:rPr>
        <w:t>辩护人有权申请变更强制措施</w:t>
      </w:r>
      <w:r>
        <w:rPr>
          <w:rFonts w:eastAsia="宋体" w:hint="eastAsia"/>
          <w:kern w:val="0"/>
        </w:rPr>
        <w:t>；</w:t>
      </w:r>
      <w:r>
        <w:rPr>
          <w:rFonts w:eastAsia="宋体"/>
          <w:kern w:val="0"/>
        </w:rPr>
        <w:t>对于</w:t>
      </w:r>
      <w:r>
        <w:rPr>
          <w:rFonts w:eastAsia="宋体"/>
          <w:color w:val="FF0000"/>
          <w:kern w:val="0"/>
        </w:rPr>
        <w:t>采取强制措施法定期限届满的，有权要求解除强制措施</w:t>
      </w:r>
      <w:r>
        <w:rPr>
          <w:rFonts w:eastAsia="宋体"/>
          <w:kern w:val="0"/>
        </w:rPr>
        <w:t>。</w:t>
      </w:r>
    </w:p>
    <w:p w14:paraId="37F6D737" w14:textId="77777777" w:rsidR="0070580C" w:rsidRDefault="00000000">
      <w:pPr>
        <w:pStyle w:val="3"/>
        <w:spacing w:line="240" w:lineRule="auto"/>
        <w:ind w:firstLineChars="200" w:firstLine="420"/>
        <w:rPr>
          <w:rFonts w:eastAsia="宋体" w:hint="eastAsia"/>
          <w:sz w:val="21"/>
        </w:rPr>
      </w:pPr>
      <w:bookmarkStart w:id="21" w:name="_Toc510878997"/>
      <w:r>
        <w:rPr>
          <w:rFonts w:eastAsia="宋体" w:hint="eastAsia"/>
          <w:sz w:val="21"/>
        </w:rPr>
        <w:t>六、要求回避、申请复议权</w:t>
      </w:r>
      <w:bookmarkEnd w:id="21"/>
    </w:p>
    <w:p w14:paraId="13AB2B8E" w14:textId="77777777" w:rsidR="0070580C" w:rsidRDefault="00000000">
      <w:pPr>
        <w:spacing w:line="240" w:lineRule="auto"/>
        <w:ind w:firstLine="420"/>
        <w:rPr>
          <w:rFonts w:eastAsia="宋体" w:hint="eastAsia"/>
          <w:kern w:val="0"/>
        </w:rPr>
      </w:pPr>
      <w:r>
        <w:rPr>
          <w:rFonts w:eastAsia="宋体" w:hint="eastAsia"/>
          <w:color w:val="FF0000"/>
          <w:kern w:val="0"/>
        </w:rPr>
        <w:t>辩护人、诉讼代理人可以依照本章的规定要求回避、申请复议</w:t>
      </w:r>
      <w:r>
        <w:rPr>
          <w:rFonts w:eastAsia="宋体" w:hint="eastAsia"/>
          <w:kern w:val="0"/>
        </w:rPr>
        <w:t>。</w:t>
      </w:r>
    </w:p>
    <w:p w14:paraId="28B2A082" w14:textId="77777777" w:rsidR="0070580C" w:rsidRDefault="00000000">
      <w:pPr>
        <w:pStyle w:val="3"/>
        <w:spacing w:line="240" w:lineRule="auto"/>
        <w:ind w:firstLineChars="200" w:firstLine="420"/>
        <w:rPr>
          <w:rFonts w:eastAsia="宋体" w:hint="eastAsia"/>
          <w:sz w:val="21"/>
        </w:rPr>
      </w:pPr>
      <w:bookmarkStart w:id="22" w:name="_Toc510878998"/>
      <w:r>
        <w:rPr>
          <w:rFonts w:eastAsia="宋体" w:hint="eastAsia"/>
          <w:sz w:val="21"/>
        </w:rPr>
        <w:t>七、提出意见权与参加法庭调查、辩论权</w:t>
      </w:r>
      <w:bookmarkEnd w:id="22"/>
    </w:p>
    <w:p w14:paraId="67C45E5C" w14:textId="77777777" w:rsidR="0070580C" w:rsidRDefault="00000000">
      <w:pPr>
        <w:spacing w:line="240" w:lineRule="auto"/>
        <w:ind w:firstLine="420"/>
        <w:rPr>
          <w:rFonts w:eastAsia="宋体" w:hint="eastAsia"/>
          <w:kern w:val="0"/>
        </w:rPr>
      </w:pPr>
      <w:r>
        <w:rPr>
          <w:rFonts w:eastAsia="宋体" w:hint="eastAsia"/>
          <w:kern w:val="0"/>
        </w:rPr>
        <w:t>辩护律师或辩护人发表意见的方式有两种：一是在除开庭审理以外的程序中以口头或书面方式提出意见；二是在庭审中参加法庭调查和辩论。</w:t>
      </w:r>
    </w:p>
    <w:p w14:paraId="7364E608"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（一）提出意见权</w:t>
      </w:r>
    </w:p>
    <w:p w14:paraId="00D9AF5B" w14:textId="77777777" w:rsidR="0070580C" w:rsidRDefault="00000000">
      <w:pPr>
        <w:pStyle w:val="4"/>
        <w:spacing w:line="240" w:lineRule="auto"/>
        <w:ind w:firstLineChars="200" w:firstLine="420"/>
        <w:rPr>
          <w:rFonts w:ascii="宋体" w:eastAsia="宋体" w:hAnsi="宋体" w:hint="eastAsia"/>
          <w:sz w:val="21"/>
          <w:szCs w:val="21"/>
        </w:rPr>
      </w:pPr>
      <w:r>
        <w:rPr>
          <w:rFonts w:eastAsia="宋体" w:hint="eastAsia"/>
          <w:sz w:val="21"/>
          <w:szCs w:val="21"/>
        </w:rPr>
        <w:t>应当听取辩护律师的意见（即便辩护律师未提出要求）：对未成年犯罪嫌疑人、被告人的审查批准逮捕和决定逮捕</w:t>
      </w:r>
    </w:p>
    <w:p w14:paraId="3A28DFA5"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（二）参加法庭调查、辩论权</w:t>
      </w:r>
    </w:p>
    <w:p w14:paraId="4D188F83" w14:textId="77777777" w:rsidR="0070580C" w:rsidRDefault="00000000">
      <w:pPr>
        <w:spacing w:line="240" w:lineRule="auto"/>
        <w:ind w:firstLine="420"/>
        <w:rPr>
          <w:rFonts w:eastAsia="宋体" w:hint="eastAsia"/>
        </w:rPr>
      </w:pPr>
      <w:r>
        <w:rPr>
          <w:rFonts w:eastAsia="宋体" w:hint="eastAsia"/>
          <w:color w:val="FF0000"/>
        </w:rPr>
        <w:t>除发言过于重复、相关问题已在庭前会议达成一致、与案件无关或者侮辱、诽谤、威胁他人，故意扰乱法庭秩序的情况外</w:t>
      </w:r>
      <w:r>
        <w:rPr>
          <w:rFonts w:eastAsia="宋体" w:hint="eastAsia"/>
        </w:rPr>
        <w:t>，法官不得随意打断或者制止律师按程序进行的发言</w:t>
      </w:r>
    </w:p>
    <w:p w14:paraId="42468056" w14:textId="77777777" w:rsidR="0070580C" w:rsidRDefault="00000000">
      <w:pPr>
        <w:spacing w:line="240" w:lineRule="auto"/>
        <w:ind w:firstLine="422"/>
        <w:rPr>
          <w:rFonts w:hint="eastAsia"/>
          <w:b/>
          <w:bCs/>
          <w:color w:val="FF0000"/>
        </w:rPr>
      </w:pPr>
      <w:r>
        <w:rPr>
          <w:rFonts w:eastAsia="宋体" w:hint="eastAsia"/>
          <w:b/>
          <w:bCs/>
          <w:color w:val="FF0000"/>
        </w:rPr>
        <w:lastRenderedPageBreak/>
        <w:t>注意：做无罪辩护的，可以当庭发表或庭后提交量刑意见。【认罪认罚案件，辩护人也可以做罪轻或无罪辩护】</w:t>
      </w:r>
    </w:p>
    <w:p w14:paraId="25B644BA" w14:textId="77777777" w:rsidR="0070580C" w:rsidRDefault="00000000">
      <w:pPr>
        <w:pStyle w:val="3"/>
        <w:spacing w:line="240" w:lineRule="auto"/>
        <w:ind w:firstLineChars="200" w:firstLine="420"/>
        <w:rPr>
          <w:rFonts w:eastAsia="宋体" w:hint="eastAsia"/>
          <w:sz w:val="21"/>
        </w:rPr>
      </w:pPr>
      <w:bookmarkStart w:id="23" w:name="_Toc510878999"/>
      <w:r>
        <w:rPr>
          <w:rFonts w:eastAsia="宋体" w:hint="eastAsia"/>
          <w:sz w:val="21"/>
        </w:rPr>
        <w:t>八、保密权</w:t>
      </w:r>
      <w:bookmarkEnd w:id="23"/>
    </w:p>
    <w:p w14:paraId="5C77531C" w14:textId="77777777" w:rsidR="0070580C" w:rsidRDefault="00000000">
      <w:pPr>
        <w:spacing w:line="240" w:lineRule="auto"/>
        <w:ind w:firstLine="420"/>
        <w:rPr>
          <w:rFonts w:eastAsia="宋体" w:hint="eastAsia"/>
          <w:kern w:val="0"/>
        </w:rPr>
      </w:pPr>
      <w:r>
        <w:rPr>
          <w:rFonts w:eastAsia="宋体"/>
          <w:kern w:val="0"/>
        </w:rPr>
        <w:t>辩护律师对在执业活动中知悉的委托人的有关情况和信息，有权予以保密。但是，辩护律师在执业活动中知悉委托人或者其他人，</w:t>
      </w:r>
      <w:r>
        <w:rPr>
          <w:rFonts w:eastAsia="宋体"/>
          <w:color w:val="FF0000"/>
          <w:kern w:val="0"/>
        </w:rPr>
        <w:t>准备或者正在实施危害国家安全、公共安全以及严重危害他人人身安全的犯罪</w:t>
      </w:r>
      <w:r>
        <w:rPr>
          <w:rFonts w:eastAsia="宋体"/>
          <w:kern w:val="0"/>
        </w:rPr>
        <w:t>的，应当及时告知司法机关。</w:t>
      </w:r>
    </w:p>
    <w:p w14:paraId="68BC3435" w14:textId="77777777" w:rsidR="0070580C" w:rsidRDefault="00000000">
      <w:pPr>
        <w:pStyle w:val="3"/>
        <w:spacing w:line="240" w:lineRule="auto"/>
        <w:ind w:firstLineChars="200" w:firstLine="420"/>
        <w:rPr>
          <w:rFonts w:eastAsia="宋体" w:hint="eastAsia"/>
          <w:sz w:val="21"/>
        </w:rPr>
      </w:pPr>
      <w:bookmarkStart w:id="24" w:name="_Toc510879000"/>
      <w:r>
        <w:rPr>
          <w:rFonts w:eastAsia="宋体" w:hint="eastAsia"/>
          <w:sz w:val="21"/>
        </w:rPr>
        <w:t>九、拒绝辩护权</w:t>
      </w:r>
      <w:bookmarkEnd w:id="24"/>
    </w:p>
    <w:p w14:paraId="172BC9B2" w14:textId="77777777" w:rsidR="0070580C" w:rsidRDefault="00000000">
      <w:pPr>
        <w:spacing w:line="240" w:lineRule="auto"/>
        <w:ind w:firstLine="420"/>
        <w:rPr>
          <w:rFonts w:eastAsia="宋体" w:cs="仿宋_GB2312" w:hint="eastAsia"/>
          <w:bCs/>
        </w:rPr>
      </w:pPr>
      <w:r>
        <w:rPr>
          <w:rFonts w:eastAsia="宋体" w:cs="仿宋_GB2312" w:hint="eastAsia"/>
          <w:bCs/>
        </w:rPr>
        <w:t>如果遇有当事人</w:t>
      </w:r>
      <w:r>
        <w:rPr>
          <w:rFonts w:eastAsia="宋体" w:cs="仿宋_GB2312" w:hint="eastAsia"/>
          <w:bCs/>
          <w:color w:val="FF0000"/>
        </w:rPr>
        <w:t>委托事项违法</w:t>
      </w:r>
      <w:r>
        <w:rPr>
          <w:rFonts w:eastAsia="宋体" w:cs="仿宋_GB2312" w:hint="eastAsia"/>
          <w:bCs/>
        </w:rPr>
        <w:t>或者</w:t>
      </w:r>
      <w:r>
        <w:rPr>
          <w:rFonts w:eastAsia="宋体" w:cs="仿宋_GB2312" w:hint="eastAsia"/>
          <w:bCs/>
          <w:color w:val="FF0000"/>
        </w:rPr>
        <w:t>委托人利用律师提供的服务从事违法活动</w:t>
      </w:r>
      <w:r>
        <w:rPr>
          <w:rFonts w:eastAsia="宋体" w:cs="仿宋_GB2312" w:hint="eastAsia"/>
          <w:bCs/>
        </w:rPr>
        <w:t>或者</w:t>
      </w:r>
      <w:r>
        <w:rPr>
          <w:rFonts w:eastAsia="宋体" w:cs="仿宋_GB2312" w:hint="eastAsia"/>
          <w:bCs/>
          <w:color w:val="FF0000"/>
        </w:rPr>
        <w:t>委托人隐瞒事实</w:t>
      </w:r>
      <w:r>
        <w:rPr>
          <w:rFonts w:eastAsia="宋体" w:cs="仿宋_GB2312" w:hint="eastAsia"/>
          <w:bCs/>
        </w:rPr>
        <w:t>的情形，律师有权拒绝辩护。</w:t>
      </w:r>
    </w:p>
    <w:p w14:paraId="05E56F7C" w14:textId="77777777" w:rsidR="0070580C" w:rsidRDefault="00000000">
      <w:pPr>
        <w:pStyle w:val="3"/>
        <w:spacing w:line="240" w:lineRule="auto"/>
        <w:ind w:firstLineChars="200" w:firstLine="420"/>
        <w:rPr>
          <w:rFonts w:eastAsia="宋体" w:hint="eastAsia"/>
          <w:sz w:val="21"/>
        </w:rPr>
      </w:pPr>
      <w:bookmarkStart w:id="25" w:name="_Toc510879001"/>
      <w:r>
        <w:rPr>
          <w:rFonts w:eastAsia="宋体" w:hint="eastAsia"/>
          <w:sz w:val="21"/>
        </w:rPr>
        <w:t>十、申诉控告权</w:t>
      </w:r>
      <w:bookmarkEnd w:id="25"/>
    </w:p>
    <w:p w14:paraId="4DF295E7" w14:textId="77777777" w:rsidR="0070580C" w:rsidRDefault="00000000">
      <w:pPr>
        <w:spacing w:line="240" w:lineRule="auto"/>
        <w:ind w:firstLine="420"/>
        <w:rPr>
          <w:rFonts w:eastAsia="宋体" w:cs="仿宋_GB2312" w:hint="eastAsia"/>
          <w:bCs/>
        </w:rPr>
      </w:pPr>
      <w:r>
        <w:rPr>
          <w:rFonts w:eastAsia="宋体"/>
          <w:kern w:val="0"/>
        </w:rPr>
        <w:t>辩护人、诉讼代理人认为公安机关、人民检察院、人民法院及其工作人员阻碍其依法行使诉讼权利的，有权</w:t>
      </w:r>
      <w:r>
        <w:rPr>
          <w:rFonts w:eastAsia="宋体"/>
          <w:color w:val="FF0000"/>
          <w:kern w:val="0"/>
        </w:rPr>
        <w:t>向同级或者上一级人民检察院申诉或者控告</w:t>
      </w:r>
      <w:r>
        <w:rPr>
          <w:rFonts w:eastAsia="宋体"/>
          <w:kern w:val="0"/>
        </w:rPr>
        <w:t>。人民检察院对申诉或者控告应当及时进行审查，情况属实的，通知有关机关予以纠正。</w:t>
      </w:r>
    </w:p>
    <w:p w14:paraId="6E6D9F0C" w14:textId="77777777" w:rsidR="0070580C" w:rsidRDefault="00000000">
      <w:pPr>
        <w:pStyle w:val="3"/>
        <w:spacing w:line="240" w:lineRule="auto"/>
        <w:ind w:firstLineChars="200" w:firstLine="420"/>
        <w:rPr>
          <w:rFonts w:eastAsia="宋体" w:hint="eastAsia"/>
          <w:sz w:val="21"/>
        </w:rPr>
      </w:pPr>
      <w:bookmarkStart w:id="26" w:name="_Toc510879002"/>
      <w:r>
        <w:rPr>
          <w:rFonts w:eastAsia="宋体" w:hint="eastAsia"/>
          <w:sz w:val="21"/>
        </w:rPr>
        <w:t>十一、辩护人犯罪管辖保障权（人身保障权）</w:t>
      </w:r>
      <w:bookmarkEnd w:id="26"/>
    </w:p>
    <w:p w14:paraId="7E7B9148" w14:textId="77777777" w:rsidR="0070580C" w:rsidRDefault="00000000">
      <w:pPr>
        <w:spacing w:line="240" w:lineRule="auto"/>
        <w:ind w:firstLine="420"/>
        <w:rPr>
          <w:rFonts w:eastAsia="宋体" w:hint="eastAsia"/>
          <w:kern w:val="0"/>
        </w:rPr>
      </w:pPr>
      <w:r>
        <w:rPr>
          <w:rFonts w:eastAsia="宋体"/>
          <w:kern w:val="0"/>
        </w:rPr>
        <w:t>辩护人涉嫌犯罪的，应当</w:t>
      </w:r>
      <w:r>
        <w:rPr>
          <w:rFonts w:eastAsia="宋体"/>
          <w:color w:val="FF0000"/>
          <w:kern w:val="0"/>
        </w:rPr>
        <w:t>由办理辩护人所承办案件的侦查机关以外的侦查机关办理</w:t>
      </w:r>
      <w:r>
        <w:rPr>
          <w:rFonts w:eastAsia="宋体"/>
          <w:kern w:val="0"/>
        </w:rPr>
        <w:t>。</w:t>
      </w:r>
    </w:p>
    <w:p w14:paraId="65817628" w14:textId="56EDEE4D" w:rsidR="0070580C" w:rsidRDefault="00000000">
      <w:pPr>
        <w:pStyle w:val="1"/>
        <w:spacing w:before="0" w:line="240" w:lineRule="auto"/>
        <w:rPr>
          <w:rFonts w:ascii="宋体" w:eastAsia="宋体" w:hAnsi="宋体" w:hint="eastAsia"/>
          <w:b/>
          <w:bCs w:val="0"/>
          <w:color w:val="auto"/>
          <w:sz w:val="22"/>
          <w:szCs w:val="22"/>
        </w:rPr>
      </w:pPr>
      <w:bookmarkStart w:id="27" w:name="_Toc30699"/>
      <w:bookmarkStart w:id="28" w:name="_Toc156556129"/>
      <w:r>
        <w:rPr>
          <w:rFonts w:ascii="宋体" w:eastAsia="宋体" w:hAnsi="宋体" w:hint="eastAsia"/>
          <w:b/>
          <w:bCs w:val="0"/>
          <w:color w:val="auto"/>
          <w:sz w:val="22"/>
          <w:szCs w:val="22"/>
        </w:rPr>
        <w:t>考点10</w:t>
      </w:r>
      <w:r>
        <w:rPr>
          <w:rFonts w:ascii="宋体" w:eastAsia="宋体" w:hAnsi="宋体"/>
          <w:b/>
          <w:bCs w:val="0"/>
          <w:color w:val="auto"/>
          <w:sz w:val="22"/>
          <w:szCs w:val="22"/>
        </w:rPr>
        <w:t xml:space="preserve"> </w:t>
      </w:r>
      <w:r>
        <w:rPr>
          <w:rFonts w:ascii="宋体" w:eastAsia="宋体" w:hAnsi="宋体" w:hint="eastAsia"/>
          <w:b/>
          <w:bCs w:val="0"/>
          <w:color w:val="auto"/>
          <w:sz w:val="22"/>
          <w:szCs w:val="22"/>
        </w:rPr>
        <w:t xml:space="preserve"> 法律援助辩护</w:t>
      </w:r>
      <w:bookmarkEnd w:id="27"/>
      <w:bookmarkEnd w:id="28"/>
      <w:r>
        <w:rPr>
          <w:rFonts w:ascii="宋体" w:eastAsia="宋体" w:hAnsi="宋体" w:hint="eastAsia"/>
          <w:b/>
          <w:bCs w:val="0"/>
          <w:color w:val="auto"/>
          <w:sz w:val="22"/>
          <w:szCs w:val="22"/>
        </w:rPr>
        <w:t>（</w:t>
      </w:r>
      <w:r w:rsidR="0099184F">
        <w:rPr>
          <w:rFonts w:ascii="宋体" w:eastAsia="宋体" w:hAnsi="宋体" w:hint="eastAsia"/>
          <w:b/>
          <w:bCs w:val="0"/>
          <w:color w:val="auto"/>
          <w:sz w:val="22"/>
          <w:szCs w:val="22"/>
        </w:rPr>
        <w:t>22</w:t>
      </w:r>
      <w:r>
        <w:rPr>
          <w:rFonts w:ascii="宋体" w:eastAsia="宋体" w:hAnsi="宋体"/>
          <w:b/>
          <w:bCs w:val="0"/>
          <w:color w:val="auto"/>
          <w:sz w:val="22"/>
          <w:szCs w:val="22"/>
        </w:rPr>
        <w:t>:</w:t>
      </w:r>
      <w:r w:rsidR="0099184F">
        <w:rPr>
          <w:rFonts w:ascii="宋体" w:eastAsia="宋体" w:hAnsi="宋体" w:hint="eastAsia"/>
          <w:b/>
          <w:bCs w:val="0"/>
          <w:color w:val="auto"/>
          <w:sz w:val="22"/>
          <w:szCs w:val="22"/>
        </w:rPr>
        <w:t>15</w:t>
      </w:r>
      <w:r>
        <w:rPr>
          <w:rFonts w:ascii="宋体" w:eastAsia="宋体" w:hAnsi="宋体"/>
          <w:b/>
          <w:bCs w:val="0"/>
          <w:color w:val="auto"/>
          <w:sz w:val="22"/>
          <w:szCs w:val="22"/>
        </w:rPr>
        <w:t>:00-</w:t>
      </w:r>
      <w:r>
        <w:rPr>
          <w:rFonts w:ascii="宋体" w:eastAsia="宋体" w:hAnsi="宋体" w:hint="eastAsia"/>
          <w:b/>
          <w:bCs w:val="0"/>
          <w:color w:val="auto"/>
          <w:sz w:val="22"/>
          <w:szCs w:val="22"/>
        </w:rPr>
        <w:t>2</w:t>
      </w:r>
      <w:r w:rsidR="00082D34">
        <w:rPr>
          <w:rFonts w:ascii="宋体" w:eastAsia="宋体" w:hAnsi="宋体" w:hint="eastAsia"/>
          <w:b/>
          <w:bCs w:val="0"/>
          <w:color w:val="auto"/>
          <w:sz w:val="22"/>
          <w:szCs w:val="22"/>
        </w:rPr>
        <w:t>2</w:t>
      </w:r>
      <w:r>
        <w:rPr>
          <w:rFonts w:ascii="宋体" w:eastAsia="宋体" w:hAnsi="宋体"/>
          <w:b/>
          <w:bCs w:val="0"/>
          <w:color w:val="auto"/>
          <w:sz w:val="22"/>
          <w:szCs w:val="22"/>
        </w:rPr>
        <w:t>:</w:t>
      </w:r>
      <w:r w:rsidR="00291E5C">
        <w:rPr>
          <w:rFonts w:ascii="宋体" w:eastAsia="宋体" w:hAnsi="宋体" w:hint="eastAsia"/>
          <w:b/>
          <w:bCs w:val="0"/>
          <w:color w:val="auto"/>
          <w:sz w:val="22"/>
          <w:szCs w:val="22"/>
        </w:rPr>
        <w:t>35</w:t>
      </w:r>
      <w:r>
        <w:rPr>
          <w:rFonts w:ascii="宋体" w:eastAsia="宋体" w:hAnsi="宋体"/>
          <w:b/>
          <w:bCs w:val="0"/>
          <w:color w:val="auto"/>
          <w:sz w:val="22"/>
          <w:szCs w:val="22"/>
        </w:rPr>
        <w:t>:00）</w:t>
      </w:r>
    </w:p>
    <w:p w14:paraId="329ED83D" w14:textId="77777777" w:rsidR="0070580C" w:rsidRDefault="00000000">
      <w:pPr>
        <w:pStyle w:val="3"/>
        <w:spacing w:line="240" w:lineRule="auto"/>
        <w:ind w:firstLineChars="200" w:firstLine="420"/>
        <w:rPr>
          <w:rFonts w:eastAsia="宋体" w:hint="eastAsia"/>
          <w:sz w:val="21"/>
        </w:rPr>
      </w:pPr>
      <w:r>
        <w:rPr>
          <w:rFonts w:eastAsia="宋体" w:hint="eastAsia"/>
          <w:sz w:val="21"/>
        </w:rPr>
        <w:t>一、予以法律援助辩护的情形</w:t>
      </w:r>
    </w:p>
    <w:p w14:paraId="12DA71BB"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（二）通知法律援助</w:t>
      </w:r>
    </w:p>
    <w:p w14:paraId="6149D70B" w14:textId="77777777" w:rsidR="0070580C" w:rsidRDefault="00000000">
      <w:pPr>
        <w:spacing w:line="240" w:lineRule="auto"/>
        <w:ind w:firstLine="420"/>
        <w:rPr>
          <w:rFonts w:eastAsia="宋体" w:hint="eastAsia"/>
          <w:color w:val="FF0000"/>
        </w:rPr>
      </w:pPr>
      <w:r>
        <w:rPr>
          <w:rFonts w:eastAsia="宋体" w:hint="eastAsia"/>
          <w:color w:val="FF0000"/>
        </w:rPr>
        <w:t>1．应当通知</w:t>
      </w:r>
    </w:p>
    <w:p w14:paraId="68CB9F1B" w14:textId="77777777" w:rsidR="0070580C" w:rsidRDefault="00000000">
      <w:pPr>
        <w:spacing w:line="240" w:lineRule="auto"/>
        <w:ind w:firstLine="420"/>
        <w:rPr>
          <w:rFonts w:eastAsia="宋体" w:hint="eastAsia"/>
        </w:rPr>
      </w:pPr>
      <w:r>
        <w:rPr>
          <w:rFonts w:eastAsia="宋体" w:hint="eastAsia"/>
        </w:rPr>
        <w:t>刑事案件的犯罪嫌疑人、被告人属于下列人员之一，没有委托辩护人的，</w:t>
      </w:r>
      <w:r>
        <w:rPr>
          <w:rFonts w:eastAsia="宋体" w:hint="eastAsia"/>
          <w:color w:val="FF0000"/>
        </w:rPr>
        <w:t>人民法院、人民检察院、公安机关</w:t>
      </w:r>
      <w:r>
        <w:rPr>
          <w:rFonts w:eastAsia="宋体" w:hint="eastAsia"/>
        </w:rPr>
        <w:t>应当通知法律援助机构指派律师担任辩护人：未成年人；视力、听力、言语残疾人；不能完全辨认自己行为的成年人；可能被判处无期徒刑、死刑的人；申请法律援助的死刑复核案件被告人；缺席审判案件的被告人；法律法规规定的其他人员。</w:t>
      </w:r>
    </w:p>
    <w:p w14:paraId="66A3AE0A" w14:textId="77777777" w:rsidR="0070580C" w:rsidRDefault="00000000">
      <w:pPr>
        <w:spacing w:line="240" w:lineRule="auto"/>
        <w:ind w:firstLine="420"/>
        <w:rPr>
          <w:rFonts w:eastAsia="宋体" w:hint="eastAsia"/>
        </w:rPr>
      </w:pPr>
      <w:r>
        <w:rPr>
          <w:rFonts w:eastAsia="宋体" w:hint="eastAsia"/>
        </w:rPr>
        <w:t>对可能被判处</w:t>
      </w:r>
      <w:r>
        <w:rPr>
          <w:rFonts w:eastAsia="宋体" w:hint="eastAsia"/>
          <w:color w:val="FF0000"/>
        </w:rPr>
        <w:t>无期徒刑、死刑</w:t>
      </w:r>
      <w:r>
        <w:rPr>
          <w:rFonts w:eastAsia="宋体" w:hint="eastAsia"/>
        </w:rPr>
        <w:t>的人，以及</w:t>
      </w:r>
      <w:r>
        <w:rPr>
          <w:rFonts w:eastAsia="宋体" w:hint="eastAsia"/>
          <w:color w:val="FF0000"/>
        </w:rPr>
        <w:t>死刑复核案件</w:t>
      </w:r>
      <w:r>
        <w:rPr>
          <w:rFonts w:eastAsia="宋体" w:hint="eastAsia"/>
        </w:rPr>
        <w:t>的被告人，法律援助机构收到人民法院、人民检察院、公安机关通知后，应当指派</w:t>
      </w:r>
      <w:r>
        <w:rPr>
          <w:rFonts w:eastAsia="宋体" w:hint="eastAsia"/>
          <w:color w:val="FF0000"/>
        </w:rPr>
        <w:t>具有三年以上相关执业经历</w:t>
      </w:r>
      <w:r>
        <w:rPr>
          <w:rFonts w:eastAsia="宋体" w:hint="eastAsia"/>
        </w:rPr>
        <w:t>的律师担任辩护人。</w:t>
      </w:r>
    </w:p>
    <w:p w14:paraId="3058B0AB" w14:textId="77777777" w:rsidR="0070580C" w:rsidRDefault="00000000">
      <w:pPr>
        <w:spacing w:line="240" w:lineRule="auto"/>
        <w:ind w:firstLine="420"/>
        <w:rPr>
          <w:rFonts w:eastAsia="宋体" w:hint="eastAsia"/>
        </w:rPr>
      </w:pPr>
      <w:r>
        <w:rPr>
          <w:rFonts w:eastAsia="宋体" w:hint="eastAsia"/>
        </w:rPr>
        <w:t>强制医疗案件的被申请人或者被告人没有委托诉讼代理人的，</w:t>
      </w:r>
      <w:r>
        <w:rPr>
          <w:rFonts w:eastAsia="宋体" w:hint="eastAsia"/>
          <w:color w:val="FF0000"/>
        </w:rPr>
        <w:t>人民法院</w:t>
      </w:r>
      <w:r>
        <w:rPr>
          <w:rFonts w:eastAsia="宋体" w:hint="eastAsia"/>
        </w:rPr>
        <w:t>应当通知法律援助机构指派律师为其提供法律援助。</w:t>
      </w:r>
    </w:p>
    <w:p w14:paraId="557E4D56" w14:textId="77777777" w:rsidR="0070580C" w:rsidRDefault="00000000">
      <w:pPr>
        <w:pStyle w:val="3"/>
        <w:spacing w:line="240" w:lineRule="auto"/>
        <w:ind w:firstLineChars="200" w:firstLine="420"/>
        <w:rPr>
          <w:rFonts w:eastAsia="宋体" w:hint="eastAsia"/>
          <w:sz w:val="21"/>
        </w:rPr>
      </w:pPr>
      <w:r>
        <w:rPr>
          <w:rFonts w:eastAsia="宋体" w:hint="eastAsia"/>
          <w:sz w:val="21"/>
        </w:rPr>
        <w:t>二、委托辩护与法律援助辩护的选择</w:t>
      </w:r>
    </w:p>
    <w:p w14:paraId="6969C570" w14:textId="77777777" w:rsidR="0070580C" w:rsidRDefault="00000000">
      <w:pPr>
        <w:spacing w:line="240" w:lineRule="auto"/>
        <w:ind w:firstLine="420"/>
        <w:rPr>
          <w:rFonts w:eastAsia="宋体" w:hint="eastAsia"/>
          <w:color w:val="FF0000"/>
        </w:rPr>
      </w:pPr>
      <w:r>
        <w:rPr>
          <w:rFonts w:eastAsia="宋体" w:hint="eastAsia"/>
          <w:color w:val="FF0000"/>
        </w:rPr>
        <w:t>应当听取被告人的意见，由其确定辩护人人选。</w:t>
      </w:r>
    </w:p>
    <w:p w14:paraId="19C85ACB" w14:textId="77777777" w:rsidR="0070580C" w:rsidRDefault="00000000">
      <w:pPr>
        <w:pStyle w:val="3"/>
        <w:spacing w:line="240" w:lineRule="auto"/>
        <w:ind w:firstLineChars="200" w:firstLine="420"/>
        <w:rPr>
          <w:rFonts w:eastAsia="宋体" w:hint="eastAsia"/>
          <w:sz w:val="21"/>
        </w:rPr>
      </w:pPr>
      <w:r>
        <w:rPr>
          <w:rFonts w:eastAsia="宋体" w:hint="eastAsia"/>
          <w:sz w:val="21"/>
        </w:rPr>
        <w:t>三、法律援助的程序与实施</w:t>
      </w:r>
    </w:p>
    <w:p w14:paraId="364FCFF3" w14:textId="77777777" w:rsidR="0070580C" w:rsidRDefault="00000000">
      <w:pPr>
        <w:pStyle w:val="4"/>
        <w:spacing w:line="240" w:lineRule="auto"/>
        <w:ind w:firstLineChars="200" w:firstLine="420"/>
        <w:rPr>
          <w:rFonts w:ascii="宋体" w:eastAsia="宋体" w:hAnsi="宋体" w:hint="eastAsia"/>
          <w:sz w:val="21"/>
          <w:szCs w:val="21"/>
        </w:rPr>
      </w:pPr>
      <w:r>
        <w:rPr>
          <w:rFonts w:ascii="宋体" w:eastAsia="宋体" w:hAnsi="宋体" w:hint="eastAsia"/>
          <w:sz w:val="21"/>
          <w:szCs w:val="21"/>
        </w:rPr>
        <w:t>（二）申请法律援助</w:t>
      </w:r>
    </w:p>
    <w:p w14:paraId="2EE96B94" w14:textId="77777777" w:rsidR="0070580C" w:rsidRDefault="00000000">
      <w:pPr>
        <w:spacing w:line="240" w:lineRule="auto"/>
        <w:ind w:firstLine="420"/>
        <w:rPr>
          <w:rFonts w:eastAsia="宋体" w:hint="eastAsia"/>
          <w:color w:val="FF0000"/>
        </w:rPr>
      </w:pPr>
      <w:r>
        <w:rPr>
          <w:rFonts w:eastAsia="宋体" w:hint="eastAsia"/>
        </w:rPr>
        <w:t>申请法律援助，由申请人向</w:t>
      </w:r>
      <w:r>
        <w:rPr>
          <w:rFonts w:eastAsia="宋体" w:hint="eastAsia"/>
          <w:color w:val="FF0000"/>
        </w:rPr>
        <w:t>办案机关所在地的法律援助机构提出申请。</w:t>
      </w:r>
    </w:p>
    <w:p w14:paraId="4BD0DF7C" w14:textId="77777777" w:rsidR="0070580C" w:rsidRDefault="00000000">
      <w:pPr>
        <w:spacing w:line="240" w:lineRule="auto"/>
        <w:ind w:firstLine="420"/>
        <w:rPr>
          <w:rFonts w:eastAsia="宋体" w:hint="eastAsia"/>
          <w:color w:val="FF0000"/>
        </w:rPr>
      </w:pPr>
      <w:r>
        <w:rPr>
          <w:rFonts w:eastAsia="宋体" w:hint="eastAsia"/>
        </w:rPr>
        <w:t>被羁押的犯罪嫌疑人、被告人、服刑人员，以及强制隔离戒毒人员等提出法律援助申请的，办案机关、监管场所应当在二十四小时内将申请转交法律援助机构。犯罪嫌疑人、被告人通过值班律师提出代理、刑事辩护等法律援助申请的，值班律师应当在二十四小时内将申请转交法律援助机构。</w:t>
      </w:r>
      <w:r>
        <w:rPr>
          <w:rFonts w:eastAsia="宋体" w:hint="eastAsia"/>
          <w:color w:val="FF0000"/>
        </w:rPr>
        <w:t>被羁押的犯罪嫌疑人、被告人、服刑人员，以及强制隔离戒毒人员，可以由其法定代理人或者近亲属代为提出法律援助申请。</w:t>
      </w:r>
      <w:bookmarkEnd w:id="6"/>
    </w:p>
    <w:sectPr w:rsidR="007058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02BF" w14:textId="77777777" w:rsidR="001A3DDE" w:rsidRDefault="001A3DDE">
      <w:pPr>
        <w:spacing w:line="240" w:lineRule="auto"/>
        <w:ind w:firstLine="420"/>
        <w:rPr>
          <w:rFonts w:hint="eastAsia"/>
        </w:rPr>
      </w:pPr>
      <w:r>
        <w:separator/>
      </w:r>
    </w:p>
  </w:endnote>
  <w:endnote w:type="continuationSeparator" w:id="0">
    <w:p w14:paraId="691AC01D" w14:textId="77777777" w:rsidR="001A3DDE" w:rsidRDefault="001A3DDE">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黑体"/>
    <w:charset w:val="86"/>
    <w:family w:val="modern"/>
    <w:pitch w:val="fixed"/>
    <w:sig w:usb0="00000001" w:usb1="080E0800" w:usb2="00000012" w:usb3="00000000" w:csb0="00040000" w:csb1="00000000"/>
  </w:font>
  <w:font w:name="汉仪中黑简">
    <w:altName w:val="黑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书宋一简">
    <w:altName w:val="宋体"/>
    <w:charset w:val="86"/>
    <w:family w:val="modern"/>
    <w:pitch w:val="fixed"/>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00DA" w14:textId="77777777" w:rsidR="0070580C" w:rsidRDefault="0070580C">
    <w:pPr>
      <w:pStyle w:val="ad"/>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99E4" w14:textId="77777777" w:rsidR="0070580C" w:rsidRDefault="0070580C">
    <w:pPr>
      <w:pStyle w:val="ad"/>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DA5B" w14:textId="77777777" w:rsidR="0070580C" w:rsidRDefault="0070580C">
    <w:pPr>
      <w:pStyle w:val="ad"/>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53551" w14:textId="77777777" w:rsidR="001A3DDE" w:rsidRDefault="001A3DDE">
      <w:pPr>
        <w:spacing w:line="240" w:lineRule="auto"/>
        <w:ind w:firstLine="420"/>
        <w:rPr>
          <w:rFonts w:hint="eastAsia"/>
        </w:rPr>
      </w:pPr>
      <w:r>
        <w:separator/>
      </w:r>
    </w:p>
  </w:footnote>
  <w:footnote w:type="continuationSeparator" w:id="0">
    <w:p w14:paraId="6AE46727" w14:textId="77777777" w:rsidR="001A3DDE" w:rsidRDefault="001A3DDE">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A6F9" w14:textId="77777777" w:rsidR="0070580C" w:rsidRDefault="0070580C">
    <w:pPr>
      <w:pStyle w:val="af"/>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3F86" w14:textId="77777777" w:rsidR="0070580C" w:rsidRDefault="00000000">
    <w:pPr>
      <w:pStyle w:val="af"/>
      <w:ind w:firstLineChars="0" w:firstLine="0"/>
      <w:rPr>
        <w:rFonts w:hint="eastAsia"/>
      </w:rPr>
    </w:pPr>
    <w:r>
      <w:rPr>
        <w:rFonts w:hint="eastAsia"/>
      </w:rPr>
      <w:t>桑磊法考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AB86" w14:textId="77777777" w:rsidR="0070580C" w:rsidRDefault="0070580C">
    <w:pPr>
      <w:pStyle w:val="af"/>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310A2"/>
    <w:multiLevelType w:val="multilevel"/>
    <w:tmpl w:val="577310A2"/>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68C17622"/>
    <w:multiLevelType w:val="multilevel"/>
    <w:tmpl w:val="68C17622"/>
    <w:lvl w:ilvl="0">
      <w:start w:val="1"/>
      <w:numFmt w:val="japaneseCounting"/>
      <w:lvlText w:val="%1、"/>
      <w:lvlJc w:val="left"/>
      <w:pPr>
        <w:ind w:left="840" w:hanging="4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968050709">
    <w:abstractNumId w:val="1"/>
  </w:num>
  <w:num w:numId="2" w16cid:durableId="73735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A3"/>
    <w:rsid w:val="00034EBC"/>
    <w:rsid w:val="00040781"/>
    <w:rsid w:val="000408BA"/>
    <w:rsid w:val="00041FFB"/>
    <w:rsid w:val="00055E7E"/>
    <w:rsid w:val="00082D34"/>
    <w:rsid w:val="00091EFA"/>
    <w:rsid w:val="000B6E09"/>
    <w:rsid w:val="000D3E29"/>
    <w:rsid w:val="000F5F83"/>
    <w:rsid w:val="001173B3"/>
    <w:rsid w:val="0014275B"/>
    <w:rsid w:val="00190CE6"/>
    <w:rsid w:val="001A3DDE"/>
    <w:rsid w:val="001C42B5"/>
    <w:rsid w:val="002011E7"/>
    <w:rsid w:val="002128BE"/>
    <w:rsid w:val="00224980"/>
    <w:rsid w:val="00245D51"/>
    <w:rsid w:val="00253BA3"/>
    <w:rsid w:val="00253BD4"/>
    <w:rsid w:val="00253EDE"/>
    <w:rsid w:val="002613F3"/>
    <w:rsid w:val="00291BD6"/>
    <w:rsid w:val="00291E5C"/>
    <w:rsid w:val="0029642C"/>
    <w:rsid w:val="002A2FCD"/>
    <w:rsid w:val="002A74B1"/>
    <w:rsid w:val="002B7F7D"/>
    <w:rsid w:val="002D5B69"/>
    <w:rsid w:val="002E5694"/>
    <w:rsid w:val="002F38AC"/>
    <w:rsid w:val="00397ACD"/>
    <w:rsid w:val="003B3929"/>
    <w:rsid w:val="004011C0"/>
    <w:rsid w:val="00427470"/>
    <w:rsid w:val="00433A1A"/>
    <w:rsid w:val="00436E47"/>
    <w:rsid w:val="004901B9"/>
    <w:rsid w:val="00493222"/>
    <w:rsid w:val="004B7945"/>
    <w:rsid w:val="004D128D"/>
    <w:rsid w:val="004D4F93"/>
    <w:rsid w:val="005025AA"/>
    <w:rsid w:val="0050533E"/>
    <w:rsid w:val="0053007A"/>
    <w:rsid w:val="00550679"/>
    <w:rsid w:val="00586416"/>
    <w:rsid w:val="005B334C"/>
    <w:rsid w:val="005C1E9E"/>
    <w:rsid w:val="005C31BE"/>
    <w:rsid w:val="005D7528"/>
    <w:rsid w:val="00622302"/>
    <w:rsid w:val="00635D28"/>
    <w:rsid w:val="00640EEA"/>
    <w:rsid w:val="0065390F"/>
    <w:rsid w:val="0067021E"/>
    <w:rsid w:val="006915AD"/>
    <w:rsid w:val="006A0B3C"/>
    <w:rsid w:val="006B6D19"/>
    <w:rsid w:val="006D032D"/>
    <w:rsid w:val="006D54D3"/>
    <w:rsid w:val="0070580C"/>
    <w:rsid w:val="00720C9B"/>
    <w:rsid w:val="00724BEF"/>
    <w:rsid w:val="0073429B"/>
    <w:rsid w:val="0073608E"/>
    <w:rsid w:val="00757A8B"/>
    <w:rsid w:val="00763BFF"/>
    <w:rsid w:val="007736E8"/>
    <w:rsid w:val="00780334"/>
    <w:rsid w:val="0079162C"/>
    <w:rsid w:val="007D74DA"/>
    <w:rsid w:val="007E4668"/>
    <w:rsid w:val="008053E6"/>
    <w:rsid w:val="008108B8"/>
    <w:rsid w:val="00825FD9"/>
    <w:rsid w:val="00841AE6"/>
    <w:rsid w:val="00860A0F"/>
    <w:rsid w:val="008664F6"/>
    <w:rsid w:val="00870460"/>
    <w:rsid w:val="008859E0"/>
    <w:rsid w:val="00890914"/>
    <w:rsid w:val="008930D8"/>
    <w:rsid w:val="0089331C"/>
    <w:rsid w:val="008B6BB4"/>
    <w:rsid w:val="008F4E35"/>
    <w:rsid w:val="009111AE"/>
    <w:rsid w:val="0091277C"/>
    <w:rsid w:val="00923AAF"/>
    <w:rsid w:val="0093705E"/>
    <w:rsid w:val="00957E02"/>
    <w:rsid w:val="009750D8"/>
    <w:rsid w:val="0099184F"/>
    <w:rsid w:val="009924E3"/>
    <w:rsid w:val="009A776C"/>
    <w:rsid w:val="00A13EFA"/>
    <w:rsid w:val="00A21DA3"/>
    <w:rsid w:val="00A27410"/>
    <w:rsid w:val="00A44B88"/>
    <w:rsid w:val="00A525AF"/>
    <w:rsid w:val="00AA349F"/>
    <w:rsid w:val="00AA4833"/>
    <w:rsid w:val="00AB1295"/>
    <w:rsid w:val="00AB399E"/>
    <w:rsid w:val="00AC1EFA"/>
    <w:rsid w:val="00AC798D"/>
    <w:rsid w:val="00AE6075"/>
    <w:rsid w:val="00B05B18"/>
    <w:rsid w:val="00B1329E"/>
    <w:rsid w:val="00B252B3"/>
    <w:rsid w:val="00B52114"/>
    <w:rsid w:val="00B6369D"/>
    <w:rsid w:val="00B92215"/>
    <w:rsid w:val="00BB1674"/>
    <w:rsid w:val="00BE3AB2"/>
    <w:rsid w:val="00BF5A55"/>
    <w:rsid w:val="00C0109B"/>
    <w:rsid w:val="00C4349D"/>
    <w:rsid w:val="00C764B7"/>
    <w:rsid w:val="00CA5CDD"/>
    <w:rsid w:val="00CB413E"/>
    <w:rsid w:val="00D22D4E"/>
    <w:rsid w:val="00D25FE6"/>
    <w:rsid w:val="00DB1CA4"/>
    <w:rsid w:val="00DE410D"/>
    <w:rsid w:val="00E06CDC"/>
    <w:rsid w:val="00E17619"/>
    <w:rsid w:val="00E22081"/>
    <w:rsid w:val="00E27C34"/>
    <w:rsid w:val="00E36E62"/>
    <w:rsid w:val="00E543F3"/>
    <w:rsid w:val="00E65A6D"/>
    <w:rsid w:val="00ED1C5D"/>
    <w:rsid w:val="00ED7FE6"/>
    <w:rsid w:val="00EE4D24"/>
    <w:rsid w:val="00F34893"/>
    <w:rsid w:val="00F44860"/>
    <w:rsid w:val="00F46973"/>
    <w:rsid w:val="00F63BEA"/>
    <w:rsid w:val="00F70AE5"/>
    <w:rsid w:val="00F7280E"/>
    <w:rsid w:val="00F769EA"/>
    <w:rsid w:val="00F7709C"/>
    <w:rsid w:val="00FE4626"/>
    <w:rsid w:val="7FCD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C760A"/>
  <w15:docId w15:val="{D1F4D7BB-B335-413B-B6D3-EF1591A3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left" w:pos="420"/>
      </w:tabs>
      <w:spacing w:line="384" w:lineRule="exact"/>
      <w:ind w:firstLineChars="200" w:firstLine="721"/>
      <w:jc w:val="both"/>
    </w:pPr>
    <w:rPr>
      <w:rFonts w:ascii="宋体" w:eastAsia="汉仪书宋二简" w:hAnsi="宋体" w:cs="宋体"/>
      <w:color w:val="000000" w:themeColor="text1"/>
      <w:kern w:val="2"/>
      <w:sz w:val="21"/>
      <w:szCs w:val="21"/>
    </w:rPr>
  </w:style>
  <w:style w:type="paragraph" w:styleId="1">
    <w:name w:val="heading 1"/>
    <w:basedOn w:val="a"/>
    <w:next w:val="a"/>
    <w:link w:val="10"/>
    <w:uiPriority w:val="9"/>
    <w:qFormat/>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iPriority w:val="9"/>
    <w:unhideWhenUsed/>
    <w:qFormat/>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pPr>
      <w:keepNext/>
      <w:keepLines/>
      <w:ind w:firstLineChars="0" w:firstLine="0"/>
      <w:jc w:val="left"/>
      <w:outlineLvl w:val="3"/>
    </w:pPr>
    <w:rPr>
      <w:rFonts w:asciiTheme="majorHAnsi" w:eastAsia="汉仪大宋简" w:hAnsiTheme="majorHAnsi" w:cstheme="majorBidi"/>
      <w:bCs/>
      <w:sz w:val="24"/>
      <w:szCs w:val="28"/>
    </w:rPr>
  </w:style>
  <w:style w:type="paragraph" w:styleId="5">
    <w:name w:val="heading 5"/>
    <w:basedOn w:val="a"/>
    <w:next w:val="a"/>
    <w:link w:val="50"/>
    <w:uiPriority w:val="9"/>
    <w:unhideWhenUsed/>
    <w:qFormat/>
    <w:pPr>
      <w:keepNext/>
      <w:keepLines/>
      <w:outlineLvl w:val="4"/>
    </w:pPr>
    <w:rPr>
      <w:rFonts w:eastAsia="汉仪中黑简"/>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pPr>
  </w:style>
  <w:style w:type="paragraph" w:styleId="a3">
    <w:name w:val="Document Map"/>
    <w:basedOn w:val="a"/>
    <w:link w:val="a4"/>
    <w:uiPriority w:val="99"/>
    <w:semiHidden/>
    <w:unhideWhenUsed/>
    <w:qFormat/>
    <w:rPr>
      <w:sz w:val="24"/>
      <w:szCs w:val="24"/>
    </w:rPr>
  </w:style>
  <w:style w:type="paragraph" w:styleId="a5">
    <w:name w:val="annotation text"/>
    <w:basedOn w:val="a"/>
    <w:link w:val="a6"/>
    <w:uiPriority w:val="99"/>
    <w:semiHidden/>
    <w:unhideWhenUsed/>
    <w:qFormat/>
    <w:pPr>
      <w:jc w:val="left"/>
    </w:pPr>
  </w:style>
  <w:style w:type="paragraph" w:styleId="TOC5">
    <w:name w:val="toc 5"/>
    <w:basedOn w:val="a"/>
    <w:next w:val="a"/>
    <w:uiPriority w:val="39"/>
    <w:unhideWhenUsed/>
    <w:qFormat/>
    <w:pPr>
      <w:ind w:left="840"/>
    </w:pPr>
  </w:style>
  <w:style w:type="paragraph" w:styleId="TOC3">
    <w:name w:val="toc 3"/>
    <w:basedOn w:val="a"/>
    <w:next w:val="a"/>
    <w:uiPriority w:val="39"/>
    <w:unhideWhenUsed/>
    <w:qFormat/>
    <w:pPr>
      <w:ind w:left="420"/>
    </w:pPr>
  </w:style>
  <w:style w:type="paragraph" w:styleId="a7">
    <w:name w:val="Plain Text"/>
    <w:basedOn w:val="a"/>
    <w:link w:val="a8"/>
    <w:uiPriority w:val="99"/>
    <w:unhideWhenUsed/>
    <w:qFormat/>
    <w:rPr>
      <w:rFonts w:hAnsi="Courier New" w:cs="Courier New"/>
      <w:kern w:val="0"/>
      <w:sz w:val="20"/>
    </w:rPr>
  </w:style>
  <w:style w:type="paragraph" w:styleId="TOC8">
    <w:name w:val="toc 8"/>
    <w:basedOn w:val="a"/>
    <w:next w:val="a"/>
    <w:uiPriority w:val="39"/>
    <w:unhideWhenUsed/>
    <w:qFormat/>
    <w:pPr>
      <w:ind w:left="1470"/>
    </w:pPr>
  </w:style>
  <w:style w:type="paragraph" w:styleId="a9">
    <w:name w:val="endnote text"/>
    <w:basedOn w:val="a"/>
    <w:link w:val="aa"/>
    <w:uiPriority w:val="99"/>
    <w:semiHidden/>
    <w:unhideWhenUsed/>
    <w:qFormat/>
    <w:pPr>
      <w:snapToGrid w:val="0"/>
      <w:jc w:val="left"/>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lear" w:pos="420"/>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lear" w:pos="420"/>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630"/>
    </w:pPr>
  </w:style>
  <w:style w:type="paragraph" w:styleId="af1">
    <w:name w:val="footnote text"/>
    <w:basedOn w:val="a"/>
    <w:link w:val="af2"/>
    <w:semiHidden/>
    <w:unhideWhenUsed/>
    <w:qFormat/>
    <w:pPr>
      <w:snapToGrid w:val="0"/>
      <w:jc w:val="left"/>
    </w:pPr>
    <w:rPr>
      <w:sz w:val="18"/>
      <w:szCs w:val="18"/>
    </w:rPr>
  </w:style>
  <w:style w:type="paragraph" w:styleId="TOC6">
    <w:name w:val="toc 6"/>
    <w:basedOn w:val="a"/>
    <w:next w:val="a"/>
    <w:uiPriority w:val="39"/>
    <w:unhideWhenUsed/>
    <w:qFormat/>
    <w:pPr>
      <w:ind w:left="1050"/>
    </w:pPr>
  </w:style>
  <w:style w:type="paragraph" w:styleId="TOC2">
    <w:name w:val="toc 2"/>
    <w:basedOn w:val="a"/>
    <w:next w:val="a"/>
    <w:uiPriority w:val="39"/>
    <w:unhideWhenUsed/>
    <w:qFormat/>
    <w:pPr>
      <w:ind w:left="210"/>
    </w:pPr>
  </w:style>
  <w:style w:type="paragraph" w:styleId="TOC9">
    <w:name w:val="toc 9"/>
    <w:basedOn w:val="a"/>
    <w:next w:val="a"/>
    <w:uiPriority w:val="39"/>
    <w:unhideWhenUsed/>
    <w:qFormat/>
    <w:pPr>
      <w:ind w:left="1680"/>
    </w:pPr>
  </w:style>
  <w:style w:type="paragraph" w:styleId="HTML">
    <w:name w:val="HTML Preformatted"/>
    <w:basedOn w:val="a"/>
    <w:link w:val="HTML0"/>
    <w:uiPriority w:val="99"/>
    <w:semiHidden/>
    <w:unhideWhenUsed/>
    <w:qFormat/>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Theme="minorEastAsia" w:hAnsi="Courier New" w:cs="Courier New"/>
      <w:color w:val="auto"/>
      <w:kern w:val="0"/>
      <w:sz w:val="20"/>
      <w:szCs w:val="20"/>
    </w:rPr>
  </w:style>
  <w:style w:type="paragraph" w:styleId="af3">
    <w:name w:val="Normal (Web)"/>
    <w:basedOn w:val="a"/>
    <w:uiPriority w:val="99"/>
    <w:unhideWhenUsed/>
    <w:qFormat/>
    <w:pPr>
      <w:widowControl/>
      <w:spacing w:before="100" w:beforeAutospacing="1" w:after="100" w:afterAutospacing="1"/>
      <w:jc w:val="left"/>
    </w:pPr>
    <w:rPr>
      <w:color w:val="auto"/>
      <w:kern w:val="0"/>
      <w:sz w:val="24"/>
      <w:szCs w:val="24"/>
    </w:rPr>
  </w:style>
  <w:style w:type="paragraph" w:styleId="af4">
    <w:name w:val="Title"/>
    <w:basedOn w:val="a"/>
    <w:next w:val="a"/>
    <w:link w:val="af5"/>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6">
    <w:name w:val="annotation subject"/>
    <w:basedOn w:val="a5"/>
    <w:next w:val="a5"/>
    <w:link w:val="af7"/>
    <w:uiPriority w:val="99"/>
    <w:semiHidden/>
    <w:unhideWhenUsed/>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endnote reference"/>
    <w:basedOn w:val="a0"/>
    <w:uiPriority w:val="99"/>
    <w:semiHidden/>
    <w:unhideWhenUsed/>
    <w:qFormat/>
    <w:rPr>
      <w:vertAlign w:val="superscript"/>
    </w:rPr>
  </w:style>
  <w:style w:type="character" w:styleId="afb">
    <w:name w:val="page number"/>
    <w:basedOn w:val="a0"/>
    <w:uiPriority w:val="99"/>
    <w:semiHidden/>
    <w:unhideWhenUsed/>
    <w:qFormat/>
  </w:style>
  <w:style w:type="character" w:styleId="afc">
    <w:name w:val="Emphasis"/>
    <w:basedOn w:val="a0"/>
    <w:uiPriority w:val="20"/>
    <w:qFormat/>
    <w:rPr>
      <w:i/>
      <w:iCs/>
    </w:rPr>
  </w:style>
  <w:style w:type="character" w:styleId="afd">
    <w:name w:val="Hyperlink"/>
    <w:basedOn w:val="a0"/>
    <w:uiPriority w:val="99"/>
    <w:unhideWhenUsed/>
    <w:qFormat/>
    <w:rPr>
      <w:color w:val="0563C1" w:themeColor="hyperlink"/>
      <w:u w:val="single"/>
    </w:rPr>
  </w:style>
  <w:style w:type="character" w:styleId="afe">
    <w:name w:val="annotation reference"/>
    <w:basedOn w:val="a0"/>
    <w:uiPriority w:val="99"/>
    <w:semiHidden/>
    <w:unhideWhenUsed/>
    <w:qFormat/>
    <w:rPr>
      <w:sz w:val="21"/>
      <w:szCs w:val="21"/>
    </w:rPr>
  </w:style>
  <w:style w:type="character" w:styleId="aff">
    <w:name w:val="footnote reference"/>
    <w:basedOn w:val="a0"/>
    <w:semiHidden/>
    <w:unhideWhenUsed/>
    <w:qFormat/>
    <w:rPr>
      <w:vertAlign w:val="superscript"/>
    </w:rPr>
  </w:style>
  <w:style w:type="character" w:customStyle="1" w:styleId="10">
    <w:name w:val="标题 1 字符"/>
    <w:basedOn w:val="a0"/>
    <w:link w:val="1"/>
    <w:uiPriority w:val="9"/>
    <w:qFormat/>
    <w:rPr>
      <w:rFonts w:ascii="汉仪大宋简" w:eastAsia="汉仪大宋简" w:hAnsi="汉仪大宋简" w:cs="宋体"/>
      <w:bCs/>
      <w:color w:val="000000" w:themeColor="text1"/>
      <w:kern w:val="44"/>
      <w:sz w:val="44"/>
      <w:szCs w:val="44"/>
    </w:rPr>
  </w:style>
  <w:style w:type="character" w:customStyle="1" w:styleId="20">
    <w:name w:val="标题 2 字符"/>
    <w:basedOn w:val="a0"/>
    <w:link w:val="2"/>
    <w:uiPriority w:val="9"/>
    <w:qFormat/>
    <w:rPr>
      <w:rFonts w:asciiTheme="majorHAnsi" w:eastAsia="汉仪大黑简" w:hAnsiTheme="majorHAnsi" w:cstheme="majorBidi"/>
      <w:bCs/>
      <w:color w:val="000000" w:themeColor="text1"/>
      <w:sz w:val="32"/>
      <w:szCs w:val="32"/>
    </w:rPr>
  </w:style>
  <w:style w:type="character" w:customStyle="1" w:styleId="30">
    <w:name w:val="标题 3 字符"/>
    <w:basedOn w:val="a0"/>
    <w:link w:val="3"/>
    <w:uiPriority w:val="9"/>
    <w:qFormat/>
    <w:rPr>
      <w:rFonts w:ascii="宋体" w:eastAsia="汉仪大宋简" w:hAnsi="宋体" w:cs="宋体"/>
      <w:color w:val="000000" w:themeColor="text1"/>
      <w:sz w:val="26"/>
      <w:szCs w:val="21"/>
    </w:rPr>
  </w:style>
  <w:style w:type="character" w:customStyle="1" w:styleId="40">
    <w:name w:val="标题 4 字符"/>
    <w:basedOn w:val="a0"/>
    <w:link w:val="4"/>
    <w:uiPriority w:val="9"/>
    <w:qFormat/>
    <w:rPr>
      <w:rFonts w:asciiTheme="majorHAnsi" w:eastAsia="汉仪大宋简" w:hAnsiTheme="majorHAnsi" w:cstheme="majorBidi"/>
      <w:bCs/>
      <w:color w:val="000000" w:themeColor="text1"/>
      <w:sz w:val="24"/>
      <w:szCs w:val="28"/>
    </w:rPr>
  </w:style>
  <w:style w:type="character" w:customStyle="1" w:styleId="50">
    <w:name w:val="标题 5 字符"/>
    <w:basedOn w:val="a0"/>
    <w:link w:val="5"/>
    <w:uiPriority w:val="9"/>
    <w:qFormat/>
    <w:rPr>
      <w:rFonts w:ascii="宋体" w:eastAsia="汉仪中黑简" w:hAnsi="宋体" w:cs="宋体"/>
      <w:bCs/>
      <w:color w:val="000000" w:themeColor="text1"/>
      <w:szCs w:val="21"/>
    </w:rPr>
  </w:style>
  <w:style w:type="character" w:customStyle="1" w:styleId="a4">
    <w:name w:val="文档结构图 字符"/>
    <w:basedOn w:val="a0"/>
    <w:link w:val="a3"/>
    <w:uiPriority w:val="99"/>
    <w:semiHidden/>
    <w:qFormat/>
    <w:rPr>
      <w:rFonts w:ascii="宋体" w:eastAsia="汉仪书宋二简" w:hAnsi="宋体" w:cs="宋体"/>
      <w:color w:val="000000" w:themeColor="text1"/>
      <w:sz w:val="24"/>
      <w:szCs w:val="24"/>
    </w:rPr>
  </w:style>
  <w:style w:type="character" w:customStyle="1" w:styleId="a6">
    <w:name w:val="批注文字 字符"/>
    <w:basedOn w:val="a0"/>
    <w:link w:val="a5"/>
    <w:uiPriority w:val="99"/>
    <w:semiHidden/>
    <w:qFormat/>
    <w:rPr>
      <w:rFonts w:ascii="宋体" w:eastAsia="汉仪书宋二简" w:hAnsi="宋体" w:cs="宋体"/>
      <w:color w:val="000000" w:themeColor="text1"/>
      <w:szCs w:val="21"/>
    </w:rPr>
  </w:style>
  <w:style w:type="character" w:customStyle="1" w:styleId="a8">
    <w:name w:val="纯文本 字符"/>
    <w:basedOn w:val="a0"/>
    <w:link w:val="a7"/>
    <w:uiPriority w:val="99"/>
    <w:qFormat/>
    <w:rPr>
      <w:rFonts w:ascii="宋体" w:eastAsia="汉仪书宋二简" w:hAnsi="Courier New" w:cs="Courier New"/>
      <w:color w:val="000000" w:themeColor="text1"/>
      <w:kern w:val="0"/>
      <w:sz w:val="20"/>
      <w:szCs w:val="21"/>
    </w:rPr>
  </w:style>
  <w:style w:type="character" w:customStyle="1" w:styleId="aa">
    <w:name w:val="尾注文本 字符"/>
    <w:basedOn w:val="a0"/>
    <w:link w:val="a9"/>
    <w:uiPriority w:val="99"/>
    <w:semiHidden/>
    <w:qFormat/>
    <w:rPr>
      <w:rFonts w:ascii="宋体" w:eastAsia="汉仪书宋二简" w:hAnsi="宋体" w:cs="宋体"/>
      <w:color w:val="000000" w:themeColor="text1"/>
      <w:szCs w:val="21"/>
    </w:rPr>
  </w:style>
  <w:style w:type="character" w:customStyle="1" w:styleId="ac">
    <w:name w:val="批注框文本 字符"/>
    <w:basedOn w:val="a0"/>
    <w:link w:val="ab"/>
    <w:uiPriority w:val="99"/>
    <w:semiHidden/>
    <w:qFormat/>
    <w:rPr>
      <w:rFonts w:ascii="宋体" w:eastAsia="汉仪书宋二简" w:hAnsi="宋体" w:cs="宋体"/>
      <w:color w:val="000000" w:themeColor="text1"/>
      <w:sz w:val="18"/>
      <w:szCs w:val="18"/>
    </w:rPr>
  </w:style>
  <w:style w:type="character" w:customStyle="1" w:styleId="ae">
    <w:name w:val="页脚 字符"/>
    <w:basedOn w:val="a0"/>
    <w:link w:val="ad"/>
    <w:uiPriority w:val="99"/>
    <w:qFormat/>
    <w:rPr>
      <w:rFonts w:ascii="宋体" w:eastAsia="汉仪书宋二简" w:hAnsi="宋体" w:cs="宋体"/>
      <w:color w:val="000000" w:themeColor="text1"/>
      <w:sz w:val="18"/>
      <w:szCs w:val="18"/>
    </w:rPr>
  </w:style>
  <w:style w:type="character" w:customStyle="1" w:styleId="af0">
    <w:name w:val="页眉 字符"/>
    <w:basedOn w:val="a0"/>
    <w:link w:val="af"/>
    <w:uiPriority w:val="99"/>
    <w:qFormat/>
    <w:rPr>
      <w:rFonts w:ascii="宋体" w:eastAsia="汉仪书宋二简" w:hAnsi="宋体" w:cs="宋体"/>
      <w:color w:val="000000" w:themeColor="text1"/>
      <w:sz w:val="18"/>
      <w:szCs w:val="18"/>
    </w:rPr>
  </w:style>
  <w:style w:type="character" w:customStyle="1" w:styleId="af2">
    <w:name w:val="脚注文本 字符"/>
    <w:basedOn w:val="a0"/>
    <w:link w:val="af1"/>
    <w:semiHidden/>
    <w:qFormat/>
    <w:rPr>
      <w:rFonts w:ascii="宋体" w:eastAsia="汉仪书宋二简" w:hAnsi="宋体" w:cs="宋体"/>
      <w:color w:val="000000" w:themeColor="text1"/>
      <w:sz w:val="18"/>
      <w:szCs w:val="18"/>
    </w:rPr>
  </w:style>
  <w:style w:type="character" w:customStyle="1" w:styleId="HTML0">
    <w:name w:val="HTML 预设格式 字符"/>
    <w:basedOn w:val="a0"/>
    <w:link w:val="HTML"/>
    <w:uiPriority w:val="99"/>
    <w:semiHidden/>
    <w:qFormat/>
    <w:rPr>
      <w:rFonts w:ascii="Courier New" w:hAnsi="Courier New" w:cs="Courier New"/>
      <w:kern w:val="0"/>
      <w:sz w:val="20"/>
      <w:szCs w:val="20"/>
    </w:rPr>
  </w:style>
  <w:style w:type="character" w:customStyle="1" w:styleId="af5">
    <w:name w:val="标题 字符"/>
    <w:basedOn w:val="a0"/>
    <w:link w:val="af4"/>
    <w:uiPriority w:val="10"/>
    <w:qFormat/>
    <w:rPr>
      <w:rFonts w:asciiTheme="majorHAnsi" w:eastAsiaTheme="majorEastAsia" w:hAnsiTheme="majorHAnsi" w:cstheme="majorBidi"/>
      <w:b/>
      <w:bCs/>
      <w:color w:val="000000" w:themeColor="text1"/>
      <w:sz w:val="32"/>
      <w:szCs w:val="32"/>
    </w:rPr>
  </w:style>
  <w:style w:type="character" w:customStyle="1" w:styleId="af7">
    <w:name w:val="批注主题 字符"/>
    <w:basedOn w:val="a6"/>
    <w:link w:val="af6"/>
    <w:uiPriority w:val="99"/>
    <w:semiHidden/>
    <w:qFormat/>
    <w:rPr>
      <w:rFonts w:ascii="宋体" w:eastAsia="汉仪书宋二简" w:hAnsi="宋体" w:cs="宋体"/>
      <w:b/>
      <w:bCs/>
      <w:color w:val="000000" w:themeColor="text1"/>
      <w:szCs w:val="21"/>
    </w:rPr>
  </w:style>
  <w:style w:type="paragraph" w:styleId="aff0">
    <w:name w:val="List Paragraph"/>
    <w:basedOn w:val="a"/>
    <w:uiPriority w:val="34"/>
    <w:qFormat/>
    <w:pPr>
      <w:ind w:firstLine="420"/>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格标题"/>
    <w:basedOn w:val="a"/>
    <w:qFormat/>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2">
    <w:name w:val="补四级标题"/>
    <w:basedOn w:val="a"/>
    <w:qFormat/>
    <w:pPr>
      <w:ind w:firstLineChars="202" w:firstLine="202"/>
    </w:pPr>
    <w:rPr>
      <w:rFonts w:ascii="汉仪中黑简" w:eastAsia="汉仪中黑简" w:hAnsi="汉仪中黑简" w:cs="汉仪中黑简"/>
      <w:bCs/>
      <w:color w:val="auto"/>
      <w:kern w:val="44"/>
      <w:szCs w:val="24"/>
    </w:rPr>
  </w:style>
  <w:style w:type="paragraph" w:customStyle="1" w:styleId="aff3">
    <w:name w:val="导图文字"/>
    <w:qFormat/>
    <w:pPr>
      <w:spacing w:line="384" w:lineRule="exact"/>
    </w:pPr>
    <w:rPr>
      <w:rFonts w:ascii="汉仪书宋二简" w:eastAsia="汉仪书宋二简" w:hAnsi="汉仪书宋二简" w:cs="汉仪书宋二简" w:hint="eastAsia"/>
      <w:b/>
      <w:color w:val="000000"/>
      <w:szCs w:val="21"/>
    </w:rPr>
  </w:style>
  <w:style w:type="paragraph" w:customStyle="1" w:styleId="21">
    <w:name w:val="导图正文2"/>
    <w:qFormat/>
    <w:pPr>
      <w:spacing w:line="384" w:lineRule="exact"/>
    </w:pPr>
    <w:rPr>
      <w:rFonts w:ascii="汉仪书宋二简" w:eastAsia="汉仪书宋二简" w:hAnsi="汉仪书宋二简" w:cs="汉仪书宋二简" w:hint="eastAsia"/>
      <w:color w:val="000000"/>
      <w:szCs w:val="21"/>
    </w:rPr>
  </w:style>
  <w:style w:type="paragraph" w:customStyle="1" w:styleId="14">
    <w:name w:val="修订1"/>
    <w:hidden/>
    <w:uiPriority w:val="99"/>
    <w:semiHidden/>
    <w:qFormat/>
    <w:rPr>
      <w:rFonts w:ascii="宋体" w:eastAsia="汉仪书宋二简" w:hAnsi="宋体" w:cs="宋体"/>
      <w:color w:val="000000" w:themeColor="text1"/>
      <w:kern w:val="2"/>
      <w:sz w:val="21"/>
      <w:szCs w:val="21"/>
    </w:rPr>
  </w:style>
  <w:style w:type="character" w:customStyle="1" w:styleId="apple-converted-space">
    <w:name w:val="apple-converted-space"/>
    <w:basedOn w:val="a0"/>
    <w:qFormat/>
  </w:style>
  <w:style w:type="table" w:customStyle="1" w:styleId="110">
    <w:name w:val="网格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pPr>
      <w:widowControl/>
      <w:tabs>
        <w:tab w:val="clear" w:pos="420"/>
      </w:tabs>
      <w:spacing w:before="480" w:line="276" w:lineRule="auto"/>
      <w:jc w:val="left"/>
      <w:outlineLvl w:val="9"/>
    </w:pPr>
    <w:rPr>
      <w:rFonts w:asciiTheme="majorHAnsi" w:eastAsiaTheme="majorEastAsia" w:hAnsiTheme="majorHAnsi" w:cstheme="majorBidi"/>
      <w:b/>
      <w:color w:val="2F5496" w:themeColor="accent1" w:themeShade="BF"/>
      <w:kern w:val="0"/>
      <w:sz w:val="28"/>
      <w:szCs w:val="28"/>
    </w:rPr>
  </w:style>
  <w:style w:type="table" w:customStyle="1" w:styleId="120">
    <w:name w:val="网格型1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2222</Words>
  <Characters>2290</Characters>
  <Application>Microsoft Office Word</Application>
  <DocSecurity>0</DocSecurity>
  <Lines>91</Lines>
  <Paragraphs>110</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文琦</dc:creator>
  <cp:lastModifiedBy>文琦 刘</cp:lastModifiedBy>
  <cp:revision>121</cp:revision>
  <dcterms:created xsi:type="dcterms:W3CDTF">2023-04-28T20:19:00Z</dcterms:created>
  <dcterms:modified xsi:type="dcterms:W3CDTF">2025-04-09T14:35:00Z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F9E19448A5B3779FFE76F66795A1A56C_42</vt:lpwstr>
  </property>
</Properties>
</file>