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FB53D" w14:textId="62A17C9E" w:rsidR="008B4328" w:rsidRPr="00920A67" w:rsidRDefault="00920A67" w:rsidP="00920A67">
      <w:pPr>
        <w:pStyle w:val="1"/>
        <w:spacing w:before="0" w:line="240" w:lineRule="exact"/>
        <w:rPr>
          <w:rFonts w:asciiTheme="minorEastAsia" w:eastAsiaTheme="minorEastAsia" w:hAnsiTheme="minorEastAsia" w:hint="eastAsia"/>
          <w:b/>
          <w:bCs w:val="0"/>
          <w:color w:val="auto"/>
          <w:sz w:val="21"/>
          <w:szCs w:val="21"/>
        </w:rPr>
      </w:pPr>
      <w:bookmarkStart w:id="0" w:name="_Toc183697269"/>
      <w:bookmarkStart w:id="1" w:name="_Toc183697272"/>
      <w:r w:rsidRPr="00F753BA">
        <w:rPr>
          <w:rFonts w:asciiTheme="minorEastAsia" w:eastAsiaTheme="minorEastAsia" w:hAnsiTheme="minorEastAsia" w:hint="eastAsia"/>
          <w:b/>
          <w:bCs w:val="0"/>
          <w:color w:val="auto"/>
          <w:sz w:val="21"/>
          <w:szCs w:val="21"/>
        </w:rPr>
        <w:t>第二节</w:t>
      </w:r>
      <w:r>
        <w:rPr>
          <w:rFonts w:asciiTheme="minorEastAsia" w:eastAsiaTheme="minorEastAsia" w:hAnsiTheme="minorEastAsia" w:hint="eastAsia"/>
          <w:b/>
          <w:bCs w:val="0"/>
          <w:color w:val="auto"/>
          <w:sz w:val="21"/>
          <w:szCs w:val="21"/>
        </w:rPr>
        <w:t>剩余内容</w:t>
      </w:r>
      <w:r w:rsidRPr="00F753BA">
        <w:rPr>
          <w:rFonts w:asciiTheme="minorEastAsia" w:eastAsiaTheme="minorEastAsia" w:hAnsiTheme="minorEastAsia" w:hint="eastAsia"/>
          <w:b/>
          <w:bCs w:val="0"/>
          <w:color w:val="auto"/>
          <w:sz w:val="21"/>
          <w:szCs w:val="21"/>
        </w:rPr>
        <w:t xml:space="preserve">  起诉与不起诉</w:t>
      </w:r>
      <w:bookmarkEnd w:id="0"/>
      <w:r w:rsidRPr="00F753BA">
        <w:rPr>
          <w:rFonts w:asciiTheme="minorEastAsia" w:eastAsiaTheme="minorEastAsia" w:hAnsiTheme="minorEastAsia" w:hint="eastAsia"/>
          <w:b/>
          <w:bCs w:val="0"/>
          <w:color w:val="auto"/>
          <w:sz w:val="21"/>
          <w:szCs w:val="21"/>
        </w:rPr>
        <w:t>（19</w:t>
      </w:r>
      <w:r w:rsidRPr="00F753BA">
        <w:rPr>
          <w:rFonts w:asciiTheme="minorEastAsia" w:eastAsiaTheme="minorEastAsia" w:hAnsiTheme="minorEastAsia"/>
          <w:b/>
          <w:bCs w:val="0"/>
          <w:color w:val="auto"/>
          <w:sz w:val="21"/>
          <w:szCs w:val="21"/>
        </w:rPr>
        <w:t>:</w:t>
      </w:r>
      <w:r w:rsidRPr="00F753BA">
        <w:rPr>
          <w:rFonts w:asciiTheme="minorEastAsia" w:eastAsiaTheme="minorEastAsia" w:hAnsiTheme="minorEastAsia" w:hint="eastAsia"/>
          <w:b/>
          <w:bCs w:val="0"/>
          <w:color w:val="auto"/>
          <w:sz w:val="21"/>
          <w:szCs w:val="21"/>
        </w:rPr>
        <w:t>30</w:t>
      </w:r>
      <w:r w:rsidRPr="00F753BA">
        <w:rPr>
          <w:rFonts w:asciiTheme="minorEastAsia" w:eastAsiaTheme="minorEastAsia" w:hAnsiTheme="minorEastAsia"/>
          <w:b/>
          <w:bCs w:val="0"/>
          <w:color w:val="auto"/>
          <w:sz w:val="21"/>
          <w:szCs w:val="21"/>
        </w:rPr>
        <w:t>:00-</w:t>
      </w:r>
      <w:r w:rsidR="00785C4A">
        <w:rPr>
          <w:rFonts w:asciiTheme="minorEastAsia" w:eastAsiaTheme="minorEastAsia" w:hAnsiTheme="minorEastAsia" w:hint="eastAsia"/>
          <w:b/>
          <w:bCs w:val="0"/>
          <w:color w:val="auto"/>
          <w:sz w:val="21"/>
          <w:szCs w:val="21"/>
        </w:rPr>
        <w:t>20</w:t>
      </w:r>
      <w:r w:rsidRPr="00F753BA">
        <w:rPr>
          <w:rFonts w:asciiTheme="minorEastAsia" w:eastAsiaTheme="minorEastAsia" w:hAnsiTheme="minorEastAsia"/>
          <w:b/>
          <w:bCs w:val="0"/>
          <w:color w:val="auto"/>
          <w:sz w:val="21"/>
          <w:szCs w:val="21"/>
        </w:rPr>
        <w:t>:</w:t>
      </w:r>
      <w:r>
        <w:rPr>
          <w:rFonts w:asciiTheme="minorEastAsia" w:eastAsiaTheme="minorEastAsia" w:hAnsiTheme="minorEastAsia" w:hint="eastAsia"/>
          <w:b/>
          <w:bCs w:val="0"/>
          <w:color w:val="auto"/>
          <w:sz w:val="21"/>
          <w:szCs w:val="21"/>
        </w:rPr>
        <w:t>0</w:t>
      </w:r>
      <w:r w:rsidR="00785C4A">
        <w:rPr>
          <w:rFonts w:asciiTheme="minorEastAsia" w:eastAsiaTheme="minorEastAsia" w:hAnsiTheme="minorEastAsia" w:hint="eastAsia"/>
          <w:b/>
          <w:bCs w:val="0"/>
          <w:color w:val="auto"/>
          <w:sz w:val="21"/>
          <w:szCs w:val="21"/>
        </w:rPr>
        <w:t>2</w:t>
      </w:r>
      <w:r w:rsidRPr="00F753BA">
        <w:rPr>
          <w:rFonts w:asciiTheme="minorEastAsia" w:eastAsiaTheme="minorEastAsia" w:hAnsiTheme="minorEastAsia"/>
          <w:b/>
          <w:bCs w:val="0"/>
          <w:color w:val="auto"/>
          <w:sz w:val="21"/>
          <w:szCs w:val="21"/>
        </w:rPr>
        <w:t>:00）</w:t>
      </w:r>
    </w:p>
    <w:p w14:paraId="30D6B6D2" w14:textId="77777777" w:rsidR="00920A67" w:rsidRPr="002C74D0" w:rsidRDefault="00920A67" w:rsidP="00920A67">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（二）不起诉的救济</w:t>
      </w:r>
    </w:p>
    <w:p w14:paraId="383057DA" w14:textId="77777777" w:rsidR="00920A67" w:rsidRPr="002C74D0" w:rsidRDefault="00920A67" w:rsidP="00920A67">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1．监察机关：对于移送的案件，认为不起诉的决定有错误，可向上一级检察院提请复议。</w:t>
      </w:r>
    </w:p>
    <w:p w14:paraId="31A71D90" w14:textId="77777777" w:rsidR="00920A67" w:rsidRPr="002C74D0" w:rsidRDefault="00920A67" w:rsidP="00920A67">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2．公安机关：对于移送的案件，认为不起诉的决定有错误的时候，可以要求复议；如果意见不被接受，可以向上一级检察院提请复核。</w:t>
      </w:r>
    </w:p>
    <w:p w14:paraId="7325EF35" w14:textId="77777777" w:rsidR="00920A67" w:rsidRPr="008161B3" w:rsidRDefault="00920A67" w:rsidP="00920A67">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3．被害人：如果不服，可以向上一级检察院申诉，请求提起公诉。对检察院维持不起诉决定的，被害人可以向法院起诉。被害人也可以不经申诉，直接向法院起诉。（公诉转自诉）</w:t>
      </w:r>
      <w:r>
        <w:rPr>
          <w:rFonts w:asciiTheme="minorEastAsia" w:eastAsiaTheme="minorEastAsia" w:hAnsiTheme="minorEastAsia" w:hint="eastAsia"/>
          <w:kern w:val="0"/>
          <w:shd w:val="clear" w:color="auto" w:fill="FFFFFF"/>
          <w:lang w:bidi="ar"/>
        </w:rPr>
        <w:t>。</w:t>
      </w:r>
      <w:r w:rsidRPr="008161B3">
        <w:rPr>
          <w:rFonts w:asciiTheme="minorEastAsia" w:eastAsiaTheme="minorEastAsia" w:hAnsiTheme="minorEastAsia" w:cs="Times New Roman" w:hint="eastAsia"/>
          <w:color w:val="FF0000"/>
        </w:rPr>
        <w:t>附条件不起诉案件的被害人不能提出自诉。</w:t>
      </w:r>
    </w:p>
    <w:p w14:paraId="2F56D283" w14:textId="70376238" w:rsidR="00920A67" w:rsidRPr="00920A67" w:rsidRDefault="00B73EA1" w:rsidP="00920A67">
      <w:pPr>
        <w:spacing w:line="240" w:lineRule="exact"/>
        <w:ind w:firstLine="420"/>
        <w:rPr>
          <w:rFonts w:asciiTheme="minorEastAsia" w:eastAsiaTheme="minorEastAsia" w:hAnsiTheme="minorEastAsia" w:hint="eastAsia"/>
          <w:kern w:val="0"/>
          <w:shd w:val="clear" w:color="auto" w:fill="FFFFFF"/>
          <w:lang w:bidi="ar"/>
        </w:rPr>
      </w:pPr>
      <w:r>
        <w:rPr>
          <w:rFonts w:asciiTheme="minorEastAsia" w:eastAsiaTheme="minorEastAsia" w:hAnsiTheme="minorEastAsia" w:hint="eastAsia"/>
          <w:kern w:val="0"/>
          <w:shd w:val="clear" w:color="auto" w:fill="FFFFFF"/>
          <w:lang w:bidi="ar"/>
        </w:rPr>
        <w:t>4.</w:t>
      </w:r>
      <w:r w:rsidR="00920A67" w:rsidRPr="002C74D0">
        <w:rPr>
          <w:rFonts w:asciiTheme="minorEastAsia" w:eastAsiaTheme="minorEastAsia" w:hAnsiTheme="minorEastAsia" w:hint="eastAsia"/>
          <w:color w:val="FF0000"/>
          <w:kern w:val="0"/>
          <w:shd w:val="clear" w:color="auto" w:fill="FFFFFF"/>
          <w:lang w:bidi="ar"/>
        </w:rPr>
        <w:t>被不起诉人（犯罪嫌疑人）：对酌定不起诉决定不服，可以向检察院申诉</w:t>
      </w:r>
      <w:r w:rsidR="00920A67" w:rsidRPr="002C74D0">
        <w:rPr>
          <w:rFonts w:asciiTheme="minorEastAsia" w:eastAsiaTheme="minorEastAsia" w:hAnsiTheme="minorEastAsia" w:hint="eastAsia"/>
          <w:kern w:val="0"/>
          <w:shd w:val="clear" w:color="auto" w:fill="FFFFFF"/>
          <w:lang w:bidi="ar"/>
        </w:rPr>
        <w:t>。</w:t>
      </w:r>
    </w:p>
    <w:p w14:paraId="701A6DAB" w14:textId="77777777" w:rsidR="008B4328" w:rsidRPr="00F753BA" w:rsidRDefault="008B4328" w:rsidP="008B4328">
      <w:pPr>
        <w:pStyle w:val="1"/>
        <w:spacing w:before="0" w:line="240" w:lineRule="exact"/>
        <w:rPr>
          <w:rFonts w:asciiTheme="minorEastAsia" w:eastAsiaTheme="minorEastAsia" w:hAnsiTheme="minorEastAsia" w:hint="eastAsia"/>
          <w:b/>
          <w:bCs w:val="0"/>
          <w:sz w:val="21"/>
          <w:szCs w:val="21"/>
        </w:rPr>
      </w:pPr>
      <w:bookmarkStart w:id="2" w:name="_Toc183697270"/>
      <w:r w:rsidRPr="00F753BA">
        <w:rPr>
          <w:rFonts w:asciiTheme="minorEastAsia" w:eastAsiaTheme="minorEastAsia" w:hAnsiTheme="minorEastAsia" w:hint="eastAsia"/>
          <w:b/>
          <w:bCs w:val="0"/>
          <w:sz w:val="21"/>
          <w:szCs w:val="21"/>
        </w:rPr>
        <w:t>第四章  刑事诉讼程序之审判程序</w:t>
      </w:r>
      <w:bookmarkEnd w:id="2"/>
    </w:p>
    <w:p w14:paraId="40EE1BA7" w14:textId="31B7E22B" w:rsidR="008B4328" w:rsidRPr="00F753BA" w:rsidRDefault="008B4328" w:rsidP="008B4328">
      <w:pPr>
        <w:pStyle w:val="1"/>
        <w:spacing w:before="0" w:line="240" w:lineRule="exact"/>
        <w:rPr>
          <w:rFonts w:asciiTheme="minorEastAsia" w:eastAsiaTheme="minorEastAsia" w:hAnsiTheme="minorEastAsia" w:hint="eastAsia"/>
          <w:b/>
          <w:bCs w:val="0"/>
          <w:color w:val="auto"/>
          <w:sz w:val="21"/>
          <w:szCs w:val="21"/>
        </w:rPr>
      </w:pPr>
      <w:bookmarkStart w:id="3" w:name="_Toc183697271"/>
      <w:r w:rsidRPr="00F753BA">
        <w:rPr>
          <w:rFonts w:asciiTheme="minorEastAsia" w:eastAsiaTheme="minorEastAsia" w:hAnsiTheme="minorEastAsia" w:hint="eastAsia"/>
          <w:b/>
          <w:bCs w:val="0"/>
          <w:color w:val="auto"/>
          <w:sz w:val="21"/>
          <w:szCs w:val="21"/>
        </w:rPr>
        <w:t>第一节  刑事审判概述</w:t>
      </w:r>
      <w:bookmarkEnd w:id="3"/>
      <w:r w:rsidRPr="00F753BA">
        <w:rPr>
          <w:rFonts w:asciiTheme="minorEastAsia" w:eastAsiaTheme="minorEastAsia" w:hAnsiTheme="minorEastAsia" w:hint="eastAsia"/>
          <w:b/>
          <w:bCs w:val="0"/>
          <w:color w:val="auto"/>
          <w:sz w:val="21"/>
          <w:szCs w:val="21"/>
        </w:rPr>
        <w:t>（</w:t>
      </w:r>
      <w:r w:rsidR="00785C4A">
        <w:rPr>
          <w:rFonts w:asciiTheme="minorEastAsia" w:eastAsiaTheme="minorEastAsia" w:hAnsiTheme="minorEastAsia" w:hint="eastAsia"/>
          <w:b/>
          <w:bCs w:val="0"/>
          <w:color w:val="auto"/>
          <w:sz w:val="21"/>
          <w:szCs w:val="21"/>
        </w:rPr>
        <w:t>20</w:t>
      </w:r>
      <w:r w:rsidR="00785C4A" w:rsidRPr="00F753BA">
        <w:rPr>
          <w:rFonts w:asciiTheme="minorEastAsia" w:eastAsiaTheme="minorEastAsia" w:hAnsiTheme="minorEastAsia"/>
          <w:b/>
          <w:bCs w:val="0"/>
          <w:color w:val="auto"/>
          <w:sz w:val="21"/>
          <w:szCs w:val="21"/>
        </w:rPr>
        <w:t>:</w:t>
      </w:r>
      <w:r w:rsidR="00785C4A">
        <w:rPr>
          <w:rFonts w:asciiTheme="minorEastAsia" w:eastAsiaTheme="minorEastAsia" w:hAnsiTheme="minorEastAsia" w:hint="eastAsia"/>
          <w:b/>
          <w:bCs w:val="0"/>
          <w:color w:val="auto"/>
          <w:sz w:val="21"/>
          <w:szCs w:val="21"/>
        </w:rPr>
        <w:t>02</w:t>
      </w:r>
      <w:r w:rsidR="00785C4A" w:rsidRPr="00F753BA">
        <w:rPr>
          <w:rFonts w:asciiTheme="minorEastAsia" w:eastAsiaTheme="minorEastAsia" w:hAnsiTheme="minorEastAsia"/>
          <w:b/>
          <w:bCs w:val="0"/>
          <w:color w:val="auto"/>
          <w:sz w:val="21"/>
          <w:szCs w:val="21"/>
        </w:rPr>
        <w:t>:00</w:t>
      </w:r>
      <w:r w:rsidRPr="00F753BA">
        <w:rPr>
          <w:rFonts w:asciiTheme="minorEastAsia" w:eastAsiaTheme="minorEastAsia" w:hAnsiTheme="minorEastAsia"/>
          <w:b/>
          <w:bCs w:val="0"/>
          <w:color w:val="auto"/>
          <w:sz w:val="21"/>
          <w:szCs w:val="21"/>
        </w:rPr>
        <w:t>-</w:t>
      </w:r>
      <w:r w:rsidR="009E30D5">
        <w:rPr>
          <w:rFonts w:asciiTheme="minorEastAsia" w:eastAsiaTheme="minorEastAsia" w:hAnsiTheme="minorEastAsia" w:hint="eastAsia"/>
          <w:b/>
          <w:bCs w:val="0"/>
          <w:color w:val="auto"/>
          <w:sz w:val="21"/>
          <w:szCs w:val="21"/>
        </w:rPr>
        <w:t>20</w:t>
      </w:r>
      <w:r w:rsidR="009E30D5" w:rsidRPr="00604D12">
        <w:rPr>
          <w:rFonts w:asciiTheme="minorEastAsia" w:eastAsiaTheme="minorEastAsia" w:hAnsiTheme="minorEastAsia"/>
          <w:b/>
          <w:bCs w:val="0"/>
          <w:color w:val="auto"/>
          <w:sz w:val="21"/>
          <w:szCs w:val="21"/>
        </w:rPr>
        <w:t>:</w:t>
      </w:r>
      <w:r w:rsidR="009E30D5">
        <w:rPr>
          <w:rFonts w:asciiTheme="minorEastAsia" w:eastAsiaTheme="minorEastAsia" w:hAnsiTheme="minorEastAsia" w:hint="eastAsia"/>
          <w:b/>
          <w:bCs w:val="0"/>
          <w:color w:val="auto"/>
          <w:sz w:val="21"/>
          <w:szCs w:val="21"/>
        </w:rPr>
        <w:t>24</w:t>
      </w:r>
      <w:r w:rsidR="009E30D5" w:rsidRPr="00604D12">
        <w:rPr>
          <w:rFonts w:asciiTheme="minorEastAsia" w:eastAsiaTheme="minorEastAsia" w:hAnsiTheme="minorEastAsia"/>
          <w:b/>
          <w:bCs w:val="0"/>
          <w:color w:val="auto"/>
          <w:sz w:val="21"/>
          <w:szCs w:val="21"/>
        </w:rPr>
        <w:t>:00</w:t>
      </w:r>
      <w:r w:rsidRPr="00F753BA">
        <w:rPr>
          <w:rFonts w:asciiTheme="minorEastAsia" w:eastAsiaTheme="minorEastAsia" w:hAnsiTheme="minorEastAsia"/>
          <w:b/>
          <w:bCs w:val="0"/>
          <w:color w:val="auto"/>
          <w:sz w:val="21"/>
          <w:szCs w:val="21"/>
        </w:rPr>
        <w:t>）</w:t>
      </w:r>
    </w:p>
    <w:p w14:paraId="09A7AA1E" w14:textId="77777777" w:rsidR="008B4328" w:rsidRPr="00F753BA" w:rsidRDefault="008B4328" w:rsidP="008B4328">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一、刑事审判原则</w:t>
      </w:r>
    </w:p>
    <w:p w14:paraId="0035E937" w14:textId="77777777" w:rsidR="008B4328" w:rsidRPr="002C74D0" w:rsidRDefault="008B4328" w:rsidP="008B4328">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（一）审判公开原则</w:t>
      </w:r>
    </w:p>
    <w:p w14:paraId="2F408BD1"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审判公开是指法院审理案件和宣告判决，公开进行，允许公民到法庭旁听，允许新闻记者采访报道，也就是把法庭的全过程，除了休庭评议之外都公之于众。</w:t>
      </w:r>
    </w:p>
    <w:p w14:paraId="5A40AA8A" w14:textId="15B79624" w:rsidR="008B4328" w:rsidRPr="00AC45FB" w:rsidRDefault="008B4328" w:rsidP="008B4328">
      <w:pPr>
        <w:spacing w:line="240" w:lineRule="exact"/>
        <w:ind w:firstLine="420"/>
        <w:rPr>
          <w:rFonts w:asciiTheme="minorEastAsia" w:eastAsiaTheme="minorEastAsia" w:hAnsiTheme="minorEastAsia" w:hint="eastAsia"/>
          <w:color w:val="FF0000"/>
        </w:rPr>
      </w:pPr>
      <w:r w:rsidRPr="002C74D0">
        <w:rPr>
          <w:rFonts w:asciiTheme="minorEastAsia" w:eastAsiaTheme="minorEastAsia" w:hAnsiTheme="minorEastAsia" w:cs="Times New Roman" w:hint="eastAsia"/>
        </w:rPr>
        <w:t>审判公开的内容：审理过程的公开和审判结果的公开。</w:t>
      </w:r>
      <w:r w:rsidR="00AC45FB" w:rsidRPr="00AC45FB">
        <w:rPr>
          <w:rFonts w:asciiTheme="minorEastAsia" w:eastAsiaTheme="minorEastAsia" w:hAnsiTheme="minorEastAsia" w:hint="eastAsia"/>
          <w:color w:val="FF0000"/>
        </w:rPr>
        <w:t>【合议庭的评议不公开】</w:t>
      </w:r>
    </w:p>
    <w:p w14:paraId="7DDB61A5"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审判公开的对象：向当事人公开和向社会公开。</w:t>
      </w:r>
    </w:p>
    <w:p w14:paraId="643DFE43" w14:textId="77777777" w:rsidR="008B4328" w:rsidRPr="00F753BA" w:rsidRDefault="008B4328" w:rsidP="008B4328">
      <w:pPr>
        <w:spacing w:line="240" w:lineRule="exact"/>
        <w:ind w:firstLine="420"/>
        <w:rPr>
          <w:rFonts w:asciiTheme="minorEastAsia" w:eastAsiaTheme="minorEastAsia" w:hAnsiTheme="minorEastAsia" w:hint="eastAsia"/>
          <w:color w:val="FF0000"/>
        </w:rPr>
      </w:pPr>
      <w:r w:rsidRPr="002C74D0">
        <w:rPr>
          <w:rFonts w:asciiTheme="minorEastAsia" w:eastAsiaTheme="minorEastAsia" w:hAnsiTheme="minorEastAsia" w:hint="eastAsia"/>
        </w:rPr>
        <w:t>审判公开的例外：</w:t>
      </w:r>
      <w:r w:rsidRPr="002C74D0">
        <w:rPr>
          <w:rFonts w:asciiTheme="minorEastAsia" w:eastAsiaTheme="minorEastAsia" w:hAnsiTheme="minorEastAsia" w:hint="eastAsia"/>
          <w:color w:val="FF0000"/>
        </w:rPr>
        <w:t>1．有关国家秘密的案件；2．有关个人隐私的案件；3．当事人申请不公开的涉及商业秘密的案件；4．审判时被告人未满十八周岁的案件。</w:t>
      </w:r>
    </w:p>
    <w:p w14:paraId="39502BFA" w14:textId="77777777" w:rsidR="008B4328" w:rsidRPr="002C74D0" w:rsidRDefault="008B4328" w:rsidP="008B4328">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（二）直接言词原则</w:t>
      </w:r>
    </w:p>
    <w:p w14:paraId="53B3F547" w14:textId="1CE3AE47" w:rsidR="008B4328" w:rsidRPr="002C74D0" w:rsidRDefault="008B4328" w:rsidP="008B4328">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bCs/>
          <w:color w:val="FF0000"/>
        </w:rPr>
        <w:t>直接原则</w:t>
      </w:r>
      <w:r w:rsidRPr="002C74D0">
        <w:rPr>
          <w:rFonts w:asciiTheme="minorEastAsia" w:eastAsiaTheme="minorEastAsia" w:hAnsiTheme="minorEastAsia" w:hint="eastAsia"/>
        </w:rPr>
        <w:t>是指法官必须与诉讼当事人和诉讼参与人直接接触，直接审查案件事实材料和证据。</w:t>
      </w:r>
      <w:r w:rsidRPr="002C74D0">
        <w:rPr>
          <w:rFonts w:asciiTheme="minorEastAsia" w:eastAsiaTheme="minorEastAsia" w:hAnsiTheme="minorEastAsia" w:hint="eastAsia"/>
          <w:bCs/>
          <w:color w:val="FF0000"/>
        </w:rPr>
        <w:t>言词原则</w:t>
      </w:r>
      <w:r w:rsidRPr="002C74D0">
        <w:rPr>
          <w:rFonts w:asciiTheme="minorEastAsia" w:eastAsiaTheme="minorEastAsia" w:hAnsiTheme="minorEastAsia" w:hint="eastAsia"/>
        </w:rPr>
        <w:t>是指法庭审理必须以口头陈述的方式进行。除非法律有明确规定，凡是未经口头调查之证据，不得作为定案的依据采纳。</w:t>
      </w:r>
    </w:p>
    <w:p w14:paraId="39D58E5E" w14:textId="77777777" w:rsidR="008B4328" w:rsidRPr="002C74D0" w:rsidRDefault="008B4328" w:rsidP="008B4328">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（三）辩论原则</w:t>
      </w:r>
    </w:p>
    <w:p w14:paraId="7793711B" w14:textId="77777777" w:rsidR="008B4328" w:rsidRPr="002C74D0" w:rsidRDefault="008B4328" w:rsidP="008B4328">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（四）集中审理原则</w:t>
      </w:r>
    </w:p>
    <w:p w14:paraId="6E670F58"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集中审理原则是指，法院开庭审理案件，应在不更换审判人员的条件下连续进行，不得中断审理的诉讼原则。</w:t>
      </w:r>
    </w:p>
    <w:p w14:paraId="02C48A99" w14:textId="77777777" w:rsidR="008B4328" w:rsidRPr="002C74D0" w:rsidRDefault="008B4328" w:rsidP="008B4328">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二、审判组织</w:t>
      </w:r>
    </w:p>
    <w:p w14:paraId="4905CB26" w14:textId="77777777" w:rsidR="008B4328"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审判组织，是指法院审判案件的组织形式，有独任庭、合议庭和审判委员会三种形式。</w:t>
      </w:r>
    </w:p>
    <w:p w14:paraId="7E4F5A27" w14:textId="77777777" w:rsidR="008B4328"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黑体" w:hint="eastAsia"/>
        </w:rPr>
        <w:t>独任庭</w:t>
      </w:r>
      <w:r>
        <w:rPr>
          <w:rFonts w:asciiTheme="minorEastAsia" w:eastAsiaTheme="minorEastAsia" w:hAnsiTheme="minorEastAsia" w:cs="黑体" w:hint="eastAsia"/>
        </w:rPr>
        <w:t>：</w:t>
      </w:r>
      <w:r w:rsidRPr="002C74D0">
        <w:rPr>
          <w:rFonts w:asciiTheme="minorEastAsia" w:eastAsiaTheme="minorEastAsia" w:hAnsiTheme="minorEastAsia" w:hint="eastAsia"/>
        </w:rPr>
        <w:t>审判员1人</w:t>
      </w:r>
      <w:r>
        <w:rPr>
          <w:rFonts w:asciiTheme="minorEastAsia" w:eastAsiaTheme="minorEastAsia" w:hAnsiTheme="minorEastAsia" w:hint="eastAsia"/>
        </w:rPr>
        <w:t>，适用于</w:t>
      </w:r>
      <w:r w:rsidRPr="002C74D0">
        <w:rPr>
          <w:rFonts w:asciiTheme="minorEastAsia" w:eastAsiaTheme="minorEastAsia" w:hAnsiTheme="minorEastAsia" w:hint="eastAsia"/>
        </w:rPr>
        <w:t>简易程序（限于判处3年有期徒刑以下刑罚案件）或速裁程序</w:t>
      </w:r>
    </w:p>
    <w:p w14:paraId="454289D9" w14:textId="77777777" w:rsidR="008B4328"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黑体" w:hint="eastAsia"/>
        </w:rPr>
        <w:t>合议庭</w:t>
      </w:r>
      <w:r>
        <w:rPr>
          <w:rFonts w:asciiTheme="minorEastAsia" w:eastAsiaTheme="minorEastAsia" w:hAnsiTheme="minorEastAsia" w:cs="黑体" w:hint="eastAsia"/>
        </w:rPr>
        <w:t>：</w:t>
      </w:r>
      <w:r w:rsidRPr="002C74D0">
        <w:rPr>
          <w:rFonts w:asciiTheme="minorEastAsia" w:eastAsiaTheme="minorEastAsia" w:hAnsiTheme="minorEastAsia" w:hint="eastAsia"/>
        </w:rPr>
        <w:t>1．</w:t>
      </w:r>
      <w:r w:rsidRPr="002C74D0">
        <w:rPr>
          <w:rFonts w:asciiTheme="minorEastAsia" w:eastAsiaTheme="minorEastAsia" w:hAnsiTheme="minorEastAsia" w:hint="eastAsia"/>
          <w:color w:val="FF0000"/>
        </w:rPr>
        <w:t>基层或中院一审案件</w:t>
      </w:r>
      <w:r w:rsidRPr="002C74D0">
        <w:rPr>
          <w:rFonts w:asciiTheme="minorEastAsia" w:eastAsiaTheme="minorEastAsia" w:hAnsiTheme="minorEastAsia" w:hint="eastAsia"/>
        </w:rPr>
        <w:t>：由审判员3人组成</w:t>
      </w:r>
      <w:r w:rsidRPr="002C74D0">
        <w:rPr>
          <w:rFonts w:asciiTheme="minorEastAsia" w:eastAsiaTheme="minorEastAsia" w:hAnsiTheme="minorEastAsia" w:hint="eastAsia"/>
          <w:color w:val="FF0000"/>
        </w:rPr>
        <w:t>或</w:t>
      </w:r>
      <w:r w:rsidRPr="002C74D0">
        <w:rPr>
          <w:rFonts w:asciiTheme="minorEastAsia" w:eastAsiaTheme="minorEastAsia" w:hAnsiTheme="minorEastAsia" w:hint="eastAsia"/>
        </w:rPr>
        <w:t>审判员、人民陪审员共3人组成；符合特定情形时，由审判员3人和人民陪审员4人组成。2．</w:t>
      </w:r>
      <w:r w:rsidRPr="002C74D0">
        <w:rPr>
          <w:rFonts w:asciiTheme="minorEastAsia" w:eastAsiaTheme="minorEastAsia" w:hAnsiTheme="minorEastAsia" w:hint="eastAsia"/>
          <w:color w:val="FF0000"/>
        </w:rPr>
        <w:t>二审案件</w:t>
      </w:r>
      <w:r w:rsidRPr="002C74D0">
        <w:rPr>
          <w:rFonts w:asciiTheme="minorEastAsia" w:eastAsiaTheme="minorEastAsia" w:hAnsiTheme="minorEastAsia" w:hint="eastAsia"/>
        </w:rPr>
        <w:t>：由审判员3人或5人组成3．</w:t>
      </w:r>
      <w:r w:rsidRPr="002C74D0">
        <w:rPr>
          <w:rFonts w:asciiTheme="minorEastAsia" w:eastAsiaTheme="minorEastAsia" w:hAnsiTheme="minorEastAsia" w:hint="eastAsia"/>
          <w:color w:val="FF0000"/>
        </w:rPr>
        <w:t>死刑复核案件</w:t>
      </w:r>
      <w:r w:rsidRPr="002C74D0">
        <w:rPr>
          <w:rFonts w:asciiTheme="minorEastAsia" w:eastAsiaTheme="minorEastAsia" w:hAnsiTheme="minorEastAsia" w:hint="eastAsia"/>
        </w:rPr>
        <w:t>：由审判员3人组成</w:t>
      </w:r>
      <w:r>
        <w:rPr>
          <w:rFonts w:asciiTheme="minorEastAsia" w:eastAsiaTheme="minorEastAsia" w:hAnsiTheme="minorEastAsia" w:hint="eastAsia"/>
        </w:rPr>
        <w:t>。</w:t>
      </w:r>
      <w:r w:rsidRPr="002C74D0">
        <w:rPr>
          <w:rFonts w:asciiTheme="minorEastAsia" w:eastAsiaTheme="minorEastAsia" w:hAnsiTheme="minorEastAsia" w:hint="eastAsia"/>
        </w:rPr>
        <w:t>只适用于普通程序或简易程序。不能在速裁程序中适用</w:t>
      </w:r>
    </w:p>
    <w:p w14:paraId="24AF1117" w14:textId="77777777" w:rsidR="008B4328"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黑体" w:hint="eastAsia"/>
        </w:rPr>
        <w:t>审判委员会</w:t>
      </w:r>
      <w:r>
        <w:rPr>
          <w:rFonts w:asciiTheme="minorEastAsia" w:eastAsiaTheme="minorEastAsia" w:hAnsiTheme="minorEastAsia" w:cs="黑体" w:hint="eastAsia"/>
        </w:rPr>
        <w:t>：</w:t>
      </w:r>
      <w:r w:rsidRPr="002C74D0">
        <w:rPr>
          <w:rFonts w:asciiTheme="minorEastAsia" w:eastAsiaTheme="minorEastAsia" w:hAnsiTheme="minorEastAsia" w:hint="eastAsia"/>
        </w:rPr>
        <w:t>院长、副院长和若干资深法官组成</w:t>
      </w:r>
      <w:r>
        <w:rPr>
          <w:rFonts w:asciiTheme="minorEastAsia" w:eastAsiaTheme="minorEastAsia" w:hAnsiTheme="minorEastAsia" w:hint="eastAsia"/>
        </w:rPr>
        <w:t>。只适用于</w:t>
      </w:r>
      <w:r w:rsidRPr="002C74D0">
        <w:rPr>
          <w:rFonts w:asciiTheme="minorEastAsia" w:eastAsiaTheme="minorEastAsia" w:hAnsiTheme="minorEastAsia" w:hint="eastAsia"/>
        </w:rPr>
        <w:t>合议庭或审判员提请院长提交审判委员会讨论决定</w:t>
      </w:r>
      <w:r>
        <w:rPr>
          <w:rFonts w:asciiTheme="minorEastAsia" w:eastAsiaTheme="minorEastAsia" w:hAnsiTheme="minorEastAsia" w:hint="eastAsia"/>
        </w:rPr>
        <w:t>的情形。</w:t>
      </w:r>
    </w:p>
    <w:p w14:paraId="6B2F6F3A" w14:textId="77777777" w:rsidR="008B4328" w:rsidRPr="002C74D0" w:rsidRDefault="008B4328" w:rsidP="008B4328">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（一）合议庭评议</w:t>
      </w:r>
    </w:p>
    <w:p w14:paraId="15CAF60A"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开庭审理和评议案件，应当由同一合议庭进行。合议庭成员在评议案件时，应当独立表达意见并说明理由。意见分歧的，应当按多数意见作出决定，但少数意见应当记入笔录。评议笔录由合议庭的组成人员在审阅确认无误后签名。评议情况应当保密。</w:t>
      </w:r>
    </w:p>
    <w:p w14:paraId="264D9BC0" w14:textId="77777777" w:rsidR="008B4328" w:rsidRPr="002C74D0" w:rsidRDefault="008B4328" w:rsidP="008B4328">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（二）人民陪审员</w:t>
      </w:r>
    </w:p>
    <w:p w14:paraId="0A5CDE7C"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下列第一审刑事案件，由审判员和人民陪审员组成合议庭进行：（1）涉及群体利益、公共利益的；（2）人民群众广泛关注或者其他社会影响较大的；（3）案情复杂或者有其他情形，需要由人民陪审员参加审判的。</w:t>
      </w:r>
    </w:p>
    <w:p w14:paraId="27CFE456"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下列第一审刑事案件，由审判员和人民陪审员组成七人合议庭进行：（1）可能判处十年以上有期徒刑、无期徒刑、死刑，且社会影响重大的；（2）涉及征地拆迁、生态环境保护、食品药品安全，且社会影响重大的；（3）其他社会影响重大的。</w:t>
      </w:r>
    </w:p>
    <w:p w14:paraId="6D776DF0" w14:textId="77777777" w:rsidR="008B4328" w:rsidRPr="002C74D0" w:rsidRDefault="008B4328" w:rsidP="008B4328">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（三）审判委员会</w:t>
      </w:r>
    </w:p>
    <w:p w14:paraId="19C180F5"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合议庭应当提请院长决定提交审判委员会讨论决定的案件：（1）高级法院、中级法院拟判处死刑立即执行的案件，以及中级法院拟判处死刑缓期执行的案件；（2）本院已经发生法律效力的判决、裁定确有错误需要再审的案件；（3）检察院依照审判监督程序提出抗诉的案件。</w:t>
      </w:r>
    </w:p>
    <w:p w14:paraId="2F7CF8B8"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对合议庭成员意见有重大分歧的案件、新类型案件、社会影响重大的案件以及其他疑难、复杂、重大的案件，合议庭认为难以作出决定的，可以提请院长决定提交审判委员会讨论决定。</w:t>
      </w:r>
    </w:p>
    <w:p w14:paraId="685E69C8"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独任审判的案件，审判员认为有必要的，也可以提请院长决定提交审判委员会讨论决定。</w:t>
      </w:r>
    </w:p>
    <w:p w14:paraId="090D0DAD" w14:textId="77777777" w:rsidR="008B4328" w:rsidRPr="002C74D0" w:rsidRDefault="008B4328" w:rsidP="008B4328">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lastRenderedPageBreak/>
        <w:t>提交审判委员会讨论的案件，审判委员会的决定，合议庭应当执行。</w:t>
      </w:r>
    </w:p>
    <w:p w14:paraId="5B05D77A" w14:textId="40E52335" w:rsidR="00DE5313" w:rsidRPr="00604D12" w:rsidRDefault="00DE5313" w:rsidP="00604D12">
      <w:pPr>
        <w:pStyle w:val="1"/>
        <w:spacing w:before="0" w:line="240" w:lineRule="auto"/>
        <w:rPr>
          <w:rFonts w:asciiTheme="minorEastAsia" w:eastAsiaTheme="minorEastAsia" w:hAnsiTheme="minorEastAsia" w:hint="eastAsia"/>
          <w:b/>
          <w:bCs w:val="0"/>
          <w:color w:val="auto"/>
          <w:sz w:val="21"/>
          <w:szCs w:val="21"/>
        </w:rPr>
      </w:pPr>
      <w:r w:rsidRPr="00604D12">
        <w:rPr>
          <w:rFonts w:asciiTheme="minorEastAsia" w:eastAsiaTheme="minorEastAsia" w:hAnsiTheme="minorEastAsia" w:hint="eastAsia"/>
          <w:b/>
          <w:bCs w:val="0"/>
          <w:color w:val="auto"/>
          <w:sz w:val="21"/>
          <w:szCs w:val="21"/>
        </w:rPr>
        <w:t>第二节  公诉案件第一审普通程序</w:t>
      </w:r>
      <w:bookmarkEnd w:id="1"/>
      <w:r w:rsidR="00064447" w:rsidRPr="00604D12">
        <w:rPr>
          <w:rFonts w:asciiTheme="minorEastAsia" w:eastAsiaTheme="minorEastAsia" w:hAnsiTheme="minorEastAsia" w:hint="eastAsia"/>
          <w:b/>
          <w:bCs w:val="0"/>
          <w:color w:val="auto"/>
          <w:sz w:val="21"/>
          <w:szCs w:val="21"/>
        </w:rPr>
        <w:t>（</w:t>
      </w:r>
      <w:r w:rsidR="009E30D5">
        <w:rPr>
          <w:rFonts w:asciiTheme="minorEastAsia" w:eastAsiaTheme="minorEastAsia" w:hAnsiTheme="minorEastAsia" w:hint="eastAsia"/>
          <w:b/>
          <w:bCs w:val="0"/>
          <w:color w:val="auto"/>
          <w:sz w:val="21"/>
          <w:szCs w:val="21"/>
        </w:rPr>
        <w:t>20</w:t>
      </w:r>
      <w:r w:rsidR="00064447" w:rsidRPr="00604D12">
        <w:rPr>
          <w:rFonts w:asciiTheme="minorEastAsia" w:eastAsiaTheme="minorEastAsia" w:hAnsiTheme="minorEastAsia"/>
          <w:b/>
          <w:bCs w:val="0"/>
          <w:color w:val="auto"/>
          <w:sz w:val="21"/>
          <w:szCs w:val="21"/>
        </w:rPr>
        <w:t>:</w:t>
      </w:r>
      <w:r w:rsidR="009E30D5">
        <w:rPr>
          <w:rFonts w:asciiTheme="minorEastAsia" w:eastAsiaTheme="minorEastAsia" w:hAnsiTheme="minorEastAsia" w:hint="eastAsia"/>
          <w:b/>
          <w:bCs w:val="0"/>
          <w:color w:val="auto"/>
          <w:sz w:val="21"/>
          <w:szCs w:val="21"/>
        </w:rPr>
        <w:t>24</w:t>
      </w:r>
      <w:r w:rsidR="00064447" w:rsidRPr="00604D12">
        <w:rPr>
          <w:rFonts w:asciiTheme="minorEastAsia" w:eastAsiaTheme="minorEastAsia" w:hAnsiTheme="minorEastAsia"/>
          <w:b/>
          <w:bCs w:val="0"/>
          <w:color w:val="auto"/>
          <w:sz w:val="21"/>
          <w:szCs w:val="21"/>
        </w:rPr>
        <w:t>:00-</w:t>
      </w:r>
      <w:r w:rsidR="00C85CBF">
        <w:rPr>
          <w:rFonts w:asciiTheme="minorEastAsia" w:eastAsiaTheme="minorEastAsia" w:hAnsiTheme="minorEastAsia" w:hint="eastAsia"/>
          <w:b/>
          <w:bCs w:val="0"/>
          <w:color w:val="auto"/>
          <w:sz w:val="21"/>
          <w:szCs w:val="21"/>
        </w:rPr>
        <w:t>2</w:t>
      </w:r>
      <w:r w:rsidR="00760870">
        <w:rPr>
          <w:rFonts w:asciiTheme="minorEastAsia" w:eastAsiaTheme="minorEastAsia" w:hAnsiTheme="minorEastAsia" w:hint="eastAsia"/>
          <w:b/>
          <w:bCs w:val="0"/>
          <w:color w:val="auto"/>
          <w:sz w:val="21"/>
          <w:szCs w:val="21"/>
        </w:rPr>
        <w:t>1</w:t>
      </w:r>
      <w:r w:rsidR="00064447" w:rsidRPr="00604D12">
        <w:rPr>
          <w:rFonts w:asciiTheme="minorEastAsia" w:eastAsiaTheme="minorEastAsia" w:hAnsiTheme="minorEastAsia"/>
          <w:b/>
          <w:bCs w:val="0"/>
          <w:color w:val="auto"/>
          <w:sz w:val="21"/>
          <w:szCs w:val="21"/>
        </w:rPr>
        <w:t>:</w:t>
      </w:r>
      <w:r w:rsidR="00760870">
        <w:rPr>
          <w:rFonts w:asciiTheme="minorEastAsia" w:eastAsiaTheme="minorEastAsia" w:hAnsiTheme="minorEastAsia" w:hint="eastAsia"/>
          <w:b/>
          <w:bCs w:val="0"/>
          <w:color w:val="auto"/>
          <w:sz w:val="21"/>
          <w:szCs w:val="21"/>
        </w:rPr>
        <w:t>4</w:t>
      </w:r>
      <w:r w:rsidR="00536755">
        <w:rPr>
          <w:rFonts w:asciiTheme="minorEastAsia" w:eastAsiaTheme="minorEastAsia" w:hAnsiTheme="minorEastAsia" w:hint="eastAsia"/>
          <w:b/>
          <w:bCs w:val="0"/>
          <w:color w:val="auto"/>
          <w:sz w:val="21"/>
          <w:szCs w:val="21"/>
        </w:rPr>
        <w:t>1</w:t>
      </w:r>
      <w:r w:rsidR="00064447" w:rsidRPr="00604D12">
        <w:rPr>
          <w:rFonts w:asciiTheme="minorEastAsia" w:eastAsiaTheme="minorEastAsia" w:hAnsiTheme="minorEastAsia"/>
          <w:b/>
          <w:bCs w:val="0"/>
          <w:color w:val="auto"/>
          <w:sz w:val="21"/>
          <w:szCs w:val="21"/>
        </w:rPr>
        <w:t>:00）</w:t>
      </w:r>
    </w:p>
    <w:p w14:paraId="181A4028" w14:textId="77777777"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一、庭前程序</w:t>
      </w:r>
    </w:p>
    <w:p w14:paraId="122513B5"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（一）庭前审查</w:t>
      </w:r>
    </w:p>
    <w:p w14:paraId="2B72AD15" w14:textId="28A8293A" w:rsidR="00DE5313" w:rsidRPr="00604D12" w:rsidRDefault="00DE5313" w:rsidP="00604D12">
      <w:pPr>
        <w:spacing w:line="240" w:lineRule="auto"/>
        <w:ind w:firstLine="420"/>
        <w:rPr>
          <w:rFonts w:asciiTheme="minorEastAsia" w:eastAsiaTheme="minorEastAsia" w:hAnsiTheme="minorEastAsia" w:hint="eastAsia"/>
        </w:rPr>
      </w:pPr>
      <w:r w:rsidRPr="00604D12">
        <w:rPr>
          <w:rFonts w:asciiTheme="minorEastAsia" w:eastAsiaTheme="minorEastAsia" w:hAnsiTheme="minorEastAsia" w:hint="eastAsia"/>
        </w:rPr>
        <w:t>法院对提起公诉的案件进行审查后，对于起诉书中</w:t>
      </w:r>
      <w:r w:rsidRPr="00604D12">
        <w:rPr>
          <w:rFonts w:asciiTheme="minorEastAsia" w:eastAsiaTheme="minorEastAsia" w:hAnsiTheme="minorEastAsia" w:hint="eastAsia"/>
          <w:color w:val="FF0000"/>
        </w:rPr>
        <w:t>有明确的指控犯罪事实</w:t>
      </w:r>
      <w:r w:rsidRPr="00604D12">
        <w:rPr>
          <w:rFonts w:asciiTheme="minorEastAsia" w:eastAsiaTheme="minorEastAsia" w:hAnsiTheme="minorEastAsia" w:hint="eastAsia"/>
        </w:rPr>
        <w:t>的，应当决定开庭审判。对于不属于本院管辖、被告人不在案或明显存在不追究刑事责任情形的案件，应将案件退回检察院。对于属于告诉才处理的案件，应当同时告知被害人有权提起自诉。</w:t>
      </w:r>
    </w:p>
    <w:p w14:paraId="6966D565"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（二）庭前会议</w:t>
      </w:r>
    </w:p>
    <w:p w14:paraId="29156A92"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1．可以召开庭前会议的情形</w:t>
      </w:r>
    </w:p>
    <w:p w14:paraId="66C4E5A1"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2．参加庭前会议的人员</w:t>
      </w:r>
    </w:p>
    <w:p w14:paraId="2AAA4567" w14:textId="77777777" w:rsidR="00DE5313" w:rsidRPr="00604D12" w:rsidRDefault="00DE5313" w:rsidP="00604D12">
      <w:pPr>
        <w:spacing w:line="240" w:lineRule="auto"/>
        <w:ind w:firstLine="420"/>
        <w:rPr>
          <w:rFonts w:asciiTheme="minorEastAsia" w:eastAsiaTheme="minorEastAsia" w:hAnsiTheme="minorEastAsia" w:hint="eastAsia"/>
        </w:rPr>
      </w:pPr>
      <w:r w:rsidRPr="00604D12">
        <w:rPr>
          <w:rFonts w:asciiTheme="minorEastAsia" w:eastAsiaTheme="minorEastAsia" w:hAnsiTheme="minorEastAsia" w:hint="eastAsia"/>
        </w:rPr>
        <w:t>庭前会议由审判长主持，合议庭其他审判员也可以主持庭前会议。召开庭前会议</w:t>
      </w:r>
      <w:r w:rsidRPr="00604D12">
        <w:rPr>
          <w:rFonts w:asciiTheme="minorEastAsia" w:eastAsiaTheme="minorEastAsia" w:hAnsiTheme="minorEastAsia" w:hint="eastAsia"/>
          <w:color w:val="FF0000"/>
        </w:rPr>
        <w:t>应当通知公诉人、辩护人到场</w:t>
      </w:r>
      <w:r w:rsidRPr="00604D12">
        <w:rPr>
          <w:rFonts w:asciiTheme="minorEastAsia" w:eastAsiaTheme="minorEastAsia" w:hAnsiTheme="minorEastAsia" w:hint="eastAsia"/>
        </w:rPr>
        <w:t>。庭前会议准备就非法证据排除了解情况、听取意见，或者准备询问控辩双方对证据材料的意见的，应当通知被告人到场。有多名被告人的案件，可以根据情况确定参加庭前会议的被告人。</w:t>
      </w:r>
    </w:p>
    <w:p w14:paraId="56D187C7" w14:textId="56425E86" w:rsidR="00DE5313"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3．庭前会议的处理事项及效力</w:t>
      </w:r>
    </w:p>
    <w:tbl>
      <w:tblPr>
        <w:tblStyle w:val="a8"/>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24"/>
        <w:gridCol w:w="3828"/>
        <w:gridCol w:w="3553"/>
      </w:tblGrid>
      <w:tr w:rsidR="00DE5313" w:rsidRPr="00604D12" w14:paraId="5C7EB933" w14:textId="77777777" w:rsidTr="00470D64">
        <w:trPr>
          <w:jc w:val="center"/>
        </w:trPr>
        <w:tc>
          <w:tcPr>
            <w:tcW w:w="1124" w:type="dxa"/>
            <w:vAlign w:val="center"/>
          </w:tcPr>
          <w:p w14:paraId="3F52BACE"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p>
        </w:tc>
        <w:tc>
          <w:tcPr>
            <w:tcW w:w="3828" w:type="dxa"/>
            <w:vAlign w:val="center"/>
          </w:tcPr>
          <w:p w14:paraId="63D53EAF"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程序性争议</w:t>
            </w:r>
          </w:p>
        </w:tc>
        <w:tc>
          <w:tcPr>
            <w:tcW w:w="3553" w:type="dxa"/>
            <w:vAlign w:val="center"/>
          </w:tcPr>
          <w:p w14:paraId="06D2B537"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事实、证据争议</w:t>
            </w:r>
          </w:p>
        </w:tc>
      </w:tr>
      <w:tr w:rsidR="00DE5313" w:rsidRPr="00604D12" w14:paraId="733CCA6D" w14:textId="77777777" w:rsidTr="00470D64">
        <w:trPr>
          <w:trHeight w:val="80"/>
          <w:jc w:val="center"/>
        </w:trPr>
        <w:tc>
          <w:tcPr>
            <w:tcW w:w="1124" w:type="dxa"/>
            <w:vAlign w:val="center"/>
          </w:tcPr>
          <w:p w14:paraId="0493B88A"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具体内容</w:t>
            </w:r>
          </w:p>
        </w:tc>
        <w:tc>
          <w:tcPr>
            <w:tcW w:w="3828" w:type="dxa"/>
            <w:vAlign w:val="center"/>
          </w:tcPr>
          <w:p w14:paraId="321B45E6"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管辖、回避、排除非法证据、证人出庭的可能导致庭审中断的</w:t>
            </w:r>
            <w:r w:rsidRPr="00A92333">
              <w:rPr>
                <w:rFonts w:asciiTheme="minorEastAsia" w:eastAsiaTheme="minorEastAsia" w:hAnsiTheme="minorEastAsia" w:hint="eastAsia"/>
                <w:color w:val="FF0000"/>
                <w:sz w:val="21"/>
              </w:rPr>
              <w:t>程序性事项</w:t>
            </w:r>
          </w:p>
        </w:tc>
        <w:tc>
          <w:tcPr>
            <w:tcW w:w="3553" w:type="dxa"/>
            <w:vAlign w:val="center"/>
          </w:tcPr>
          <w:p w14:paraId="5B555222" w14:textId="77777777" w:rsidR="00DE5313" w:rsidRPr="00604D12" w:rsidRDefault="00DE5313" w:rsidP="00604D12">
            <w:pPr>
              <w:spacing w:line="240" w:lineRule="auto"/>
              <w:ind w:firstLineChars="0" w:firstLine="0"/>
              <w:rPr>
                <w:rFonts w:asciiTheme="minorEastAsia" w:eastAsiaTheme="minorEastAsia" w:hAnsiTheme="minorEastAsia" w:cs="Times New Roman" w:hint="eastAsia"/>
                <w:sz w:val="21"/>
              </w:rPr>
            </w:pPr>
            <w:r w:rsidRPr="00604D12">
              <w:rPr>
                <w:rFonts w:asciiTheme="minorEastAsia" w:eastAsiaTheme="minorEastAsia" w:hAnsiTheme="minorEastAsia" w:cs="Times New Roman" w:hint="eastAsia"/>
                <w:sz w:val="21"/>
              </w:rPr>
              <w:t>对庭审拟举示的证据材料有无异议</w:t>
            </w:r>
          </w:p>
        </w:tc>
      </w:tr>
      <w:tr w:rsidR="00DE5313" w:rsidRPr="00604D12" w14:paraId="46A461AE" w14:textId="77777777" w:rsidTr="00470D64">
        <w:trPr>
          <w:trHeight w:val="80"/>
          <w:jc w:val="center"/>
        </w:trPr>
        <w:tc>
          <w:tcPr>
            <w:tcW w:w="1124" w:type="dxa"/>
            <w:vAlign w:val="center"/>
          </w:tcPr>
          <w:p w14:paraId="7E2E9CE6"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处理方式</w:t>
            </w:r>
          </w:p>
        </w:tc>
        <w:tc>
          <w:tcPr>
            <w:tcW w:w="3828" w:type="dxa"/>
            <w:vAlign w:val="center"/>
          </w:tcPr>
          <w:p w14:paraId="5D461392"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在庭前会议中了解情况，听取意见。可以在庭前会议后依法作出处理，并在庭审中说明处理决定和理由</w:t>
            </w:r>
          </w:p>
        </w:tc>
        <w:tc>
          <w:tcPr>
            <w:tcW w:w="3553" w:type="dxa"/>
            <w:vAlign w:val="center"/>
          </w:tcPr>
          <w:p w14:paraId="6469B728" w14:textId="77777777" w:rsidR="00DE5313" w:rsidRPr="00604D12" w:rsidRDefault="00DE5313" w:rsidP="00604D12">
            <w:pPr>
              <w:pStyle w:val="a7"/>
              <w:widowControl w:val="0"/>
              <w:shd w:val="clear" w:color="auto" w:fill="FFFFFF"/>
              <w:spacing w:before="0" w:beforeAutospacing="0" w:after="0" w:afterAutospacing="0" w:line="240" w:lineRule="auto"/>
              <w:ind w:firstLineChars="0" w:firstLine="0"/>
              <w:jc w:val="both"/>
              <w:rPr>
                <w:rFonts w:asciiTheme="minorEastAsia" w:eastAsiaTheme="minorEastAsia" w:hAnsiTheme="minorEastAsia" w:cs="Times New Roman" w:hint="eastAsia"/>
                <w:color w:val="000000" w:themeColor="text1"/>
                <w:kern w:val="2"/>
                <w:sz w:val="21"/>
                <w:szCs w:val="21"/>
              </w:rPr>
            </w:pPr>
            <w:r w:rsidRPr="00604D12">
              <w:rPr>
                <w:rFonts w:asciiTheme="minorEastAsia" w:eastAsiaTheme="minorEastAsia" w:hAnsiTheme="minorEastAsia" w:cs="Times New Roman" w:hint="eastAsia"/>
                <w:color w:val="000000" w:themeColor="text1"/>
                <w:kern w:val="2"/>
                <w:sz w:val="21"/>
                <w:szCs w:val="21"/>
              </w:rPr>
              <w:t>对有异议的证据，应当在庭审时重点调查；无异议的，庭审时举证、质证可以简化</w:t>
            </w:r>
          </w:p>
        </w:tc>
      </w:tr>
      <w:tr w:rsidR="00DE5313" w:rsidRPr="00604D12" w14:paraId="5F6847CF" w14:textId="77777777" w:rsidTr="00470D64">
        <w:trPr>
          <w:trHeight w:val="80"/>
          <w:jc w:val="center"/>
        </w:trPr>
        <w:tc>
          <w:tcPr>
            <w:tcW w:w="1124" w:type="dxa"/>
            <w:vMerge w:val="restart"/>
            <w:vAlign w:val="center"/>
          </w:tcPr>
          <w:p w14:paraId="2B443C7C"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效力</w:t>
            </w:r>
          </w:p>
        </w:tc>
        <w:tc>
          <w:tcPr>
            <w:tcW w:w="3828" w:type="dxa"/>
            <w:vAlign w:val="center"/>
          </w:tcPr>
          <w:p w14:paraId="73D12694"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控辩双方没有新的理由，在庭审中再次提出有关申请或者异议的，</w:t>
            </w:r>
            <w:r w:rsidRPr="004D0DAA">
              <w:rPr>
                <w:rFonts w:asciiTheme="minorEastAsia" w:eastAsiaTheme="minorEastAsia" w:hAnsiTheme="minorEastAsia" w:hint="eastAsia"/>
                <w:color w:val="FF0000"/>
                <w:sz w:val="21"/>
              </w:rPr>
              <w:t>法庭可以在说明庭前会议情况和处理决定理由后，依法予以驳回</w:t>
            </w:r>
          </w:p>
        </w:tc>
        <w:tc>
          <w:tcPr>
            <w:tcW w:w="3553" w:type="dxa"/>
            <w:vAlign w:val="center"/>
          </w:tcPr>
          <w:p w14:paraId="39C1EB2F"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cs="Times New Roman" w:hint="eastAsia"/>
                <w:sz w:val="21"/>
              </w:rPr>
              <w:t>建议检察院对明显事实不清、证据不足的案件</w:t>
            </w:r>
            <w:bookmarkStart w:id="4" w:name="OLE_LINK17"/>
            <w:r w:rsidRPr="00604D12">
              <w:rPr>
                <w:rFonts w:asciiTheme="minorEastAsia" w:eastAsiaTheme="minorEastAsia" w:hAnsiTheme="minorEastAsia" w:cs="Times New Roman" w:hint="eastAsia"/>
                <w:sz w:val="21"/>
              </w:rPr>
              <w:t>撤回起</w:t>
            </w:r>
            <w:bookmarkEnd w:id="4"/>
            <w:r w:rsidRPr="00604D12">
              <w:rPr>
                <w:rFonts w:asciiTheme="minorEastAsia" w:eastAsiaTheme="minorEastAsia" w:hAnsiTheme="minorEastAsia" w:cs="Times New Roman" w:hint="eastAsia"/>
                <w:sz w:val="21"/>
              </w:rPr>
              <w:t>诉，</w:t>
            </w:r>
            <w:r w:rsidRPr="004D0DAA">
              <w:rPr>
                <w:rFonts w:asciiTheme="minorEastAsia" w:eastAsiaTheme="minorEastAsia" w:hAnsiTheme="minorEastAsia" w:cs="Times New Roman" w:hint="eastAsia"/>
                <w:color w:val="FF0000"/>
                <w:sz w:val="21"/>
              </w:rPr>
              <w:t>但检察院不同意的，开庭审理后，没有新的事实和理由，一般不准许撤回起诉</w:t>
            </w:r>
          </w:p>
        </w:tc>
      </w:tr>
      <w:tr w:rsidR="00DE5313" w:rsidRPr="00604D12" w14:paraId="45A3A9B7" w14:textId="77777777" w:rsidTr="00470D64">
        <w:trPr>
          <w:jc w:val="center"/>
        </w:trPr>
        <w:tc>
          <w:tcPr>
            <w:tcW w:w="1124" w:type="dxa"/>
            <w:vMerge/>
            <w:vAlign w:val="center"/>
          </w:tcPr>
          <w:p w14:paraId="3E97B2F5"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p>
        </w:tc>
        <w:tc>
          <w:tcPr>
            <w:tcW w:w="7381" w:type="dxa"/>
            <w:gridSpan w:val="2"/>
            <w:vAlign w:val="center"/>
          </w:tcPr>
          <w:p w14:paraId="5CB923EA"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对庭前会议中达成一致意见的事项，法庭在向控辩双方核实后，</w:t>
            </w:r>
            <w:r w:rsidRPr="004D0DAA">
              <w:rPr>
                <w:rFonts w:asciiTheme="minorEastAsia" w:eastAsiaTheme="minorEastAsia" w:hAnsiTheme="minorEastAsia" w:hint="eastAsia"/>
                <w:color w:val="FF0000"/>
                <w:sz w:val="21"/>
              </w:rPr>
              <w:t>可以当庭予以确认</w:t>
            </w:r>
            <w:r w:rsidRPr="00604D12">
              <w:rPr>
                <w:rFonts w:asciiTheme="minorEastAsia" w:eastAsiaTheme="minorEastAsia" w:hAnsiTheme="minorEastAsia" w:hint="eastAsia"/>
                <w:sz w:val="21"/>
              </w:rPr>
              <w:t>；未达成一致意见的事项，法庭可以归纳控辩双方争议焦点，听取控辩双方意见，依法作出处理。</w:t>
            </w:r>
            <w:r w:rsidRPr="004D0DAA">
              <w:rPr>
                <w:rFonts w:asciiTheme="minorEastAsia" w:eastAsiaTheme="minorEastAsia" w:hAnsiTheme="minorEastAsia" w:hint="eastAsia"/>
                <w:color w:val="FF0000"/>
                <w:sz w:val="21"/>
              </w:rPr>
              <w:t>控辩双方在庭前会议中就有关事项达成一致意见，在庭审中反悔的，除有正当理由外，法庭一般不再进行处理</w:t>
            </w:r>
          </w:p>
        </w:tc>
      </w:tr>
    </w:tbl>
    <w:p w14:paraId="08A2159B" w14:textId="77777777"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二、庭审程序</w:t>
      </w:r>
    </w:p>
    <w:p w14:paraId="35FE4F27" w14:textId="55568A51"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（一）法庭调查程序的注意要点</w:t>
      </w:r>
    </w:p>
    <w:p w14:paraId="782F5A5D"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1．讯问被告人</w:t>
      </w:r>
    </w:p>
    <w:p w14:paraId="4BAAA1C3"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根据案件情况，就证据问题对被告人的讯问、发问可以在举证、质证环节进行。</w:t>
      </w:r>
    </w:p>
    <w:p w14:paraId="6C0C98F8" w14:textId="77777777" w:rsidR="00DE5313" w:rsidRPr="00604D12" w:rsidRDefault="00DE5313" w:rsidP="00DA7045">
      <w:pPr>
        <w:spacing w:line="240" w:lineRule="auto"/>
        <w:ind w:firstLineChars="0" w:firstLine="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讯问同案审理的被告人，应当分别进行。</w:t>
      </w:r>
    </w:p>
    <w:p w14:paraId="3A5547D9"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2．询问证人</w:t>
      </w:r>
    </w:p>
    <w:p w14:paraId="74B21D15"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（1）证人</w:t>
      </w:r>
      <w:r w:rsidRPr="00FC27D6">
        <w:rPr>
          <w:rFonts w:asciiTheme="minorEastAsia" w:eastAsiaTheme="minorEastAsia" w:hAnsiTheme="minorEastAsia" w:cs="Times New Roman" w:hint="eastAsia"/>
          <w:color w:val="FF0000"/>
        </w:rPr>
        <w:t>出庭</w:t>
      </w:r>
      <w:r w:rsidRPr="00604D12">
        <w:rPr>
          <w:rFonts w:asciiTheme="minorEastAsia" w:eastAsiaTheme="minorEastAsia" w:hAnsiTheme="minorEastAsia" w:cs="Times New Roman" w:hint="eastAsia"/>
        </w:rPr>
        <w:t>：公诉人、当事人或者辩护人、诉讼代理人对证人证言有异议，且该证人证言对定罪量刑有重大影响，或者对鉴定意见有异议，法院认为证人、鉴定人有必要出庭作证的，应当通知证人、鉴定人出庭。</w:t>
      </w:r>
    </w:p>
    <w:p w14:paraId="701292E1"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（2）</w:t>
      </w:r>
      <w:r w:rsidRPr="00FC27D6">
        <w:rPr>
          <w:rFonts w:asciiTheme="minorEastAsia" w:eastAsiaTheme="minorEastAsia" w:hAnsiTheme="minorEastAsia" w:cs="Times New Roman" w:hint="eastAsia"/>
          <w:color w:val="FF0000"/>
        </w:rPr>
        <w:t>发问</w:t>
      </w:r>
      <w:r w:rsidRPr="00604D12">
        <w:rPr>
          <w:rFonts w:asciiTheme="minorEastAsia" w:eastAsiaTheme="minorEastAsia" w:hAnsiTheme="minorEastAsia" w:cs="Times New Roman" w:hint="eastAsia"/>
        </w:rPr>
        <w:t>顺序：证人出庭后，一般先向法庭陈述证言；其后，经审判长许可，由申请通知证人出庭的一方发问，发问完毕后，对方也可以发问。法庭依职权通知证人出庭的，发问顺序由审判长根据案件情况确定。</w:t>
      </w:r>
    </w:p>
    <w:p w14:paraId="1399C371"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（3）发问</w:t>
      </w:r>
      <w:r w:rsidRPr="00FC27D6">
        <w:rPr>
          <w:rFonts w:asciiTheme="minorEastAsia" w:eastAsiaTheme="minorEastAsia" w:hAnsiTheme="minorEastAsia" w:cs="Times New Roman" w:hint="eastAsia"/>
          <w:color w:val="FF0000"/>
        </w:rPr>
        <w:t>限制</w:t>
      </w:r>
      <w:r w:rsidRPr="00604D12">
        <w:rPr>
          <w:rFonts w:asciiTheme="minorEastAsia" w:eastAsiaTheme="minorEastAsia" w:hAnsiTheme="minorEastAsia" w:cs="Times New Roman" w:hint="eastAsia"/>
        </w:rPr>
        <w:t>：发问的内容应当与本案事实有关；不得以诱导方式发问；不得威胁证人；不得损害证人的人格尊严。（对被告人、被害人、附带民事诉讼当事人、鉴定人、有专门知识的人、调查人员、侦查人员或者其他人员的讯问、发问同样适用）</w:t>
      </w:r>
    </w:p>
    <w:p w14:paraId="5460BF09"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lastRenderedPageBreak/>
        <w:t>3．举证、质证</w:t>
      </w:r>
    </w:p>
    <w:p w14:paraId="1E8D8E9E"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对可能影响定罪量刑的关键证据和控辩双方存在争议的证据，一般应当单独举证、质证，充分听取质证意见。对控辩双方无异议的非关键证据，举证方可以仅就证据的名称及拟证明的事实作出说明。</w:t>
      </w:r>
    </w:p>
    <w:p w14:paraId="37A50EC7"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4．庭外调查</w:t>
      </w:r>
    </w:p>
    <w:p w14:paraId="5234B7CB" w14:textId="77777777" w:rsidR="00DE5313" w:rsidRPr="00DA7045" w:rsidRDefault="00DE5313" w:rsidP="00604D12">
      <w:pPr>
        <w:spacing w:line="240" w:lineRule="auto"/>
        <w:ind w:firstLine="420"/>
        <w:rPr>
          <w:rFonts w:asciiTheme="minorEastAsia" w:eastAsiaTheme="minorEastAsia" w:hAnsiTheme="minorEastAsia" w:cs="Times New Roman" w:hint="eastAsia"/>
          <w:color w:val="FF0000"/>
        </w:rPr>
      </w:pPr>
      <w:r w:rsidRPr="00604D12">
        <w:rPr>
          <w:rFonts w:asciiTheme="minorEastAsia" w:eastAsiaTheme="minorEastAsia" w:hAnsiTheme="minorEastAsia" w:cs="Times New Roman" w:hint="eastAsia"/>
        </w:rPr>
        <w:t>对公诉人、当事人及其法定代理人、辩护人、诉讼代理人补充的和审判人员庭外调查核实取得的证据，应当经过当庭质证才能作为定案的根据。但是，</w:t>
      </w:r>
      <w:r w:rsidRPr="00DA7045">
        <w:rPr>
          <w:rFonts w:asciiTheme="minorEastAsia" w:eastAsiaTheme="minorEastAsia" w:hAnsiTheme="minorEastAsia" w:cs="Times New Roman" w:hint="eastAsia"/>
          <w:color w:val="FF0000"/>
        </w:rPr>
        <w:t>对不影响定罪量刑的非关键证据、有利于被告人的量刑证据以及认定被告人有犯罪前科的裁判文书等证据，经庭外征求意见，控辩双方没有异议的除外。</w:t>
      </w:r>
    </w:p>
    <w:p w14:paraId="4B7BB5DF"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5．涉案财物处理</w:t>
      </w:r>
    </w:p>
    <w:p w14:paraId="4AF5B7CB" w14:textId="77777777" w:rsid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法庭审理过程中，应当对查封、扣押、冻结财物及其孳息的权属、来源等情况，是否属于违法所得或者依法应当追缴的其他涉案财物进行调查，由公诉人说明情况、出示证据、提出处理建议，并听取被告人、辩护人等诉讼参与人的意见。</w:t>
      </w:r>
    </w:p>
    <w:p w14:paraId="6A0E6188" w14:textId="4F98D0C5"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法庭审理过程中，对与量刑有关的事实、证据，应当进行调查。法院除应当审查被告人是否具有法定量刑情节外，</w:t>
      </w:r>
      <w:r w:rsidRPr="003F3EE8">
        <w:rPr>
          <w:rFonts w:asciiTheme="minorEastAsia" w:eastAsiaTheme="minorEastAsia" w:hAnsiTheme="minorEastAsia" w:cs="Times New Roman" w:hint="eastAsia"/>
          <w:color w:val="FF0000"/>
        </w:rPr>
        <w:t>还应当根据案件情况审查以下影响量刑的情节：</w:t>
      </w:r>
      <w:r w:rsidRPr="00604D12">
        <w:rPr>
          <w:rFonts w:asciiTheme="minorEastAsia" w:eastAsiaTheme="minorEastAsia" w:hAnsiTheme="minorEastAsia" w:cs="Times New Roman" w:hint="eastAsia"/>
        </w:rPr>
        <w:t>案件起因；被害人有无过错及过错程度，是否对矛盾激化负有责任及责任大小；被告人的近亲属是否协助抓获被告人；被告人平时表现，有无悔罪态度；退赃、退赔及赔偿情况；被告人是否取得被害人或者其近亲属谅解；影响量刑的其他情节。</w:t>
      </w:r>
    </w:p>
    <w:p w14:paraId="2B32E820" w14:textId="301C2E4D"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（二）</w:t>
      </w:r>
      <w:r w:rsidRPr="007311F5">
        <w:rPr>
          <w:rFonts w:asciiTheme="minorEastAsia" w:eastAsiaTheme="minorEastAsia" w:hAnsiTheme="minorEastAsia" w:hint="eastAsia"/>
          <w:color w:val="FF0000"/>
          <w:sz w:val="21"/>
          <w:szCs w:val="21"/>
        </w:rPr>
        <w:t>一审裁判类型</w:t>
      </w:r>
      <w:r w:rsidR="00390794">
        <w:rPr>
          <w:rFonts w:asciiTheme="minorEastAsia" w:eastAsiaTheme="minorEastAsia" w:hAnsiTheme="minorEastAsia" w:hint="eastAsia"/>
          <w:sz w:val="21"/>
          <w:szCs w:val="21"/>
        </w:rPr>
        <w:t>：</w:t>
      </w:r>
      <w:r w:rsidR="00390794" w:rsidRPr="00390794">
        <w:rPr>
          <w:rFonts w:asciiTheme="minorEastAsia" w:eastAsiaTheme="minorEastAsia" w:hAnsiTheme="minorEastAsia" w:hint="eastAsia"/>
          <w:sz w:val="21"/>
          <w:szCs w:val="21"/>
        </w:rPr>
        <w:t>《刑诉法解释》第295条</w:t>
      </w:r>
    </w:p>
    <w:p w14:paraId="3B67826A" w14:textId="77777777"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三、认罪认罚案件的审理</w:t>
      </w:r>
      <w:bookmarkStart w:id="5" w:name="OLE_LINK24"/>
    </w:p>
    <w:p w14:paraId="0D030257"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对检察院提起公诉的认罪认罚案件</w:t>
      </w:r>
      <w:bookmarkEnd w:id="5"/>
      <w:r w:rsidRPr="00604D12">
        <w:rPr>
          <w:rFonts w:asciiTheme="minorEastAsia" w:eastAsiaTheme="minorEastAsia" w:hAnsiTheme="minorEastAsia" w:cs="Times New Roman" w:hint="eastAsia"/>
        </w:rPr>
        <w:t>，法院应当重点审查以下内容：</w:t>
      </w:r>
    </w:p>
    <w:p w14:paraId="477D7150"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1．检察院讯问犯罪嫌疑人时，是否告</w:t>
      </w:r>
      <w:r w:rsidRPr="007311F5">
        <w:rPr>
          <w:rFonts w:asciiTheme="minorEastAsia" w:eastAsiaTheme="minorEastAsia" w:hAnsiTheme="minorEastAsia" w:cs="Times New Roman" w:hint="eastAsia"/>
          <w:color w:val="FF0000"/>
        </w:rPr>
        <w:t>知其诉讼权利和认罪认罚的法律规定</w:t>
      </w:r>
      <w:r w:rsidRPr="00604D12">
        <w:rPr>
          <w:rFonts w:asciiTheme="minorEastAsia" w:eastAsiaTheme="minorEastAsia" w:hAnsiTheme="minorEastAsia" w:cs="Times New Roman" w:hint="eastAsia"/>
        </w:rPr>
        <w:t>；</w:t>
      </w:r>
    </w:p>
    <w:p w14:paraId="3270DC43"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2．是否随案移送听取犯罪嫌疑人、辩护人或者值班律师、被害人及其诉讼代理人意见的笔录；</w:t>
      </w:r>
    </w:p>
    <w:p w14:paraId="2EBEB3C8" w14:textId="77777777" w:rsidR="00DE5313" w:rsidRPr="007311F5" w:rsidRDefault="00DE5313" w:rsidP="00604D12">
      <w:pPr>
        <w:spacing w:line="240" w:lineRule="auto"/>
        <w:ind w:firstLine="420"/>
        <w:rPr>
          <w:rFonts w:asciiTheme="minorEastAsia" w:eastAsiaTheme="minorEastAsia" w:hAnsiTheme="minorEastAsia" w:cs="Times New Roman" w:hint="eastAsia"/>
          <w:color w:val="FF0000"/>
        </w:rPr>
      </w:pPr>
      <w:r w:rsidRPr="00604D12">
        <w:rPr>
          <w:rFonts w:asciiTheme="minorEastAsia" w:eastAsiaTheme="minorEastAsia" w:hAnsiTheme="minorEastAsia" w:cs="Times New Roman" w:hint="eastAsia"/>
        </w:rPr>
        <w:t>3．被告人与被害人达成调解、和解协议或者取得被害人谅解的，是否随案移送</w:t>
      </w:r>
      <w:r w:rsidRPr="007311F5">
        <w:rPr>
          <w:rFonts w:asciiTheme="minorEastAsia" w:eastAsiaTheme="minorEastAsia" w:hAnsiTheme="minorEastAsia" w:cs="Times New Roman" w:hint="eastAsia"/>
          <w:color w:val="FF0000"/>
        </w:rPr>
        <w:t>调解、和解协议、被害人谅解书等相关材料；</w:t>
      </w:r>
    </w:p>
    <w:p w14:paraId="6503D765"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4．需要签署认罪认罚具结书的，是否随案移送</w:t>
      </w:r>
      <w:r w:rsidRPr="007311F5">
        <w:rPr>
          <w:rFonts w:asciiTheme="minorEastAsia" w:eastAsiaTheme="minorEastAsia" w:hAnsiTheme="minorEastAsia" w:cs="Times New Roman" w:hint="eastAsia"/>
          <w:color w:val="FF0000"/>
        </w:rPr>
        <w:t>具结书</w:t>
      </w:r>
      <w:r w:rsidRPr="00604D12">
        <w:rPr>
          <w:rFonts w:asciiTheme="minorEastAsia" w:eastAsiaTheme="minorEastAsia" w:hAnsiTheme="minorEastAsia" w:cs="Times New Roman" w:hint="eastAsia"/>
        </w:rPr>
        <w:t>。</w:t>
      </w:r>
    </w:p>
    <w:p w14:paraId="5F6B326E"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对认罪认罚案件，法院经审理认为量刑建议明显不当，或者被告人、辩护人对量刑建议提出异议的，检察院可以调整量刑建议。检察院不调整或者调整后仍然明显不当的，法院应当依法作出判决。</w:t>
      </w:r>
    </w:p>
    <w:p w14:paraId="66A07152" w14:textId="4445D908"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四、单位犯罪案件的审理</w:t>
      </w:r>
    </w:p>
    <w:p w14:paraId="34284BFA"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（一）诉讼代表人的确定</w:t>
      </w:r>
    </w:p>
    <w:p w14:paraId="1426AD7D" w14:textId="4B9C5158" w:rsidR="00FC1CA9" w:rsidRPr="00FC1CA9" w:rsidRDefault="00FC1CA9" w:rsidP="00FC1CA9">
      <w:pPr>
        <w:spacing w:line="240" w:lineRule="auto"/>
        <w:ind w:firstLine="420"/>
        <w:rPr>
          <w:rFonts w:asciiTheme="minorEastAsia" w:eastAsiaTheme="minorEastAsia" w:hAnsiTheme="minorEastAsia" w:cs="Times New Roman" w:hint="eastAsia"/>
        </w:rPr>
      </w:pPr>
      <w:r w:rsidRPr="00390794">
        <w:rPr>
          <w:rFonts w:asciiTheme="minorEastAsia" w:eastAsiaTheme="minorEastAsia" w:hAnsiTheme="minorEastAsia" w:hint="eastAsia"/>
        </w:rPr>
        <w:t>《刑诉法解释》</w:t>
      </w:r>
      <w:r w:rsidRPr="00FC1CA9">
        <w:rPr>
          <w:rFonts w:asciiTheme="minorEastAsia" w:eastAsiaTheme="minorEastAsia" w:hAnsiTheme="minorEastAsia" w:cs="Times New Roman" w:hint="eastAsia"/>
        </w:rPr>
        <w:t>第</w:t>
      </w:r>
      <w:r w:rsidR="0081528E">
        <w:rPr>
          <w:rFonts w:asciiTheme="minorEastAsia" w:eastAsiaTheme="minorEastAsia" w:hAnsiTheme="minorEastAsia" w:cs="Times New Roman" w:hint="eastAsia"/>
        </w:rPr>
        <w:t>336</w:t>
      </w:r>
      <w:r w:rsidRPr="00FC1CA9">
        <w:rPr>
          <w:rFonts w:asciiTheme="minorEastAsia" w:eastAsiaTheme="minorEastAsia" w:hAnsiTheme="minorEastAsia" w:cs="Times New Roman" w:hint="eastAsia"/>
        </w:rPr>
        <w:t>条  被告单位的诉讼代表人，应当是法定代表人、实际控制人或者主要负责人；法定代表人、实际控制人或者主要负责人被指控为单位犯罪直接责任人员或者因客观原因无法出庭的，应当由被告单位委托其他负责人或者职工作为诉讼代表人。但是，有关人员被指控为单位犯罪直接责任人员或者知道案件情况、负有作证义务的除外。</w:t>
      </w:r>
    </w:p>
    <w:p w14:paraId="2ADA49C3" w14:textId="77777777" w:rsidR="00FC1CA9" w:rsidRPr="00FC1CA9" w:rsidRDefault="00FC1CA9" w:rsidP="00FC1CA9">
      <w:pPr>
        <w:spacing w:line="240" w:lineRule="auto"/>
        <w:ind w:firstLine="420"/>
        <w:rPr>
          <w:rFonts w:asciiTheme="minorEastAsia" w:eastAsiaTheme="minorEastAsia" w:hAnsiTheme="minorEastAsia" w:cs="Times New Roman" w:hint="eastAsia"/>
        </w:rPr>
      </w:pPr>
      <w:r w:rsidRPr="00FC1CA9">
        <w:rPr>
          <w:rFonts w:asciiTheme="minorEastAsia" w:eastAsiaTheme="minorEastAsia" w:hAnsiTheme="minorEastAsia" w:cs="Times New Roman" w:hint="eastAsia"/>
        </w:rPr>
        <w:t>依据前款规定难以确定诉讼代表人的，可以由被告单位委托律师等单位以外的人员作为诉讼代表人。</w:t>
      </w:r>
    </w:p>
    <w:p w14:paraId="134C7DE8" w14:textId="77777777" w:rsidR="00FC1CA9" w:rsidRPr="00FC1CA9" w:rsidRDefault="00FC1CA9" w:rsidP="00FC1CA9">
      <w:pPr>
        <w:spacing w:line="240" w:lineRule="auto"/>
        <w:ind w:firstLine="420"/>
        <w:rPr>
          <w:rFonts w:asciiTheme="minorEastAsia" w:eastAsiaTheme="minorEastAsia" w:hAnsiTheme="minorEastAsia" w:cs="Times New Roman" w:hint="eastAsia"/>
        </w:rPr>
      </w:pPr>
      <w:r w:rsidRPr="00FC1CA9">
        <w:rPr>
          <w:rFonts w:asciiTheme="minorEastAsia" w:eastAsiaTheme="minorEastAsia" w:hAnsiTheme="minorEastAsia" w:cs="Times New Roman" w:hint="eastAsia"/>
        </w:rPr>
        <w:t>诉讼代表人不得同时担任被告单位或者被指控为单位犯罪直接责任人员的有关人员的辩护人。</w:t>
      </w:r>
    </w:p>
    <w:p w14:paraId="7886EC5E" w14:textId="1E455AC5" w:rsidR="00FC1CA9" w:rsidRPr="00FC1CA9" w:rsidRDefault="00EC073A" w:rsidP="00FC1CA9">
      <w:pPr>
        <w:spacing w:line="240" w:lineRule="auto"/>
        <w:ind w:firstLine="420"/>
        <w:rPr>
          <w:rFonts w:asciiTheme="minorEastAsia" w:eastAsiaTheme="minorEastAsia" w:hAnsiTheme="minorEastAsia" w:cs="Times New Roman" w:hint="eastAsia"/>
        </w:rPr>
      </w:pPr>
      <w:r w:rsidRPr="00390794">
        <w:rPr>
          <w:rFonts w:asciiTheme="minorEastAsia" w:eastAsiaTheme="minorEastAsia" w:hAnsiTheme="minorEastAsia" w:hint="eastAsia"/>
        </w:rPr>
        <w:t>《刑诉法解释》</w:t>
      </w:r>
      <w:r w:rsidR="00FC1CA9" w:rsidRPr="00FC1CA9">
        <w:rPr>
          <w:rFonts w:asciiTheme="minorEastAsia" w:eastAsiaTheme="minorEastAsia" w:hAnsiTheme="minorEastAsia" w:cs="Times New Roman" w:hint="eastAsia"/>
        </w:rPr>
        <w:t>第</w:t>
      </w:r>
      <w:r w:rsidR="0081528E">
        <w:rPr>
          <w:rFonts w:asciiTheme="minorEastAsia" w:eastAsiaTheme="minorEastAsia" w:hAnsiTheme="minorEastAsia" w:cs="Times New Roman" w:hint="eastAsia"/>
        </w:rPr>
        <w:t>337</w:t>
      </w:r>
      <w:r w:rsidR="00FC1CA9" w:rsidRPr="00FC1CA9">
        <w:rPr>
          <w:rFonts w:asciiTheme="minorEastAsia" w:eastAsiaTheme="minorEastAsia" w:hAnsiTheme="minorEastAsia" w:cs="Times New Roman" w:hint="eastAsia"/>
        </w:rPr>
        <w:t>条  开庭审理单位犯罪案件，应当通知被告单位的诉讼代表人出庭；诉讼代表人不符合前条规定的，应当要求人民检察院另行确定。</w:t>
      </w:r>
    </w:p>
    <w:p w14:paraId="08F792F6" w14:textId="7D8D0A1E" w:rsidR="00DE5313" w:rsidRPr="00604D12" w:rsidRDefault="00FC1CA9" w:rsidP="0081528E">
      <w:pPr>
        <w:spacing w:line="240" w:lineRule="auto"/>
        <w:ind w:firstLine="420"/>
        <w:rPr>
          <w:rFonts w:asciiTheme="minorEastAsia" w:eastAsiaTheme="minorEastAsia" w:hAnsiTheme="minorEastAsia" w:cs="Times New Roman" w:hint="eastAsia"/>
        </w:rPr>
      </w:pPr>
      <w:r w:rsidRPr="00FC1CA9">
        <w:rPr>
          <w:rFonts w:asciiTheme="minorEastAsia" w:eastAsiaTheme="minorEastAsia" w:hAnsiTheme="minorEastAsia" w:cs="Times New Roman" w:hint="eastAsia"/>
        </w:rPr>
        <w:t>被告单位的诉讼代表人不出庭的，应当按照下列情形分别处理：（</w:t>
      </w:r>
      <w:r w:rsidR="0081528E">
        <w:rPr>
          <w:rFonts w:asciiTheme="minorEastAsia" w:eastAsiaTheme="minorEastAsia" w:hAnsiTheme="minorEastAsia" w:cs="Times New Roman" w:hint="eastAsia"/>
        </w:rPr>
        <w:t>1</w:t>
      </w:r>
      <w:r w:rsidRPr="00FC1CA9">
        <w:rPr>
          <w:rFonts w:asciiTheme="minorEastAsia" w:eastAsiaTheme="minorEastAsia" w:hAnsiTheme="minorEastAsia" w:cs="Times New Roman" w:hint="eastAsia"/>
        </w:rPr>
        <w:t>）诉讼代表人系被告单位的法定代表人、实际控制人或者主要负责人，无正当理由拒不出庭的，可以拘传其到庭；</w:t>
      </w:r>
      <w:r w:rsidRPr="00FC1CA9">
        <w:rPr>
          <w:rFonts w:asciiTheme="minorEastAsia" w:eastAsiaTheme="minorEastAsia" w:hAnsiTheme="minorEastAsia" w:cs="Times New Roman" w:hint="eastAsia"/>
        </w:rPr>
        <w:lastRenderedPageBreak/>
        <w:t>因客观原因无法出庭，或者下落不明的，应当要求人民检察院另行确定诉讼代表人；（</w:t>
      </w:r>
      <w:r w:rsidR="0081528E">
        <w:rPr>
          <w:rFonts w:asciiTheme="minorEastAsia" w:eastAsiaTheme="minorEastAsia" w:hAnsiTheme="minorEastAsia" w:cs="Times New Roman" w:hint="eastAsia"/>
        </w:rPr>
        <w:t>2</w:t>
      </w:r>
      <w:r w:rsidRPr="00FC1CA9">
        <w:rPr>
          <w:rFonts w:asciiTheme="minorEastAsia" w:eastAsiaTheme="minorEastAsia" w:hAnsiTheme="minorEastAsia" w:cs="Times New Roman" w:hint="eastAsia"/>
        </w:rPr>
        <w:t>）诉讼代表人系其他人员的，应当要求人民检察院另行确定诉讼代表人。</w:t>
      </w:r>
    </w:p>
    <w:p w14:paraId="518B8737"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（二）诉讼代表人的出庭</w:t>
      </w:r>
    </w:p>
    <w:p w14:paraId="70CF3CAB" w14:textId="77777777" w:rsidR="00DE5313" w:rsidRPr="00604D12" w:rsidRDefault="00DE5313" w:rsidP="00604D12">
      <w:pPr>
        <w:spacing w:line="240" w:lineRule="auto"/>
        <w:ind w:firstLine="420"/>
        <w:rPr>
          <w:rFonts w:asciiTheme="minorEastAsia" w:eastAsiaTheme="minorEastAsia" w:hAnsiTheme="minorEastAsia" w:cs="Times New Roman" w:hint="eastAsia"/>
        </w:rPr>
      </w:pPr>
      <w:bookmarkStart w:id="6" w:name="OLE_LINK22"/>
      <w:r w:rsidRPr="00604D12">
        <w:rPr>
          <w:rFonts w:asciiTheme="minorEastAsia" w:eastAsiaTheme="minorEastAsia" w:hAnsiTheme="minorEastAsia" w:cs="Times New Roman" w:hint="eastAsia"/>
        </w:rPr>
        <w:t>开庭审理单位犯罪案件，应当通知被告单位的诉讼代表人出庭；</w:t>
      </w:r>
      <w:r w:rsidRPr="00604D12">
        <w:rPr>
          <w:rFonts w:asciiTheme="minorEastAsia" w:eastAsiaTheme="minorEastAsia" w:hAnsiTheme="minorEastAsia" w:cs="Times New Roman" w:hint="eastAsia"/>
          <w:color w:val="FF0000"/>
        </w:rPr>
        <w:t>诉讼代表人不符合相关规定的</w:t>
      </w:r>
      <w:bookmarkEnd w:id="6"/>
      <w:r w:rsidRPr="00604D12">
        <w:rPr>
          <w:rFonts w:asciiTheme="minorEastAsia" w:eastAsiaTheme="minorEastAsia" w:hAnsiTheme="minorEastAsia" w:cs="Times New Roman" w:hint="eastAsia"/>
          <w:color w:val="FF0000"/>
        </w:rPr>
        <w:t>，</w:t>
      </w:r>
      <w:bookmarkStart w:id="7" w:name="OLE_LINK23"/>
      <w:r w:rsidRPr="00604D12">
        <w:rPr>
          <w:rFonts w:asciiTheme="minorEastAsia" w:eastAsiaTheme="minorEastAsia" w:hAnsiTheme="minorEastAsia" w:cs="Times New Roman" w:hint="eastAsia"/>
          <w:color w:val="FF0000"/>
        </w:rPr>
        <w:t>应当要求人民检察院另行确定</w:t>
      </w:r>
      <w:bookmarkEnd w:id="7"/>
      <w:r w:rsidRPr="00604D12">
        <w:rPr>
          <w:rFonts w:asciiTheme="minorEastAsia" w:eastAsiaTheme="minorEastAsia" w:hAnsiTheme="minorEastAsia" w:cs="Times New Roman" w:hint="eastAsia"/>
        </w:rPr>
        <w:t>。</w:t>
      </w:r>
    </w:p>
    <w:p w14:paraId="59575758"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被告单位的诉讼代表人不出庭的，应当按照下列情形分别处理：</w:t>
      </w:r>
    </w:p>
    <w:p w14:paraId="06BEA21D"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1</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诉讼代表人系被告单位的法定代表人、实际控制人或者主要负责人，无正当理由拒不出庭的，可以拘传其到庭；因客观原因无法出庭，或者下落不明的，应当要求人民检察院另行确定诉讼代表人；</w:t>
      </w:r>
    </w:p>
    <w:p w14:paraId="5A5DEF87"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2</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诉讼代表人系其他人员的，应当要求人民检察院另行确定诉讼代表人。</w:t>
      </w:r>
    </w:p>
    <w:p w14:paraId="4B0300A5" w14:textId="7A5FE4FE" w:rsidR="00DE5313" w:rsidRPr="00604D12" w:rsidRDefault="00DE5313" w:rsidP="00604D12">
      <w:pPr>
        <w:pStyle w:val="1"/>
        <w:spacing w:before="0" w:line="240" w:lineRule="auto"/>
        <w:rPr>
          <w:rFonts w:asciiTheme="minorEastAsia" w:eastAsiaTheme="minorEastAsia" w:hAnsiTheme="minorEastAsia" w:hint="eastAsia"/>
          <w:b/>
          <w:bCs w:val="0"/>
          <w:color w:val="auto"/>
          <w:sz w:val="21"/>
          <w:szCs w:val="21"/>
        </w:rPr>
      </w:pPr>
      <w:bookmarkStart w:id="8" w:name="_Toc183697273"/>
      <w:r w:rsidRPr="00604D12">
        <w:rPr>
          <w:rFonts w:asciiTheme="minorEastAsia" w:eastAsiaTheme="minorEastAsia" w:hAnsiTheme="minorEastAsia" w:hint="eastAsia"/>
          <w:b/>
          <w:bCs w:val="0"/>
          <w:color w:val="auto"/>
          <w:sz w:val="21"/>
          <w:szCs w:val="21"/>
        </w:rPr>
        <w:t>第三节  简易程序与速裁程序</w:t>
      </w:r>
      <w:bookmarkEnd w:id="8"/>
      <w:r w:rsidR="00604D12" w:rsidRPr="00604D12">
        <w:rPr>
          <w:rFonts w:asciiTheme="minorEastAsia" w:eastAsiaTheme="minorEastAsia" w:hAnsiTheme="minorEastAsia" w:hint="eastAsia"/>
          <w:b/>
          <w:bCs w:val="0"/>
          <w:color w:val="auto"/>
          <w:sz w:val="21"/>
          <w:szCs w:val="21"/>
        </w:rPr>
        <w:t>（</w:t>
      </w:r>
      <w:r w:rsidR="00B153E2">
        <w:rPr>
          <w:rFonts w:asciiTheme="minorEastAsia" w:eastAsiaTheme="minorEastAsia" w:hAnsiTheme="minorEastAsia" w:hint="eastAsia"/>
          <w:b/>
          <w:bCs w:val="0"/>
          <w:color w:val="auto"/>
          <w:sz w:val="21"/>
          <w:szCs w:val="21"/>
        </w:rPr>
        <w:t>21</w:t>
      </w:r>
      <w:r w:rsidR="00604D12" w:rsidRPr="00604D12">
        <w:rPr>
          <w:rFonts w:asciiTheme="minorEastAsia" w:eastAsiaTheme="minorEastAsia" w:hAnsiTheme="minorEastAsia"/>
          <w:b/>
          <w:bCs w:val="0"/>
          <w:color w:val="auto"/>
          <w:sz w:val="21"/>
          <w:szCs w:val="21"/>
        </w:rPr>
        <w:t>:</w:t>
      </w:r>
      <w:r w:rsidR="009905AB">
        <w:rPr>
          <w:rFonts w:asciiTheme="minorEastAsia" w:eastAsiaTheme="minorEastAsia" w:hAnsiTheme="minorEastAsia" w:hint="eastAsia"/>
          <w:b/>
          <w:bCs w:val="0"/>
          <w:color w:val="auto"/>
          <w:sz w:val="21"/>
          <w:szCs w:val="21"/>
        </w:rPr>
        <w:t>4</w:t>
      </w:r>
      <w:r w:rsidR="00536755">
        <w:rPr>
          <w:rFonts w:asciiTheme="minorEastAsia" w:eastAsiaTheme="minorEastAsia" w:hAnsiTheme="minorEastAsia" w:hint="eastAsia"/>
          <w:b/>
          <w:bCs w:val="0"/>
          <w:color w:val="auto"/>
          <w:sz w:val="21"/>
          <w:szCs w:val="21"/>
        </w:rPr>
        <w:t>1</w:t>
      </w:r>
      <w:r w:rsidR="00604D12" w:rsidRPr="00604D12">
        <w:rPr>
          <w:rFonts w:asciiTheme="minorEastAsia" w:eastAsiaTheme="minorEastAsia" w:hAnsiTheme="minorEastAsia"/>
          <w:b/>
          <w:bCs w:val="0"/>
          <w:color w:val="auto"/>
          <w:sz w:val="21"/>
          <w:szCs w:val="21"/>
        </w:rPr>
        <w:t>:00-</w:t>
      </w:r>
      <w:r w:rsidR="005963F7">
        <w:rPr>
          <w:rFonts w:asciiTheme="minorEastAsia" w:eastAsiaTheme="minorEastAsia" w:hAnsiTheme="minorEastAsia" w:hint="eastAsia"/>
          <w:b/>
          <w:bCs w:val="0"/>
          <w:color w:val="auto"/>
          <w:sz w:val="21"/>
          <w:szCs w:val="21"/>
        </w:rPr>
        <w:t>22</w:t>
      </w:r>
      <w:r w:rsidR="005963F7" w:rsidRPr="00604D12">
        <w:rPr>
          <w:rFonts w:asciiTheme="minorEastAsia" w:eastAsiaTheme="minorEastAsia" w:hAnsiTheme="minorEastAsia"/>
          <w:b/>
          <w:bCs w:val="0"/>
          <w:color w:val="auto"/>
          <w:sz w:val="21"/>
          <w:szCs w:val="21"/>
        </w:rPr>
        <w:t>:</w:t>
      </w:r>
      <w:r w:rsidR="005963F7">
        <w:rPr>
          <w:rFonts w:asciiTheme="minorEastAsia" w:eastAsiaTheme="minorEastAsia" w:hAnsiTheme="minorEastAsia" w:hint="eastAsia"/>
          <w:b/>
          <w:bCs w:val="0"/>
          <w:color w:val="auto"/>
          <w:sz w:val="21"/>
          <w:szCs w:val="21"/>
        </w:rPr>
        <w:t>05</w:t>
      </w:r>
      <w:r w:rsidR="00604D12" w:rsidRPr="00604D12">
        <w:rPr>
          <w:rFonts w:asciiTheme="minorEastAsia" w:eastAsiaTheme="minorEastAsia" w:hAnsiTheme="minorEastAsia"/>
          <w:b/>
          <w:bCs w:val="0"/>
          <w:color w:val="auto"/>
          <w:sz w:val="21"/>
          <w:szCs w:val="21"/>
        </w:rPr>
        <w:t>:00）</w:t>
      </w:r>
    </w:p>
    <w:p w14:paraId="080A76F1" w14:textId="3440F659"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一、简易程序</w:t>
      </w:r>
    </w:p>
    <w:p w14:paraId="1481B5D9"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（一）适用条件</w:t>
      </w:r>
    </w:p>
    <w:p w14:paraId="4F2A0572"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基层法院管辖的案件，符合下列条件的，可以适用简易程序审判：</w:t>
      </w:r>
    </w:p>
    <w:p w14:paraId="1A1FC86C"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1</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案件事实清楚、证据充分的；（事实清楚）</w:t>
      </w:r>
    </w:p>
    <w:p w14:paraId="5058A130"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2</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被告人承认自己所犯罪行，对指控的犯罪事实没有异议的；（承认罪行）</w:t>
      </w:r>
    </w:p>
    <w:p w14:paraId="732C92FD"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3</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被告人对适用简易程序没有异议的。（程序认同）</w:t>
      </w:r>
    </w:p>
    <w:p w14:paraId="100FEAF9"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具有下列情形之一的，</w:t>
      </w:r>
      <w:r w:rsidRPr="00604D12">
        <w:rPr>
          <w:rFonts w:asciiTheme="minorEastAsia" w:eastAsiaTheme="minorEastAsia" w:hAnsiTheme="minorEastAsia" w:cs="Times New Roman" w:hint="eastAsia"/>
          <w:color w:val="FF0000"/>
        </w:rPr>
        <w:t>不适用简易程序</w:t>
      </w:r>
      <w:r w:rsidRPr="00604D12">
        <w:rPr>
          <w:rFonts w:asciiTheme="minorEastAsia" w:eastAsiaTheme="minorEastAsia" w:hAnsiTheme="minorEastAsia" w:cs="Times New Roman" w:hint="eastAsia"/>
        </w:rPr>
        <w:t>：</w:t>
      </w:r>
    </w:p>
    <w:p w14:paraId="4DB61E0F"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1</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被告人是盲、聋、哑人的；</w:t>
      </w:r>
    </w:p>
    <w:p w14:paraId="5EAC09DA"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2</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被告人是尚未完全丧失辨认或者控制自己行为能力的精神病人的；</w:t>
      </w:r>
    </w:p>
    <w:p w14:paraId="0902D953"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3</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案件有重大社会影响的；</w:t>
      </w:r>
    </w:p>
    <w:p w14:paraId="4D57F28F"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4</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共同犯罪案件中部分被告人不认罪或者对适用简易程序有异议的；</w:t>
      </w:r>
    </w:p>
    <w:p w14:paraId="420134A3"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5</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辩护人作无罪辩护的；</w:t>
      </w:r>
    </w:p>
    <w:p w14:paraId="434D1F24"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6</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被告人认罪但经审查认为可能不构成犯罪的；</w:t>
      </w:r>
    </w:p>
    <w:p w14:paraId="00B07E53"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7</w:t>
      </w:r>
      <w:r w:rsidRPr="00604D12">
        <w:rPr>
          <w:rFonts w:asciiTheme="minorEastAsia" w:eastAsiaTheme="minorEastAsia" w:hAnsiTheme="minorEastAsia" w:hint="eastAsia"/>
        </w:rPr>
        <w:t>．</w:t>
      </w:r>
      <w:r w:rsidRPr="00604D12">
        <w:rPr>
          <w:rFonts w:asciiTheme="minorEastAsia" w:eastAsiaTheme="minorEastAsia" w:hAnsiTheme="minorEastAsia" w:cs="Times New Roman" w:hint="eastAsia"/>
        </w:rPr>
        <w:t>不宜适用简易程序审理的其他情形。</w:t>
      </w:r>
    </w:p>
    <w:p w14:paraId="16A64677"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（二）程序简化</w:t>
      </w:r>
    </w:p>
    <w:p w14:paraId="119A9ED2" w14:textId="77777777"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二、速裁程序与简易程序的不同点</w:t>
      </w:r>
    </w:p>
    <w:tbl>
      <w:tblPr>
        <w:tblStyle w:val="a8"/>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124"/>
        <w:gridCol w:w="3371"/>
        <w:gridCol w:w="4010"/>
      </w:tblGrid>
      <w:tr w:rsidR="00DE5313" w:rsidRPr="00604D12" w14:paraId="72E0F2D5" w14:textId="77777777" w:rsidTr="00463D60">
        <w:trPr>
          <w:jc w:val="center"/>
        </w:trPr>
        <w:tc>
          <w:tcPr>
            <w:tcW w:w="1124" w:type="dxa"/>
            <w:vAlign w:val="center"/>
          </w:tcPr>
          <w:p w14:paraId="62FA4581"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p>
        </w:tc>
        <w:tc>
          <w:tcPr>
            <w:tcW w:w="3371" w:type="dxa"/>
            <w:vAlign w:val="center"/>
          </w:tcPr>
          <w:p w14:paraId="36494C4B"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简易程序</w:t>
            </w:r>
          </w:p>
        </w:tc>
        <w:tc>
          <w:tcPr>
            <w:tcW w:w="4010" w:type="dxa"/>
            <w:vAlign w:val="center"/>
          </w:tcPr>
          <w:p w14:paraId="35009856"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速裁程序</w:t>
            </w:r>
          </w:p>
        </w:tc>
      </w:tr>
      <w:tr w:rsidR="00DE5313" w:rsidRPr="00604D12" w14:paraId="428E89BB" w14:textId="77777777" w:rsidTr="00463D60">
        <w:trPr>
          <w:jc w:val="center"/>
        </w:trPr>
        <w:tc>
          <w:tcPr>
            <w:tcW w:w="1124" w:type="dxa"/>
            <w:vAlign w:val="center"/>
          </w:tcPr>
          <w:p w14:paraId="3AD0BC2E"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适用条件</w:t>
            </w:r>
          </w:p>
          <w:p w14:paraId="74D012A4"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（两点）</w:t>
            </w:r>
          </w:p>
        </w:tc>
        <w:tc>
          <w:tcPr>
            <w:tcW w:w="3371" w:type="dxa"/>
            <w:vAlign w:val="center"/>
          </w:tcPr>
          <w:p w14:paraId="6D6806ED"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1．被告人态度：认罪</w:t>
            </w:r>
          </w:p>
          <w:p w14:paraId="4ADE9AEC"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2．判处有期徒刑的刑期限制：无</w:t>
            </w:r>
          </w:p>
        </w:tc>
        <w:tc>
          <w:tcPr>
            <w:tcW w:w="4010" w:type="dxa"/>
            <w:vAlign w:val="center"/>
          </w:tcPr>
          <w:p w14:paraId="58EA2E11"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1．被告人态度：认罪+认罚（同意量刑建议）</w:t>
            </w:r>
          </w:p>
          <w:p w14:paraId="2AF63651"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2．判处有期徒刑的刑期限制：3年以下</w:t>
            </w:r>
          </w:p>
        </w:tc>
      </w:tr>
      <w:tr w:rsidR="00DE5313" w:rsidRPr="00604D12" w14:paraId="51085DC9" w14:textId="77777777" w:rsidTr="00463D60">
        <w:trPr>
          <w:jc w:val="center"/>
        </w:trPr>
        <w:tc>
          <w:tcPr>
            <w:tcW w:w="1124" w:type="dxa"/>
            <w:vAlign w:val="center"/>
          </w:tcPr>
          <w:p w14:paraId="7146AFA2"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否定情形</w:t>
            </w:r>
          </w:p>
          <w:p w14:paraId="3FCCDEDA"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（三点）</w:t>
            </w:r>
          </w:p>
        </w:tc>
        <w:tc>
          <w:tcPr>
            <w:tcW w:w="7381" w:type="dxa"/>
            <w:gridSpan w:val="2"/>
            <w:vAlign w:val="center"/>
          </w:tcPr>
          <w:p w14:paraId="318E148F"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color w:val="FF0000"/>
                <w:sz w:val="21"/>
              </w:rPr>
              <w:t>速裁程序在简易程序基础上，多五种不能或不宜继续适用的情形</w:t>
            </w:r>
            <w:r w:rsidRPr="00604D12">
              <w:rPr>
                <w:rFonts w:asciiTheme="minorEastAsia" w:eastAsiaTheme="minorEastAsia" w:hAnsiTheme="minorEastAsia" w:hint="eastAsia"/>
                <w:sz w:val="21"/>
              </w:rPr>
              <w:t>：</w:t>
            </w:r>
          </w:p>
          <w:p w14:paraId="32B770BE"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1．被告人是</w:t>
            </w:r>
            <w:r w:rsidRPr="00311844">
              <w:rPr>
                <w:rFonts w:asciiTheme="minorEastAsia" w:eastAsiaTheme="minorEastAsia" w:hAnsiTheme="minorEastAsia" w:hint="eastAsia"/>
                <w:color w:val="FF0000"/>
                <w:sz w:val="21"/>
              </w:rPr>
              <w:t>未成年人</w:t>
            </w:r>
            <w:r w:rsidRPr="00604D12">
              <w:rPr>
                <w:rFonts w:asciiTheme="minorEastAsia" w:eastAsiaTheme="minorEastAsia" w:hAnsiTheme="minorEastAsia" w:hint="eastAsia"/>
                <w:sz w:val="21"/>
              </w:rPr>
              <w:t>的；</w:t>
            </w:r>
          </w:p>
          <w:p w14:paraId="426CE4BE"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2．共同犯罪案件中部分被告人</w:t>
            </w:r>
            <w:r w:rsidRPr="00311844">
              <w:rPr>
                <w:rFonts w:asciiTheme="minorEastAsia" w:eastAsiaTheme="minorEastAsia" w:hAnsiTheme="minorEastAsia" w:hint="eastAsia"/>
                <w:color w:val="FF0000"/>
                <w:sz w:val="21"/>
              </w:rPr>
              <w:t>对罪名、量刑建议有异议</w:t>
            </w:r>
            <w:r w:rsidRPr="00604D12">
              <w:rPr>
                <w:rFonts w:asciiTheme="minorEastAsia" w:eastAsiaTheme="minorEastAsia" w:hAnsiTheme="minorEastAsia" w:hint="eastAsia"/>
                <w:sz w:val="21"/>
              </w:rPr>
              <w:t>的；</w:t>
            </w:r>
          </w:p>
          <w:p w14:paraId="66901DF2"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3．被告人与被害人或者其法定代理人没有就附带民事诉讼赔偿等事项达成调解、和解协议的；</w:t>
            </w:r>
          </w:p>
          <w:p w14:paraId="41D9AD59"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4．案件</w:t>
            </w:r>
            <w:r w:rsidRPr="00311844">
              <w:rPr>
                <w:rFonts w:asciiTheme="minorEastAsia" w:eastAsiaTheme="minorEastAsia" w:hAnsiTheme="minorEastAsia" w:hint="eastAsia"/>
                <w:color w:val="FF0000"/>
                <w:sz w:val="21"/>
              </w:rPr>
              <w:t>疑难、复杂或者对适用法律有重大争议的；</w:t>
            </w:r>
          </w:p>
          <w:p w14:paraId="56DC0067" w14:textId="77777777" w:rsidR="00DE5313" w:rsidRPr="00604D12" w:rsidRDefault="00DE5313" w:rsidP="00604D12">
            <w:pPr>
              <w:spacing w:line="240" w:lineRule="auto"/>
              <w:ind w:firstLineChars="0" w:firstLine="0"/>
              <w:rPr>
                <w:rFonts w:asciiTheme="minorEastAsia" w:eastAsiaTheme="minorEastAsia" w:hAnsiTheme="minorEastAsia" w:cs="微软雅黑" w:hint="eastAsia"/>
                <w:sz w:val="21"/>
                <w:shd w:val="clear" w:color="auto" w:fill="FFFFFF"/>
              </w:rPr>
            </w:pPr>
            <w:r w:rsidRPr="00604D12">
              <w:rPr>
                <w:rFonts w:asciiTheme="minorEastAsia" w:eastAsiaTheme="minorEastAsia" w:hAnsiTheme="minorEastAsia" w:hint="eastAsia"/>
                <w:sz w:val="21"/>
              </w:rPr>
              <w:t>5．被告人</w:t>
            </w:r>
            <w:r w:rsidRPr="00311844">
              <w:rPr>
                <w:rFonts w:asciiTheme="minorEastAsia" w:eastAsiaTheme="minorEastAsia" w:hAnsiTheme="minorEastAsia" w:hint="eastAsia"/>
                <w:color w:val="FF0000"/>
                <w:sz w:val="21"/>
              </w:rPr>
              <w:t>违背意愿</w:t>
            </w:r>
            <w:r w:rsidRPr="00604D12">
              <w:rPr>
                <w:rFonts w:asciiTheme="minorEastAsia" w:eastAsiaTheme="minorEastAsia" w:hAnsiTheme="minorEastAsia" w:hint="eastAsia"/>
                <w:sz w:val="21"/>
              </w:rPr>
              <w:t>认罪认罚的</w:t>
            </w:r>
          </w:p>
        </w:tc>
      </w:tr>
      <w:tr w:rsidR="00DE5313" w:rsidRPr="00604D12" w14:paraId="0223DB7A" w14:textId="77777777" w:rsidTr="00463D60">
        <w:trPr>
          <w:jc w:val="center"/>
        </w:trPr>
        <w:tc>
          <w:tcPr>
            <w:tcW w:w="1124" w:type="dxa"/>
            <w:vAlign w:val="center"/>
          </w:tcPr>
          <w:p w14:paraId="4902D736"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审判组织</w:t>
            </w:r>
          </w:p>
        </w:tc>
        <w:tc>
          <w:tcPr>
            <w:tcW w:w="3371" w:type="dxa"/>
            <w:vAlign w:val="center"/>
          </w:tcPr>
          <w:p w14:paraId="0D0721BD"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3年以下：独任审判或合议庭</w:t>
            </w:r>
          </w:p>
          <w:p w14:paraId="65A61172"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3年以上：只能合议庭</w:t>
            </w:r>
          </w:p>
        </w:tc>
        <w:tc>
          <w:tcPr>
            <w:tcW w:w="4010" w:type="dxa"/>
            <w:vAlign w:val="center"/>
          </w:tcPr>
          <w:p w14:paraId="2EF82EB0"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只能独任审判</w:t>
            </w:r>
          </w:p>
        </w:tc>
      </w:tr>
      <w:tr w:rsidR="00DE5313" w:rsidRPr="00604D12" w14:paraId="58B29C76" w14:textId="77777777" w:rsidTr="00463D60">
        <w:trPr>
          <w:jc w:val="center"/>
        </w:trPr>
        <w:tc>
          <w:tcPr>
            <w:tcW w:w="1124" w:type="dxa"/>
            <w:vAlign w:val="center"/>
          </w:tcPr>
          <w:p w14:paraId="34A77A03"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审理程序简化程度</w:t>
            </w:r>
          </w:p>
        </w:tc>
        <w:tc>
          <w:tcPr>
            <w:tcW w:w="3371" w:type="dxa"/>
            <w:vAlign w:val="center"/>
          </w:tcPr>
          <w:p w14:paraId="1800A2C1"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311844">
              <w:rPr>
                <w:rFonts w:asciiTheme="minorEastAsia" w:eastAsiaTheme="minorEastAsia" w:hAnsiTheme="minorEastAsia" w:hint="eastAsia"/>
                <w:color w:val="FF0000"/>
                <w:sz w:val="21"/>
              </w:rPr>
              <w:t>可简化法庭调查，可省略讯问、发问</w:t>
            </w:r>
          </w:p>
        </w:tc>
        <w:tc>
          <w:tcPr>
            <w:tcW w:w="4010" w:type="dxa"/>
            <w:vAlign w:val="center"/>
          </w:tcPr>
          <w:p w14:paraId="6B70928A"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color w:val="FF0000"/>
                <w:sz w:val="21"/>
              </w:rPr>
              <w:t>一般不进行法庭调查和法庭辩论</w:t>
            </w:r>
          </w:p>
        </w:tc>
      </w:tr>
      <w:tr w:rsidR="00DE5313" w:rsidRPr="00604D12" w14:paraId="45F9F218" w14:textId="77777777" w:rsidTr="00463D60">
        <w:trPr>
          <w:trHeight w:val="823"/>
          <w:jc w:val="center"/>
        </w:trPr>
        <w:tc>
          <w:tcPr>
            <w:tcW w:w="1124" w:type="dxa"/>
            <w:vAlign w:val="center"/>
          </w:tcPr>
          <w:p w14:paraId="57293D19"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lastRenderedPageBreak/>
              <w:t>审判期限</w:t>
            </w:r>
          </w:p>
        </w:tc>
        <w:tc>
          <w:tcPr>
            <w:tcW w:w="3371" w:type="dxa"/>
            <w:vAlign w:val="center"/>
          </w:tcPr>
          <w:p w14:paraId="6419C6F0"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3年以下：20日以内；</w:t>
            </w:r>
          </w:p>
          <w:p w14:paraId="4BF1E3BE"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3年以上：可以延长至一个半月</w:t>
            </w:r>
          </w:p>
        </w:tc>
        <w:tc>
          <w:tcPr>
            <w:tcW w:w="4010" w:type="dxa"/>
            <w:vAlign w:val="center"/>
          </w:tcPr>
          <w:p w14:paraId="19BAC1D9"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1年以下：10日以内；</w:t>
            </w:r>
          </w:p>
          <w:p w14:paraId="2CAB62CC"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1年以上：可以延长至15日</w:t>
            </w:r>
          </w:p>
        </w:tc>
      </w:tr>
      <w:tr w:rsidR="00DE5313" w:rsidRPr="00604D12" w14:paraId="7D38FE4C" w14:textId="77777777" w:rsidTr="00463D60">
        <w:trPr>
          <w:jc w:val="center"/>
        </w:trPr>
        <w:tc>
          <w:tcPr>
            <w:tcW w:w="1124" w:type="dxa"/>
            <w:vAlign w:val="center"/>
          </w:tcPr>
          <w:p w14:paraId="20C94F39"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shd w:val="clear" w:color="auto" w:fill="FFFFFF"/>
              </w:rPr>
            </w:pPr>
            <w:r w:rsidRPr="00604D12">
              <w:rPr>
                <w:rFonts w:asciiTheme="minorEastAsia" w:eastAsiaTheme="minorEastAsia" w:hAnsiTheme="minorEastAsia" w:cs="黑体" w:hint="eastAsia"/>
                <w:sz w:val="21"/>
                <w:shd w:val="clear" w:color="auto" w:fill="FFFFFF"/>
              </w:rPr>
              <w:t>宣判方式</w:t>
            </w:r>
          </w:p>
        </w:tc>
        <w:tc>
          <w:tcPr>
            <w:tcW w:w="3371" w:type="dxa"/>
            <w:vAlign w:val="center"/>
          </w:tcPr>
          <w:p w14:paraId="65F102A4"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一般应当当庭宣判</w:t>
            </w:r>
          </w:p>
        </w:tc>
        <w:tc>
          <w:tcPr>
            <w:tcW w:w="4010" w:type="dxa"/>
            <w:vAlign w:val="center"/>
          </w:tcPr>
          <w:p w14:paraId="69FF2B9C"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应当当庭宣判</w:t>
            </w:r>
          </w:p>
        </w:tc>
      </w:tr>
    </w:tbl>
    <w:p w14:paraId="19E513B8" w14:textId="77777777"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三、程序转换</w:t>
      </w:r>
    </w:p>
    <w:p w14:paraId="04322AA0"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刑事审判中的程序转换，是指当适用简易程序或速裁程序审理案件时，发现不能适用或不宜继续适用该程序的情形时，转为普通程序或简易程序进行审理的机制。共存在“简转普”“速转普”和“速转简”三种情形，不能“普转简”“普转速”和“简转速”。</w:t>
      </w:r>
    </w:p>
    <w:p w14:paraId="0E787C24" w14:textId="7E3F1A53" w:rsidR="00DE5313" w:rsidRPr="00604D12" w:rsidRDefault="00DE5313" w:rsidP="00604D12">
      <w:pPr>
        <w:pStyle w:val="1"/>
        <w:spacing w:before="0" w:line="240" w:lineRule="auto"/>
        <w:rPr>
          <w:rFonts w:asciiTheme="minorEastAsia" w:eastAsiaTheme="minorEastAsia" w:hAnsiTheme="minorEastAsia" w:hint="eastAsia"/>
          <w:b/>
          <w:bCs w:val="0"/>
          <w:color w:val="auto"/>
          <w:sz w:val="21"/>
          <w:szCs w:val="21"/>
        </w:rPr>
      </w:pPr>
      <w:bookmarkStart w:id="9" w:name="_Toc183697274"/>
      <w:r w:rsidRPr="00604D12">
        <w:rPr>
          <w:rFonts w:asciiTheme="minorEastAsia" w:eastAsiaTheme="minorEastAsia" w:hAnsiTheme="minorEastAsia" w:hint="eastAsia"/>
          <w:b/>
          <w:bCs w:val="0"/>
          <w:color w:val="auto"/>
          <w:sz w:val="21"/>
          <w:szCs w:val="21"/>
        </w:rPr>
        <w:t>第四节  第二审程序</w:t>
      </w:r>
      <w:bookmarkEnd w:id="9"/>
      <w:r w:rsidR="00604D12" w:rsidRPr="00604D12">
        <w:rPr>
          <w:rFonts w:asciiTheme="minorEastAsia" w:eastAsiaTheme="minorEastAsia" w:hAnsiTheme="minorEastAsia" w:hint="eastAsia"/>
          <w:b/>
          <w:bCs w:val="0"/>
          <w:color w:val="auto"/>
          <w:sz w:val="21"/>
          <w:szCs w:val="21"/>
        </w:rPr>
        <w:t>（</w:t>
      </w:r>
      <w:r w:rsidR="003B0BF7">
        <w:rPr>
          <w:rFonts w:asciiTheme="minorEastAsia" w:eastAsiaTheme="minorEastAsia" w:hAnsiTheme="minorEastAsia" w:hint="eastAsia"/>
          <w:b/>
          <w:bCs w:val="0"/>
          <w:color w:val="auto"/>
          <w:sz w:val="21"/>
          <w:szCs w:val="21"/>
        </w:rPr>
        <w:t>22</w:t>
      </w:r>
      <w:r w:rsidR="00604D12" w:rsidRPr="00604D12">
        <w:rPr>
          <w:rFonts w:asciiTheme="minorEastAsia" w:eastAsiaTheme="minorEastAsia" w:hAnsiTheme="minorEastAsia"/>
          <w:b/>
          <w:bCs w:val="0"/>
          <w:color w:val="auto"/>
          <w:sz w:val="21"/>
          <w:szCs w:val="21"/>
        </w:rPr>
        <w:t>:</w:t>
      </w:r>
      <w:r w:rsidR="006D262E">
        <w:rPr>
          <w:rFonts w:asciiTheme="minorEastAsia" w:eastAsiaTheme="minorEastAsia" w:hAnsiTheme="minorEastAsia" w:hint="eastAsia"/>
          <w:b/>
          <w:bCs w:val="0"/>
          <w:color w:val="auto"/>
          <w:sz w:val="21"/>
          <w:szCs w:val="21"/>
        </w:rPr>
        <w:t>05</w:t>
      </w:r>
      <w:r w:rsidR="00604D12" w:rsidRPr="00604D12">
        <w:rPr>
          <w:rFonts w:asciiTheme="minorEastAsia" w:eastAsiaTheme="minorEastAsia" w:hAnsiTheme="minorEastAsia"/>
          <w:b/>
          <w:bCs w:val="0"/>
          <w:color w:val="auto"/>
          <w:sz w:val="21"/>
          <w:szCs w:val="21"/>
        </w:rPr>
        <w:t>:00-</w:t>
      </w:r>
      <w:r w:rsidR="003B0BF7">
        <w:rPr>
          <w:rFonts w:asciiTheme="minorEastAsia" w:eastAsiaTheme="minorEastAsia" w:hAnsiTheme="minorEastAsia" w:hint="eastAsia"/>
          <w:b/>
          <w:bCs w:val="0"/>
          <w:color w:val="auto"/>
          <w:sz w:val="21"/>
          <w:szCs w:val="21"/>
        </w:rPr>
        <w:t>22</w:t>
      </w:r>
      <w:r w:rsidR="00604D12" w:rsidRPr="00604D12">
        <w:rPr>
          <w:rFonts w:asciiTheme="minorEastAsia" w:eastAsiaTheme="minorEastAsia" w:hAnsiTheme="minorEastAsia"/>
          <w:b/>
          <w:bCs w:val="0"/>
          <w:color w:val="auto"/>
          <w:sz w:val="21"/>
          <w:szCs w:val="21"/>
        </w:rPr>
        <w:t>:</w:t>
      </w:r>
      <w:r w:rsidR="001840AF">
        <w:rPr>
          <w:rFonts w:asciiTheme="minorEastAsia" w:eastAsiaTheme="minorEastAsia" w:hAnsiTheme="minorEastAsia" w:hint="eastAsia"/>
          <w:b/>
          <w:bCs w:val="0"/>
          <w:color w:val="auto"/>
          <w:sz w:val="21"/>
          <w:szCs w:val="21"/>
        </w:rPr>
        <w:t>3</w:t>
      </w:r>
      <w:r w:rsidR="00595AA6">
        <w:rPr>
          <w:rFonts w:asciiTheme="minorEastAsia" w:eastAsiaTheme="minorEastAsia" w:hAnsiTheme="minorEastAsia" w:hint="eastAsia"/>
          <w:b/>
          <w:bCs w:val="0"/>
          <w:color w:val="auto"/>
          <w:sz w:val="21"/>
          <w:szCs w:val="21"/>
        </w:rPr>
        <w:t>9</w:t>
      </w:r>
      <w:r w:rsidR="00604D12" w:rsidRPr="00604D12">
        <w:rPr>
          <w:rFonts w:asciiTheme="minorEastAsia" w:eastAsiaTheme="minorEastAsia" w:hAnsiTheme="minorEastAsia"/>
          <w:b/>
          <w:bCs w:val="0"/>
          <w:color w:val="auto"/>
          <w:sz w:val="21"/>
          <w:szCs w:val="21"/>
        </w:rPr>
        <w:t>:00）</w:t>
      </w:r>
    </w:p>
    <w:p w14:paraId="5F0DF431" w14:textId="68945756"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一、启动</w:t>
      </w:r>
    </w:p>
    <w:p w14:paraId="355DD87D"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（一）上诉</w:t>
      </w:r>
    </w:p>
    <w:p w14:paraId="6C470155"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被告人、自诉人和他们的法定代理人，不服地方各级法院第一审的判决、裁定，有权用书状或者口头向上一级法院上诉。被告人的辩护人和近亲属，经被告人同意，可以提出上诉。</w:t>
      </w:r>
    </w:p>
    <w:p w14:paraId="736A6F95" w14:textId="1DE76772"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附带民事诉讼的当事人和他们的法定代理人，可以对地方各级法院第一审的判决、裁定中的附带民事诉讼部分，提出上诉。</w:t>
      </w:r>
    </w:p>
    <w:p w14:paraId="55478D8E"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（二）抗诉</w:t>
      </w:r>
    </w:p>
    <w:p w14:paraId="350E661D"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地方各级检察院认为本级法院第一审的判决、裁定确有错误的时候，应当向上一级法院提出抗诉。</w:t>
      </w:r>
    </w:p>
    <w:p w14:paraId="62178C66" w14:textId="517834CA" w:rsidR="00DE5313" w:rsidRPr="00604D12" w:rsidRDefault="00DE5313" w:rsidP="00604D12">
      <w:pPr>
        <w:spacing w:line="240" w:lineRule="auto"/>
        <w:ind w:firstLine="420"/>
        <w:rPr>
          <w:rFonts w:asciiTheme="minorEastAsia" w:eastAsiaTheme="minorEastAsia" w:hAnsiTheme="minorEastAsia" w:cs="Times New Roman" w:hint="eastAsia"/>
        </w:rPr>
      </w:pPr>
      <w:bookmarkStart w:id="10" w:name="OLE_LINK10"/>
      <w:r w:rsidRPr="00604D12">
        <w:rPr>
          <w:rFonts w:asciiTheme="minorEastAsia" w:eastAsiaTheme="minorEastAsia" w:hAnsiTheme="minorEastAsia" w:cs="Times New Roman" w:hint="eastAsia"/>
          <w:color w:val="FF0000"/>
        </w:rPr>
        <w:t>被害人及其法定代理人</w:t>
      </w:r>
      <w:r w:rsidRPr="00604D12">
        <w:rPr>
          <w:rFonts w:asciiTheme="minorEastAsia" w:eastAsiaTheme="minorEastAsia" w:hAnsiTheme="minorEastAsia" w:cs="Times New Roman" w:hint="eastAsia"/>
        </w:rPr>
        <w:t>不服地方各级法院第一审的判决的，自收到判决书后五日以内，</w:t>
      </w:r>
      <w:r w:rsidRPr="00604D12">
        <w:rPr>
          <w:rFonts w:asciiTheme="minorEastAsia" w:eastAsiaTheme="minorEastAsia" w:hAnsiTheme="minorEastAsia" w:cs="Times New Roman" w:hint="eastAsia"/>
          <w:color w:val="FF0000"/>
        </w:rPr>
        <w:t>有权请求检察院提出抗诉</w:t>
      </w:r>
      <w:r w:rsidRPr="00604D12">
        <w:rPr>
          <w:rFonts w:asciiTheme="minorEastAsia" w:eastAsiaTheme="minorEastAsia" w:hAnsiTheme="minorEastAsia" w:cs="Times New Roman" w:hint="eastAsia"/>
        </w:rPr>
        <w:t>。检察院自收到被害人及其法定代理人的请求后五日以内，应当作出是否抗诉的决定并且答复请求人。</w:t>
      </w:r>
      <w:bookmarkEnd w:id="10"/>
    </w:p>
    <w:p w14:paraId="45EEFD4A" w14:textId="0B8E01F4"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二、审理</w:t>
      </w:r>
    </w:p>
    <w:p w14:paraId="7C77E435"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（一）全面审查原则</w:t>
      </w:r>
    </w:p>
    <w:p w14:paraId="1E7ACDC7"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第二审法院审理上诉、抗诉案件，应当就第一审判决、裁定认定的事实和适用法律进行全面审查，不受上诉、抗诉范围的限制。</w:t>
      </w:r>
    </w:p>
    <w:p w14:paraId="6834FCF8"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共同犯罪案件，只有部分被告人提出上诉，或者自诉人只对部分被告人的判决提出上诉，或者检察院只对部分被告人的判决提出抗诉的，第二审法院应当对全案进行审查，一并处理。</w:t>
      </w:r>
    </w:p>
    <w:p w14:paraId="5EE9192C" w14:textId="77777777"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（二）审理方式</w:t>
      </w:r>
    </w:p>
    <w:p w14:paraId="2F779895" w14:textId="77777777" w:rsidR="00DE5313" w:rsidRPr="00604D12" w:rsidRDefault="00DE5313" w:rsidP="00604D12">
      <w:pPr>
        <w:spacing w:line="240" w:lineRule="auto"/>
        <w:ind w:firstLine="420"/>
        <w:rPr>
          <w:rFonts w:asciiTheme="minorEastAsia" w:eastAsiaTheme="minorEastAsia" w:hAnsiTheme="minorEastAsia" w:hint="eastAsia"/>
          <w:bCs/>
          <w:color w:val="FF0000"/>
        </w:rPr>
      </w:pPr>
      <w:r w:rsidRPr="00604D12">
        <w:rPr>
          <w:rFonts w:asciiTheme="minorEastAsia" w:eastAsiaTheme="minorEastAsia" w:hAnsiTheme="minorEastAsia" w:cs="Times New Roman" w:hint="eastAsia"/>
        </w:rPr>
        <w:t>第二审法院对于下列案件，应当组成合议庭，</w:t>
      </w:r>
      <w:r w:rsidRPr="00604D12">
        <w:rPr>
          <w:rFonts w:asciiTheme="minorEastAsia" w:eastAsiaTheme="minorEastAsia" w:hAnsiTheme="minorEastAsia" w:cs="Times New Roman" w:hint="eastAsia"/>
          <w:color w:val="FF0000"/>
        </w:rPr>
        <w:t>开庭审理</w:t>
      </w:r>
      <w:r w:rsidRPr="00604D12">
        <w:rPr>
          <w:rFonts w:asciiTheme="minorEastAsia" w:eastAsiaTheme="minorEastAsia" w:hAnsiTheme="minorEastAsia" w:cs="Times New Roman" w:hint="eastAsia"/>
        </w:rPr>
        <w:t>：（1）被告人、自诉人及其法定代理人对第一审认定的事实、证据提出异议，可能影响定罪量刑的上诉案件；（2）被告人被判处死刑的上诉案件；（3）人民检察院抗诉的案件；（4）其他应当开庭审理的案件。</w:t>
      </w:r>
    </w:p>
    <w:p w14:paraId="1A255FAD" w14:textId="77777777"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cs="Times New Roman" w:hint="eastAsia"/>
        </w:rPr>
        <w:t>第二审案件依法</w:t>
      </w:r>
      <w:r w:rsidRPr="00604D12">
        <w:rPr>
          <w:rFonts w:asciiTheme="minorEastAsia" w:eastAsiaTheme="minorEastAsia" w:hAnsiTheme="minorEastAsia" w:cs="Times New Roman" w:hint="eastAsia"/>
          <w:color w:val="FF0000"/>
        </w:rPr>
        <w:t>不开庭审理</w:t>
      </w:r>
      <w:r w:rsidRPr="00604D12">
        <w:rPr>
          <w:rFonts w:asciiTheme="minorEastAsia" w:eastAsiaTheme="minorEastAsia" w:hAnsiTheme="minorEastAsia" w:cs="Times New Roman" w:hint="eastAsia"/>
        </w:rPr>
        <w:t>的，应当讯问被告人，听取其他当事人、辩护人、诉讼代理人的意见。合议庭全体成员应当阅卷，必要时应当提交书面阅卷意见。</w:t>
      </w:r>
    </w:p>
    <w:p w14:paraId="0DDF8776" w14:textId="61ED9593" w:rsidR="00DE5313" w:rsidRPr="00604D12" w:rsidRDefault="00DE5313" w:rsidP="00604D12">
      <w:pPr>
        <w:pStyle w:val="3"/>
        <w:keepNext w:val="0"/>
        <w:keepLines w:val="0"/>
        <w:spacing w:line="240" w:lineRule="auto"/>
        <w:rPr>
          <w:rFonts w:asciiTheme="minorEastAsia" w:eastAsiaTheme="minorEastAsia" w:hAnsiTheme="minorEastAsia" w:hint="eastAsia"/>
          <w:sz w:val="21"/>
        </w:rPr>
      </w:pPr>
      <w:r w:rsidRPr="00604D12">
        <w:rPr>
          <w:rFonts w:asciiTheme="minorEastAsia" w:eastAsiaTheme="minorEastAsia" w:hAnsiTheme="minorEastAsia" w:hint="eastAsia"/>
          <w:sz w:val="21"/>
        </w:rPr>
        <w:t>三、裁判</w:t>
      </w:r>
    </w:p>
    <w:p w14:paraId="1C545536" w14:textId="7290217C" w:rsidR="00DE5313"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（一）上诉不加刑原则</w:t>
      </w:r>
    </w:p>
    <w:p w14:paraId="54AC1B46" w14:textId="09061E12" w:rsidR="00CA2FF9" w:rsidRPr="00CA2FF9" w:rsidRDefault="00CA2FF9" w:rsidP="00744CC9">
      <w:pPr>
        <w:ind w:firstLine="420"/>
        <w:rPr>
          <w:rFonts w:asciiTheme="minorEastAsia" w:eastAsiaTheme="minorEastAsia" w:hAnsiTheme="minorEastAsia" w:hint="eastAsia"/>
        </w:rPr>
      </w:pPr>
      <w:r w:rsidRPr="00390794">
        <w:rPr>
          <w:rFonts w:asciiTheme="minorEastAsia" w:eastAsiaTheme="minorEastAsia" w:hAnsiTheme="minorEastAsia" w:hint="eastAsia"/>
        </w:rPr>
        <w:t>《刑诉法解释》</w:t>
      </w:r>
      <w:r w:rsidRPr="00CA2FF9">
        <w:rPr>
          <w:rFonts w:asciiTheme="minorEastAsia" w:eastAsiaTheme="minorEastAsia" w:hAnsiTheme="minorEastAsia" w:hint="eastAsia"/>
        </w:rPr>
        <w:t>第401条</w:t>
      </w:r>
      <w:r w:rsidR="00744CC9">
        <w:rPr>
          <w:rFonts w:asciiTheme="minorEastAsia" w:eastAsiaTheme="minorEastAsia" w:hAnsiTheme="minorEastAsia" w:hint="eastAsia"/>
        </w:rPr>
        <w:t>：</w:t>
      </w:r>
      <w:r w:rsidRPr="00CA2FF9">
        <w:rPr>
          <w:rFonts w:asciiTheme="minorEastAsia" w:eastAsiaTheme="minorEastAsia" w:hAnsiTheme="minorEastAsia" w:hint="eastAsia"/>
        </w:rPr>
        <w:t>审理被告人或者其法定代理人、辩护人、近亲属提出上诉的案件，不得对被告人的刑罚作出实质不利的改判，并应当执行下列规定：（一）同案审理的案件，只有部分被告人上诉的，既不得加重上诉人的刑罚，也不得加重其他同案被告人的刑罚；（二）原判认定的罪名不当的，可以改变罪名，但不得加重刑罚或者对刑罚执行产生不利影响；（三）原判认定的罪数不当的，可以改变罪数，并调整刑罚，但不得加重决定执行的刑罚或者对刑罚执行产生不利影响；（四）原判对被告人宣告缓刑的，不得撤销缓刑或者延长缓刑考验期；（五）原判没有宣告职业禁止、禁止令的，不得增加宣告；原判宣告职业禁止、禁止令的，不得增加内容、延长期限；（六）原判对被告人判处死刑缓期执行没有限</w:t>
      </w:r>
      <w:r w:rsidRPr="00CA2FF9">
        <w:rPr>
          <w:rFonts w:asciiTheme="minorEastAsia" w:eastAsiaTheme="minorEastAsia" w:hAnsiTheme="minorEastAsia" w:hint="eastAsia"/>
        </w:rPr>
        <w:lastRenderedPageBreak/>
        <w:t>制减刑、决定终身监禁的，不得限制减刑、决定终身监禁；（七）原判判处的刑罚不当、应当适用附加刑而没有适用的，不得直接加重刑罚、适用附加刑。原判判处的刑罚畸轻，必须依法改判的，应当在第二审判决、裁定生效后，依照审判监督程序重新审判。</w:t>
      </w:r>
    </w:p>
    <w:p w14:paraId="5E579568" w14:textId="1E618045" w:rsidR="00DE5313" w:rsidRPr="00604D12" w:rsidRDefault="00DE5313" w:rsidP="00604D12">
      <w:pPr>
        <w:spacing w:line="240" w:lineRule="auto"/>
        <w:ind w:firstLine="420"/>
        <w:rPr>
          <w:rFonts w:asciiTheme="minorEastAsia" w:eastAsiaTheme="minorEastAsia" w:hAnsiTheme="minorEastAsia" w:cs="Times New Roman" w:hint="eastAsia"/>
        </w:rPr>
      </w:pPr>
      <w:r w:rsidRPr="00604D12">
        <w:rPr>
          <w:rFonts w:asciiTheme="minorEastAsia" w:eastAsiaTheme="minorEastAsia" w:hAnsiTheme="minorEastAsia" w:hint="eastAsia"/>
          <w:color w:val="FF0000"/>
        </w:rPr>
        <w:t>注：</w:t>
      </w:r>
      <w:r w:rsidRPr="00604D12">
        <w:rPr>
          <w:rFonts w:asciiTheme="minorEastAsia" w:eastAsiaTheme="minorEastAsia" w:hAnsiTheme="minorEastAsia" w:cs="Times New Roman" w:hint="eastAsia"/>
        </w:rPr>
        <w:t>（1）二审可以改变罪名，但罪名的改变不得加重刑罚，也不能对刑罚的执行产生不利影响。（2）二审可以改变罪数，并调整刑罚，但不得加重决定执行的刑罚或者对刑罚执行产生不利影响。</w:t>
      </w:r>
    </w:p>
    <w:p w14:paraId="3972D366" w14:textId="1D82920A" w:rsidR="00DE5313" w:rsidRPr="00604D12" w:rsidRDefault="00DE5313" w:rsidP="00604D12">
      <w:pPr>
        <w:pStyle w:val="4"/>
        <w:keepNext w:val="0"/>
        <w:keepLines w:val="0"/>
        <w:spacing w:line="240" w:lineRule="auto"/>
        <w:ind w:firstLineChars="120" w:firstLine="252"/>
        <w:rPr>
          <w:rFonts w:asciiTheme="minorEastAsia" w:eastAsiaTheme="minorEastAsia" w:hAnsiTheme="minorEastAsia" w:hint="eastAsia"/>
          <w:sz w:val="21"/>
          <w:szCs w:val="21"/>
        </w:rPr>
      </w:pPr>
      <w:r w:rsidRPr="00604D12">
        <w:rPr>
          <w:rFonts w:asciiTheme="minorEastAsia" w:eastAsiaTheme="minorEastAsia" w:hAnsiTheme="minorEastAsia" w:hint="eastAsia"/>
          <w:sz w:val="21"/>
          <w:szCs w:val="21"/>
        </w:rPr>
        <w:t>（二）裁判方式</w:t>
      </w:r>
    </w:p>
    <w:tbl>
      <w:tblPr>
        <w:tblStyle w:val="a8"/>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730"/>
        <w:gridCol w:w="691"/>
        <w:gridCol w:w="6084"/>
      </w:tblGrid>
      <w:tr w:rsidR="00DE5313" w:rsidRPr="00604D12" w14:paraId="77872F19" w14:textId="77777777" w:rsidTr="00A538BA">
        <w:trPr>
          <w:jc w:val="center"/>
        </w:trPr>
        <w:tc>
          <w:tcPr>
            <w:tcW w:w="1744" w:type="dxa"/>
            <w:vAlign w:val="center"/>
          </w:tcPr>
          <w:p w14:paraId="0524D37D"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rPr>
            </w:pPr>
            <w:r w:rsidRPr="00604D12">
              <w:rPr>
                <w:rFonts w:asciiTheme="minorEastAsia" w:eastAsiaTheme="minorEastAsia" w:hAnsiTheme="minorEastAsia" w:cs="黑体" w:hint="eastAsia"/>
                <w:sz w:val="21"/>
              </w:rPr>
              <w:t>裁定驳回上诉或抗诉，维持原判</w:t>
            </w:r>
          </w:p>
        </w:tc>
        <w:tc>
          <w:tcPr>
            <w:tcW w:w="695" w:type="dxa"/>
            <w:vAlign w:val="center"/>
          </w:tcPr>
          <w:p w14:paraId="70D2174F" w14:textId="77777777" w:rsidR="00DE5313" w:rsidRPr="00DE3EC8" w:rsidRDefault="00DE5313" w:rsidP="00604D12">
            <w:pPr>
              <w:spacing w:line="240" w:lineRule="auto"/>
              <w:ind w:firstLineChars="0" w:firstLine="0"/>
              <w:rPr>
                <w:rFonts w:asciiTheme="minorEastAsia" w:eastAsiaTheme="minorEastAsia" w:hAnsiTheme="minorEastAsia" w:hint="eastAsia"/>
                <w:color w:val="FF0000"/>
                <w:sz w:val="21"/>
              </w:rPr>
            </w:pPr>
            <w:r w:rsidRPr="00DE3EC8">
              <w:rPr>
                <w:rFonts w:asciiTheme="minorEastAsia" w:eastAsiaTheme="minorEastAsia" w:hAnsiTheme="minorEastAsia" w:hint="eastAsia"/>
                <w:color w:val="FF0000"/>
                <w:sz w:val="21"/>
              </w:rPr>
              <w:t>应当</w:t>
            </w:r>
          </w:p>
        </w:tc>
        <w:tc>
          <w:tcPr>
            <w:tcW w:w="6157" w:type="dxa"/>
            <w:vAlign w:val="center"/>
          </w:tcPr>
          <w:p w14:paraId="46D514AE"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原判决认定事实和适用法律正确、量刑适当</w:t>
            </w:r>
          </w:p>
        </w:tc>
      </w:tr>
      <w:tr w:rsidR="00DE5313" w:rsidRPr="00604D12" w14:paraId="4E39B5B7" w14:textId="77777777" w:rsidTr="00A538BA">
        <w:trPr>
          <w:jc w:val="center"/>
        </w:trPr>
        <w:tc>
          <w:tcPr>
            <w:tcW w:w="1744" w:type="dxa"/>
            <w:vMerge w:val="restart"/>
            <w:vAlign w:val="center"/>
          </w:tcPr>
          <w:p w14:paraId="1826D4C2"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rPr>
            </w:pPr>
            <w:r w:rsidRPr="00604D12">
              <w:rPr>
                <w:rFonts w:asciiTheme="minorEastAsia" w:eastAsiaTheme="minorEastAsia" w:hAnsiTheme="minorEastAsia" w:cs="黑体" w:hint="eastAsia"/>
                <w:sz w:val="21"/>
              </w:rPr>
              <w:t>直接改判</w:t>
            </w:r>
          </w:p>
        </w:tc>
        <w:tc>
          <w:tcPr>
            <w:tcW w:w="695" w:type="dxa"/>
            <w:vAlign w:val="center"/>
          </w:tcPr>
          <w:p w14:paraId="24BCE7ED" w14:textId="77777777" w:rsidR="00DE5313" w:rsidRPr="00DE3EC8" w:rsidRDefault="00DE5313" w:rsidP="00604D12">
            <w:pPr>
              <w:spacing w:line="240" w:lineRule="auto"/>
              <w:ind w:firstLineChars="0" w:firstLine="0"/>
              <w:rPr>
                <w:rFonts w:asciiTheme="minorEastAsia" w:eastAsiaTheme="minorEastAsia" w:hAnsiTheme="minorEastAsia" w:hint="eastAsia"/>
                <w:color w:val="FF0000"/>
                <w:sz w:val="21"/>
              </w:rPr>
            </w:pPr>
            <w:r w:rsidRPr="00DE3EC8">
              <w:rPr>
                <w:rFonts w:asciiTheme="minorEastAsia" w:eastAsiaTheme="minorEastAsia" w:hAnsiTheme="minorEastAsia" w:hint="eastAsia"/>
                <w:color w:val="FF0000"/>
                <w:sz w:val="21"/>
              </w:rPr>
              <w:t>应当</w:t>
            </w:r>
          </w:p>
        </w:tc>
        <w:tc>
          <w:tcPr>
            <w:tcW w:w="6157" w:type="dxa"/>
            <w:vAlign w:val="center"/>
          </w:tcPr>
          <w:p w14:paraId="7E1A3394"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原判决认定事实没有错误，但适用法律有错误，或者量刑不当</w:t>
            </w:r>
          </w:p>
        </w:tc>
      </w:tr>
      <w:tr w:rsidR="00DE5313" w:rsidRPr="00604D12" w14:paraId="55D58F0F" w14:textId="77777777" w:rsidTr="00A538BA">
        <w:trPr>
          <w:trHeight w:val="317"/>
          <w:jc w:val="center"/>
        </w:trPr>
        <w:tc>
          <w:tcPr>
            <w:tcW w:w="1744" w:type="dxa"/>
            <w:vMerge/>
            <w:vAlign w:val="center"/>
          </w:tcPr>
          <w:p w14:paraId="16FD1E8D"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rPr>
            </w:pPr>
          </w:p>
        </w:tc>
        <w:tc>
          <w:tcPr>
            <w:tcW w:w="695" w:type="dxa"/>
            <w:vAlign w:val="center"/>
          </w:tcPr>
          <w:p w14:paraId="0789BE60" w14:textId="77777777" w:rsidR="00DE5313" w:rsidRPr="00DE3EC8" w:rsidRDefault="00DE5313" w:rsidP="00604D12">
            <w:pPr>
              <w:spacing w:line="240" w:lineRule="auto"/>
              <w:ind w:firstLineChars="0" w:firstLine="0"/>
              <w:rPr>
                <w:rFonts w:asciiTheme="minorEastAsia" w:eastAsiaTheme="minorEastAsia" w:hAnsiTheme="minorEastAsia" w:hint="eastAsia"/>
                <w:color w:val="FF0000"/>
                <w:sz w:val="21"/>
              </w:rPr>
            </w:pPr>
            <w:r w:rsidRPr="00DE3EC8">
              <w:rPr>
                <w:rFonts w:asciiTheme="minorEastAsia" w:eastAsiaTheme="minorEastAsia" w:hAnsiTheme="minorEastAsia" w:hint="eastAsia"/>
                <w:color w:val="FF0000"/>
                <w:sz w:val="21"/>
              </w:rPr>
              <w:t>可以</w:t>
            </w:r>
          </w:p>
        </w:tc>
        <w:tc>
          <w:tcPr>
            <w:tcW w:w="6157" w:type="dxa"/>
            <w:vAlign w:val="center"/>
          </w:tcPr>
          <w:p w14:paraId="4A59105D"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原判决事实不清楚或者证据不足的，可以在查清事实后改判</w:t>
            </w:r>
          </w:p>
        </w:tc>
      </w:tr>
      <w:tr w:rsidR="00DE5313" w:rsidRPr="00604D12" w14:paraId="5B5CB431" w14:textId="77777777" w:rsidTr="00A538BA">
        <w:trPr>
          <w:jc w:val="center"/>
        </w:trPr>
        <w:tc>
          <w:tcPr>
            <w:tcW w:w="1744" w:type="dxa"/>
            <w:vMerge w:val="restart"/>
            <w:vAlign w:val="center"/>
          </w:tcPr>
          <w:p w14:paraId="7CDE1307" w14:textId="77777777" w:rsidR="00DE5313" w:rsidRPr="00604D12" w:rsidRDefault="00DE5313" w:rsidP="00604D12">
            <w:pPr>
              <w:spacing w:line="240" w:lineRule="auto"/>
              <w:ind w:firstLineChars="0" w:firstLine="0"/>
              <w:jc w:val="center"/>
              <w:rPr>
                <w:rFonts w:asciiTheme="minorEastAsia" w:eastAsiaTheme="minorEastAsia" w:hAnsiTheme="minorEastAsia" w:cs="黑体" w:hint="eastAsia"/>
                <w:sz w:val="21"/>
              </w:rPr>
            </w:pPr>
            <w:r w:rsidRPr="00604D12">
              <w:rPr>
                <w:rFonts w:asciiTheme="minorEastAsia" w:eastAsiaTheme="minorEastAsia" w:hAnsiTheme="minorEastAsia" w:cs="黑体" w:hint="eastAsia"/>
                <w:sz w:val="21"/>
              </w:rPr>
              <w:t>裁定撤销原判，发回重审</w:t>
            </w:r>
          </w:p>
        </w:tc>
        <w:tc>
          <w:tcPr>
            <w:tcW w:w="695" w:type="dxa"/>
            <w:vAlign w:val="center"/>
          </w:tcPr>
          <w:p w14:paraId="6E8CF8EA" w14:textId="77777777" w:rsidR="00DE5313" w:rsidRPr="00DE3EC8" w:rsidRDefault="00DE5313" w:rsidP="00604D12">
            <w:pPr>
              <w:spacing w:line="240" w:lineRule="auto"/>
              <w:ind w:firstLineChars="0" w:firstLine="0"/>
              <w:rPr>
                <w:rFonts w:asciiTheme="minorEastAsia" w:eastAsiaTheme="minorEastAsia" w:hAnsiTheme="minorEastAsia" w:hint="eastAsia"/>
                <w:color w:val="FF0000"/>
                <w:sz w:val="21"/>
              </w:rPr>
            </w:pPr>
            <w:r w:rsidRPr="00DE3EC8">
              <w:rPr>
                <w:rFonts w:asciiTheme="minorEastAsia" w:eastAsiaTheme="minorEastAsia" w:hAnsiTheme="minorEastAsia" w:hint="eastAsia"/>
                <w:color w:val="FF0000"/>
                <w:sz w:val="21"/>
              </w:rPr>
              <w:t>可以</w:t>
            </w:r>
          </w:p>
        </w:tc>
        <w:tc>
          <w:tcPr>
            <w:tcW w:w="6157" w:type="dxa"/>
            <w:vAlign w:val="center"/>
          </w:tcPr>
          <w:p w14:paraId="31360F23"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原判决事实不清楚或者证据不足的</w:t>
            </w:r>
          </w:p>
          <w:p w14:paraId="01EF7B60"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cs="楷体" w:hint="eastAsia"/>
                <w:sz w:val="21"/>
              </w:rPr>
              <w:t>（发回重新审判以一次为限，第二次再出现该情形，应当在查清事实后改判）</w:t>
            </w:r>
          </w:p>
        </w:tc>
      </w:tr>
      <w:tr w:rsidR="00DE5313" w:rsidRPr="00604D12" w14:paraId="58249825" w14:textId="77777777" w:rsidTr="00A538BA">
        <w:trPr>
          <w:jc w:val="center"/>
        </w:trPr>
        <w:tc>
          <w:tcPr>
            <w:tcW w:w="1744" w:type="dxa"/>
            <w:vMerge/>
            <w:vAlign w:val="center"/>
          </w:tcPr>
          <w:p w14:paraId="0E799CFD" w14:textId="77777777" w:rsidR="00DE5313" w:rsidRPr="00604D12" w:rsidRDefault="00DE5313" w:rsidP="00604D12">
            <w:pPr>
              <w:spacing w:line="240" w:lineRule="auto"/>
              <w:ind w:firstLineChars="0" w:firstLine="0"/>
              <w:jc w:val="center"/>
              <w:rPr>
                <w:rFonts w:asciiTheme="minorEastAsia" w:eastAsiaTheme="minorEastAsia" w:hAnsiTheme="minorEastAsia" w:hint="eastAsia"/>
                <w:sz w:val="21"/>
              </w:rPr>
            </w:pPr>
          </w:p>
        </w:tc>
        <w:tc>
          <w:tcPr>
            <w:tcW w:w="695" w:type="dxa"/>
            <w:vAlign w:val="center"/>
          </w:tcPr>
          <w:p w14:paraId="6A885094" w14:textId="77777777" w:rsidR="00DE5313" w:rsidRPr="00DE3EC8" w:rsidRDefault="00DE5313" w:rsidP="00604D12">
            <w:pPr>
              <w:spacing w:line="240" w:lineRule="auto"/>
              <w:ind w:firstLineChars="0" w:firstLine="0"/>
              <w:rPr>
                <w:rFonts w:asciiTheme="minorEastAsia" w:eastAsiaTheme="minorEastAsia" w:hAnsiTheme="minorEastAsia" w:hint="eastAsia"/>
                <w:color w:val="FF0000"/>
                <w:sz w:val="21"/>
              </w:rPr>
            </w:pPr>
            <w:r w:rsidRPr="00DE3EC8">
              <w:rPr>
                <w:rFonts w:asciiTheme="minorEastAsia" w:eastAsiaTheme="minorEastAsia" w:hAnsiTheme="minorEastAsia" w:hint="eastAsia"/>
                <w:color w:val="FF0000"/>
                <w:sz w:val="21"/>
              </w:rPr>
              <w:t>应当</w:t>
            </w:r>
          </w:p>
        </w:tc>
        <w:tc>
          <w:tcPr>
            <w:tcW w:w="6157" w:type="dxa"/>
            <w:vAlign w:val="center"/>
          </w:tcPr>
          <w:p w14:paraId="0A88203A"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第一审法院的审理有下列违反法定诉讼程序的情形之一的：</w:t>
            </w:r>
          </w:p>
          <w:p w14:paraId="2348F81C"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1．违反本法有关</w:t>
            </w:r>
            <w:r w:rsidRPr="00604D12">
              <w:rPr>
                <w:rFonts w:asciiTheme="minorEastAsia" w:eastAsiaTheme="minorEastAsia" w:hAnsiTheme="minorEastAsia" w:hint="eastAsia"/>
                <w:color w:val="FF0000"/>
                <w:sz w:val="21"/>
              </w:rPr>
              <w:t>公开审判</w:t>
            </w:r>
            <w:r w:rsidRPr="00604D12">
              <w:rPr>
                <w:rFonts w:asciiTheme="minorEastAsia" w:eastAsiaTheme="minorEastAsia" w:hAnsiTheme="minorEastAsia" w:hint="eastAsia"/>
                <w:sz w:val="21"/>
              </w:rPr>
              <w:t>的规定的；</w:t>
            </w:r>
          </w:p>
          <w:p w14:paraId="41631600"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2．违反</w:t>
            </w:r>
            <w:r w:rsidRPr="00604D12">
              <w:rPr>
                <w:rFonts w:asciiTheme="minorEastAsia" w:eastAsiaTheme="minorEastAsia" w:hAnsiTheme="minorEastAsia" w:hint="eastAsia"/>
                <w:color w:val="FF0000"/>
                <w:sz w:val="21"/>
              </w:rPr>
              <w:t>回避</w:t>
            </w:r>
            <w:r w:rsidRPr="00604D12">
              <w:rPr>
                <w:rFonts w:asciiTheme="minorEastAsia" w:eastAsiaTheme="minorEastAsia" w:hAnsiTheme="minorEastAsia" w:hint="eastAsia"/>
                <w:sz w:val="21"/>
              </w:rPr>
              <w:t>制度的；</w:t>
            </w:r>
          </w:p>
          <w:p w14:paraId="114FD0F3"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3．剥夺或者限制了</w:t>
            </w:r>
            <w:r w:rsidRPr="00604D12">
              <w:rPr>
                <w:rFonts w:asciiTheme="minorEastAsia" w:eastAsiaTheme="minorEastAsia" w:hAnsiTheme="minorEastAsia" w:hint="eastAsia"/>
                <w:color w:val="FF0000"/>
                <w:sz w:val="21"/>
              </w:rPr>
              <w:t>当事人的法定诉讼权利</w:t>
            </w:r>
            <w:r w:rsidRPr="00604D12">
              <w:rPr>
                <w:rFonts w:asciiTheme="minorEastAsia" w:eastAsiaTheme="minorEastAsia" w:hAnsiTheme="minorEastAsia" w:hint="eastAsia"/>
                <w:sz w:val="21"/>
              </w:rPr>
              <w:t>，可能影响公正审判的；</w:t>
            </w:r>
          </w:p>
          <w:p w14:paraId="3E0FB0AD"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4．</w:t>
            </w:r>
            <w:r w:rsidRPr="00604D12">
              <w:rPr>
                <w:rFonts w:asciiTheme="minorEastAsia" w:eastAsiaTheme="minorEastAsia" w:hAnsiTheme="minorEastAsia" w:hint="eastAsia"/>
                <w:color w:val="FF0000"/>
                <w:sz w:val="21"/>
              </w:rPr>
              <w:t>审判组织</w:t>
            </w:r>
            <w:r w:rsidRPr="00604D12">
              <w:rPr>
                <w:rFonts w:asciiTheme="minorEastAsia" w:eastAsiaTheme="minorEastAsia" w:hAnsiTheme="minorEastAsia" w:hint="eastAsia"/>
                <w:sz w:val="21"/>
              </w:rPr>
              <w:t>的组成不合法的；</w:t>
            </w:r>
          </w:p>
          <w:p w14:paraId="7AF9B1BD" w14:textId="77777777" w:rsidR="00DE5313" w:rsidRPr="00604D12" w:rsidRDefault="00DE5313" w:rsidP="00604D12">
            <w:pPr>
              <w:spacing w:line="240" w:lineRule="auto"/>
              <w:ind w:firstLineChars="0" w:firstLine="0"/>
              <w:rPr>
                <w:rFonts w:asciiTheme="minorEastAsia" w:eastAsiaTheme="minorEastAsia" w:hAnsiTheme="minorEastAsia" w:hint="eastAsia"/>
                <w:sz w:val="21"/>
              </w:rPr>
            </w:pPr>
            <w:r w:rsidRPr="00604D12">
              <w:rPr>
                <w:rFonts w:asciiTheme="minorEastAsia" w:eastAsiaTheme="minorEastAsia" w:hAnsiTheme="minorEastAsia" w:hint="eastAsia"/>
                <w:sz w:val="21"/>
              </w:rPr>
              <w:t>5．其他违反法律规定的诉讼程序，</w:t>
            </w:r>
            <w:r w:rsidRPr="00604D12">
              <w:rPr>
                <w:rFonts w:asciiTheme="minorEastAsia" w:eastAsiaTheme="minorEastAsia" w:hAnsiTheme="minorEastAsia" w:hint="eastAsia"/>
                <w:color w:val="FF0000"/>
                <w:sz w:val="21"/>
              </w:rPr>
              <w:t>可能影响公正审判</w:t>
            </w:r>
            <w:r w:rsidRPr="00604D12">
              <w:rPr>
                <w:rFonts w:asciiTheme="minorEastAsia" w:eastAsiaTheme="minorEastAsia" w:hAnsiTheme="minorEastAsia" w:hint="eastAsia"/>
                <w:sz w:val="21"/>
              </w:rPr>
              <w:t>的</w:t>
            </w:r>
          </w:p>
        </w:tc>
      </w:tr>
    </w:tbl>
    <w:p w14:paraId="72B28B6C" w14:textId="77777777" w:rsidR="002F066B" w:rsidRPr="00604D12" w:rsidRDefault="002F066B" w:rsidP="00604D12">
      <w:pPr>
        <w:spacing w:line="240" w:lineRule="auto"/>
        <w:ind w:firstLine="420"/>
        <w:rPr>
          <w:rFonts w:asciiTheme="minorEastAsia" w:eastAsiaTheme="minorEastAsia" w:hAnsiTheme="minorEastAsia" w:hint="eastAsia"/>
        </w:rPr>
      </w:pPr>
    </w:p>
    <w:sectPr w:rsidR="002F066B" w:rsidRPr="00604D1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0DFDF" w14:textId="77777777" w:rsidR="00900CF3" w:rsidRDefault="00900CF3" w:rsidP="00457E2D">
      <w:pPr>
        <w:spacing w:line="240" w:lineRule="auto"/>
        <w:ind w:firstLine="420"/>
        <w:rPr>
          <w:rFonts w:hint="eastAsia"/>
        </w:rPr>
      </w:pPr>
      <w:r>
        <w:separator/>
      </w:r>
    </w:p>
  </w:endnote>
  <w:endnote w:type="continuationSeparator" w:id="0">
    <w:p w14:paraId="2A6BCD72" w14:textId="77777777" w:rsidR="00900CF3" w:rsidRDefault="00900CF3" w:rsidP="00457E2D">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书宋二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汉仪大黑简">
    <w:altName w:val="微软雅黑"/>
    <w:charset w:val="86"/>
    <w:family w:val="modern"/>
    <w:pitch w:val="fixed"/>
    <w:sig w:usb0="00000001" w:usb1="080E0800" w:usb2="00000012"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F046" w14:textId="77777777" w:rsidR="001B738D" w:rsidRDefault="001B738D">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8FE0" w14:textId="77777777" w:rsidR="001B738D" w:rsidRDefault="001B738D">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BB98" w14:textId="77777777" w:rsidR="001B738D" w:rsidRDefault="001B738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EBF1" w14:textId="77777777" w:rsidR="00900CF3" w:rsidRDefault="00900CF3" w:rsidP="00457E2D">
      <w:pPr>
        <w:spacing w:line="240" w:lineRule="auto"/>
        <w:ind w:firstLine="420"/>
        <w:rPr>
          <w:rFonts w:hint="eastAsia"/>
        </w:rPr>
      </w:pPr>
      <w:r>
        <w:separator/>
      </w:r>
    </w:p>
  </w:footnote>
  <w:footnote w:type="continuationSeparator" w:id="0">
    <w:p w14:paraId="097BAAA3" w14:textId="77777777" w:rsidR="00900CF3" w:rsidRDefault="00900CF3" w:rsidP="00457E2D">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9FBC" w14:textId="77777777" w:rsidR="001B738D" w:rsidRDefault="001B738D">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B609" w14:textId="77777777" w:rsidR="001B738D" w:rsidRDefault="001B738D">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F989" w14:textId="77777777" w:rsidR="001B738D" w:rsidRDefault="001B738D">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6B"/>
    <w:rsid w:val="00032E31"/>
    <w:rsid w:val="00064447"/>
    <w:rsid w:val="00104CEF"/>
    <w:rsid w:val="0012365E"/>
    <w:rsid w:val="00124001"/>
    <w:rsid w:val="00183362"/>
    <w:rsid w:val="001840AF"/>
    <w:rsid w:val="001B738D"/>
    <w:rsid w:val="00284688"/>
    <w:rsid w:val="002F066B"/>
    <w:rsid w:val="00311844"/>
    <w:rsid w:val="0036781B"/>
    <w:rsid w:val="0038291C"/>
    <w:rsid w:val="00390794"/>
    <w:rsid w:val="003A1D46"/>
    <w:rsid w:val="003B0BF7"/>
    <w:rsid w:val="003B7D0E"/>
    <w:rsid w:val="003F3EE8"/>
    <w:rsid w:val="00454F2E"/>
    <w:rsid w:val="00457E2D"/>
    <w:rsid w:val="00463D60"/>
    <w:rsid w:val="00470D64"/>
    <w:rsid w:val="004D0DAA"/>
    <w:rsid w:val="004E567D"/>
    <w:rsid w:val="004F773A"/>
    <w:rsid w:val="00536755"/>
    <w:rsid w:val="00547162"/>
    <w:rsid w:val="00595AA6"/>
    <w:rsid w:val="005963F7"/>
    <w:rsid w:val="005B699E"/>
    <w:rsid w:val="005C16E8"/>
    <w:rsid w:val="005C341A"/>
    <w:rsid w:val="005F67A1"/>
    <w:rsid w:val="00604D12"/>
    <w:rsid w:val="006D262E"/>
    <w:rsid w:val="007311F5"/>
    <w:rsid w:val="00744CC9"/>
    <w:rsid w:val="00750DBA"/>
    <w:rsid w:val="00760870"/>
    <w:rsid w:val="00785C4A"/>
    <w:rsid w:val="0079081F"/>
    <w:rsid w:val="0081528E"/>
    <w:rsid w:val="00831849"/>
    <w:rsid w:val="0086695E"/>
    <w:rsid w:val="008B4328"/>
    <w:rsid w:val="008D01CF"/>
    <w:rsid w:val="008F102D"/>
    <w:rsid w:val="00900CF3"/>
    <w:rsid w:val="00920A67"/>
    <w:rsid w:val="00971DC0"/>
    <w:rsid w:val="009905AB"/>
    <w:rsid w:val="009B7DEC"/>
    <w:rsid w:val="009E30D5"/>
    <w:rsid w:val="009E4043"/>
    <w:rsid w:val="00A0147C"/>
    <w:rsid w:val="00A538BA"/>
    <w:rsid w:val="00A92333"/>
    <w:rsid w:val="00AC45FB"/>
    <w:rsid w:val="00B153E2"/>
    <w:rsid w:val="00B73DD6"/>
    <w:rsid w:val="00B73EA1"/>
    <w:rsid w:val="00C85CBF"/>
    <w:rsid w:val="00CA2FF9"/>
    <w:rsid w:val="00D71174"/>
    <w:rsid w:val="00DA7045"/>
    <w:rsid w:val="00DE3EC8"/>
    <w:rsid w:val="00DE5313"/>
    <w:rsid w:val="00EB20BB"/>
    <w:rsid w:val="00EC073A"/>
    <w:rsid w:val="00EE75FC"/>
    <w:rsid w:val="00F37E2F"/>
    <w:rsid w:val="00FC1CA9"/>
    <w:rsid w:val="00FC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6054"/>
  <w15:chartTrackingRefBased/>
  <w15:docId w15:val="{0B58CC9D-410D-4B14-8A8E-FC92CB46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E2D"/>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457E2D"/>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nhideWhenUsed/>
    <w:qFormat/>
    <w:rsid w:val="00457E2D"/>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457E2D"/>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457E2D"/>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2D"/>
    <w:pPr>
      <w:tabs>
        <w:tab w:val="clear" w:pos="420"/>
        <w:tab w:val="center" w:pos="4153"/>
        <w:tab w:val="right" w:pos="8306"/>
      </w:tabs>
      <w:snapToGrid w:val="0"/>
      <w:spacing w:line="240" w:lineRule="auto"/>
      <w:ind w:firstLineChars="0" w:firstLine="0"/>
      <w:jc w:val="center"/>
    </w:pPr>
    <w:rPr>
      <w:rFonts w:asciiTheme="minorHAnsi" w:eastAsiaTheme="minorEastAsia" w:hAnsiTheme="minorHAnsi" w:cstheme="minorBidi"/>
      <w:color w:val="auto"/>
      <w:sz w:val="18"/>
      <w:szCs w:val="18"/>
      <w14:ligatures w14:val="standardContextual"/>
    </w:rPr>
  </w:style>
  <w:style w:type="character" w:customStyle="1" w:styleId="a4">
    <w:name w:val="页眉 字符"/>
    <w:basedOn w:val="a0"/>
    <w:link w:val="a3"/>
    <w:uiPriority w:val="99"/>
    <w:rsid w:val="00457E2D"/>
    <w:rPr>
      <w:sz w:val="18"/>
      <w:szCs w:val="18"/>
    </w:rPr>
  </w:style>
  <w:style w:type="paragraph" w:styleId="a5">
    <w:name w:val="footer"/>
    <w:basedOn w:val="a"/>
    <w:link w:val="a6"/>
    <w:uiPriority w:val="99"/>
    <w:unhideWhenUsed/>
    <w:rsid w:val="00457E2D"/>
    <w:pPr>
      <w:tabs>
        <w:tab w:val="clear" w:pos="420"/>
        <w:tab w:val="center" w:pos="4153"/>
        <w:tab w:val="right" w:pos="8306"/>
      </w:tabs>
      <w:snapToGrid w:val="0"/>
      <w:spacing w:line="240" w:lineRule="auto"/>
      <w:ind w:firstLineChars="0" w:firstLine="0"/>
      <w:jc w:val="left"/>
    </w:pPr>
    <w:rPr>
      <w:rFonts w:asciiTheme="minorHAnsi" w:eastAsiaTheme="minorEastAsia" w:hAnsiTheme="minorHAnsi" w:cstheme="minorBidi"/>
      <w:color w:val="auto"/>
      <w:sz w:val="18"/>
      <w:szCs w:val="18"/>
      <w14:ligatures w14:val="standardContextual"/>
    </w:rPr>
  </w:style>
  <w:style w:type="character" w:customStyle="1" w:styleId="a6">
    <w:name w:val="页脚 字符"/>
    <w:basedOn w:val="a0"/>
    <w:link w:val="a5"/>
    <w:uiPriority w:val="99"/>
    <w:rsid w:val="00457E2D"/>
    <w:rPr>
      <w:sz w:val="18"/>
      <w:szCs w:val="18"/>
    </w:rPr>
  </w:style>
  <w:style w:type="character" w:customStyle="1" w:styleId="10">
    <w:name w:val="标题 1 字符"/>
    <w:basedOn w:val="a0"/>
    <w:link w:val="1"/>
    <w:uiPriority w:val="9"/>
    <w:qFormat/>
    <w:rsid w:val="00457E2D"/>
    <w:rPr>
      <w:rFonts w:ascii="汉仪大宋简" w:eastAsia="汉仪大宋简" w:hAnsi="汉仪大宋简" w:cs="宋体"/>
      <w:bCs/>
      <w:color w:val="000000" w:themeColor="text1"/>
      <w:kern w:val="44"/>
      <w:sz w:val="44"/>
      <w:szCs w:val="44"/>
      <w14:ligatures w14:val="none"/>
    </w:rPr>
  </w:style>
  <w:style w:type="character" w:customStyle="1" w:styleId="20">
    <w:name w:val="标题 2 字符"/>
    <w:basedOn w:val="a0"/>
    <w:link w:val="2"/>
    <w:qFormat/>
    <w:rsid w:val="00457E2D"/>
    <w:rPr>
      <w:rFonts w:asciiTheme="majorHAnsi" w:eastAsia="汉仪大黑简" w:hAnsiTheme="majorHAnsi" w:cstheme="majorBidi"/>
      <w:bCs/>
      <w:color w:val="000000" w:themeColor="text1"/>
      <w:sz w:val="32"/>
      <w:szCs w:val="32"/>
      <w14:ligatures w14:val="none"/>
    </w:rPr>
  </w:style>
  <w:style w:type="character" w:customStyle="1" w:styleId="30">
    <w:name w:val="标题 3 字符"/>
    <w:basedOn w:val="a0"/>
    <w:link w:val="3"/>
    <w:uiPriority w:val="9"/>
    <w:qFormat/>
    <w:rsid w:val="00457E2D"/>
    <w:rPr>
      <w:rFonts w:ascii="宋体" w:eastAsia="汉仪大宋简" w:hAnsi="宋体" w:cs="宋体"/>
      <w:color w:val="000000" w:themeColor="text1"/>
      <w:sz w:val="26"/>
      <w:szCs w:val="21"/>
      <w14:ligatures w14:val="none"/>
    </w:rPr>
  </w:style>
  <w:style w:type="character" w:customStyle="1" w:styleId="40">
    <w:name w:val="标题 4 字符"/>
    <w:basedOn w:val="a0"/>
    <w:link w:val="4"/>
    <w:uiPriority w:val="9"/>
    <w:qFormat/>
    <w:rsid w:val="00457E2D"/>
    <w:rPr>
      <w:rFonts w:asciiTheme="majorHAnsi" w:eastAsia="汉仪大宋简" w:hAnsiTheme="majorHAnsi" w:cstheme="majorBidi"/>
      <w:bCs/>
      <w:color w:val="000000" w:themeColor="text1"/>
      <w:sz w:val="24"/>
      <w:szCs w:val="28"/>
      <w14:ligatures w14:val="none"/>
    </w:rPr>
  </w:style>
  <w:style w:type="paragraph" w:styleId="a7">
    <w:name w:val="Normal (Web)"/>
    <w:basedOn w:val="a"/>
    <w:unhideWhenUsed/>
    <w:qFormat/>
    <w:rsid w:val="00457E2D"/>
    <w:pPr>
      <w:widowControl/>
      <w:spacing w:before="100" w:beforeAutospacing="1" w:after="100" w:afterAutospacing="1"/>
      <w:jc w:val="left"/>
    </w:pPr>
    <w:rPr>
      <w:color w:val="auto"/>
      <w:kern w:val="0"/>
      <w:sz w:val="24"/>
      <w:szCs w:val="24"/>
    </w:rPr>
  </w:style>
  <w:style w:type="table" w:styleId="a8">
    <w:name w:val="Table Grid"/>
    <w:basedOn w:val="a1"/>
    <w:qFormat/>
    <w:rsid w:val="00457E2D"/>
    <w:rPr>
      <w:rFonts w:eastAsia="宋体"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 刘</dc:creator>
  <cp:keywords/>
  <dc:description/>
  <cp:lastModifiedBy>文琦 刘</cp:lastModifiedBy>
  <cp:revision>56</cp:revision>
  <dcterms:created xsi:type="dcterms:W3CDTF">2025-01-11T08:16:00Z</dcterms:created>
  <dcterms:modified xsi:type="dcterms:W3CDTF">2025-02-18T14:39:00Z</dcterms:modified>
</cp:coreProperties>
</file>